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98930" w14:textId="77777777" w:rsidR="00EE54A1" w:rsidRPr="00BE04D8" w:rsidRDefault="00EE54A1" w:rsidP="00EE54A1">
      <w:pPr>
        <w:spacing w:line="480" w:lineRule="auto"/>
        <w:jc w:val="center"/>
        <w:rPr>
          <w:rFonts w:ascii="Arial" w:eastAsia="Times New Roman" w:hAnsi="Arial" w:cs="Arial"/>
          <w:b/>
          <w:bCs/>
          <w:iCs/>
          <w:sz w:val="24"/>
          <w:lang w:val="en-GB"/>
        </w:rPr>
      </w:pPr>
      <w:r w:rsidRPr="00BE04D8">
        <w:rPr>
          <w:rFonts w:ascii="Arial" w:eastAsia="Times New Roman" w:hAnsi="Arial" w:cs="Arial"/>
          <w:b/>
          <w:bCs/>
          <w:iCs/>
          <w:sz w:val="24"/>
          <w:lang w:val="en-GB"/>
        </w:rPr>
        <w:t>Contrast</w:t>
      </w:r>
      <w:bookmarkStart w:id="0" w:name="_GoBack"/>
      <w:bookmarkEnd w:id="0"/>
      <w:r w:rsidRPr="00BE04D8">
        <w:rPr>
          <w:rFonts w:ascii="Arial" w:eastAsia="Times New Roman" w:hAnsi="Arial" w:cs="Arial"/>
          <w:b/>
          <w:bCs/>
          <w:iCs/>
          <w:sz w:val="24"/>
          <w:lang w:val="en-GB"/>
        </w:rPr>
        <w:t xml:space="preserve"> medium administration </w:t>
      </w:r>
      <w:r w:rsidRPr="00BE04D8">
        <w:rPr>
          <w:rFonts w:ascii="Arial" w:eastAsia="Times New Roman" w:hAnsi="Arial" w:cs="Arial" w:hint="eastAsia"/>
          <w:b/>
          <w:bCs/>
          <w:iCs/>
          <w:sz w:val="24"/>
          <w:lang w:val="en-GB"/>
        </w:rPr>
        <w:t>with</w:t>
      </w:r>
      <w:r w:rsidRPr="00BE04D8">
        <w:rPr>
          <w:rFonts w:ascii="Arial" w:eastAsia="Times New Roman" w:hAnsi="Arial" w:cs="Arial"/>
          <w:b/>
          <w:bCs/>
          <w:iCs/>
          <w:sz w:val="24"/>
          <w:lang w:val="en-GB"/>
        </w:rPr>
        <w:t xml:space="preserve"> a body surface area protocol in step-and-shoot coronary computed tomography angiography with dual-source scanners</w:t>
      </w:r>
    </w:p>
    <w:p w14:paraId="5970D9A4" w14:textId="77777777" w:rsidR="00EE54A1" w:rsidRPr="00BE04D8" w:rsidRDefault="00EE54A1" w:rsidP="00EE54A1">
      <w:pPr>
        <w:spacing w:line="480" w:lineRule="auto"/>
        <w:jc w:val="center"/>
        <w:rPr>
          <w:rFonts w:ascii="Arial" w:eastAsia="Times New Roman" w:hAnsi="Arial" w:cs="Arial"/>
          <w:b/>
          <w:bCs/>
          <w:iCs/>
          <w:sz w:val="24"/>
          <w:lang w:val="en-GB"/>
        </w:rPr>
      </w:pPr>
    </w:p>
    <w:p w14:paraId="595A554C" w14:textId="77777777" w:rsidR="00EE54A1" w:rsidRPr="00BE04D8" w:rsidRDefault="00EE54A1" w:rsidP="00EE54A1">
      <w:pPr>
        <w:spacing w:line="480" w:lineRule="auto"/>
        <w:jc w:val="center"/>
        <w:rPr>
          <w:rFonts w:ascii="Arial" w:eastAsia="Times New Roman" w:hAnsi="Arial" w:cs="Arial"/>
          <w:iCs/>
          <w:sz w:val="24"/>
          <w:lang w:val="en-GB"/>
        </w:rPr>
      </w:pPr>
      <w:bookmarkStart w:id="1" w:name="_Hlk35224768"/>
      <w:r w:rsidRPr="00BE04D8">
        <w:rPr>
          <w:rFonts w:ascii="Arial" w:eastAsia="Times New Roman" w:hAnsi="Arial" w:cs="Arial"/>
          <w:iCs/>
          <w:sz w:val="24"/>
          <w:lang w:val="en-GB"/>
        </w:rPr>
        <w:t>Liang Jin</w:t>
      </w:r>
      <w:r w:rsidRPr="00BE04D8">
        <w:rPr>
          <w:rFonts w:ascii="Arial" w:eastAsia="Times New Roman" w:hAnsi="Arial" w:cs="Arial"/>
          <w:iCs/>
          <w:sz w:val="24"/>
          <w:vertAlign w:val="superscript"/>
          <w:lang w:val="en-GB"/>
        </w:rPr>
        <w:t xml:space="preserve">a,1 </w:t>
      </w:r>
      <w:r w:rsidRPr="00BE04D8">
        <w:rPr>
          <w:rFonts w:ascii="Arial" w:eastAsia="Times New Roman" w:hAnsi="Arial" w:cs="Arial"/>
          <w:iCs/>
          <w:sz w:val="24"/>
          <w:lang w:val="en-GB"/>
        </w:rPr>
        <w:t>MD, Yiyi Gao</w:t>
      </w:r>
      <w:r w:rsidRPr="00BE04D8">
        <w:rPr>
          <w:rFonts w:ascii="Arial" w:eastAsia="Times New Roman" w:hAnsi="Arial" w:cs="Arial"/>
          <w:iCs/>
          <w:sz w:val="24"/>
          <w:vertAlign w:val="superscript"/>
          <w:lang w:val="en-GB"/>
        </w:rPr>
        <w:t>a,1</w:t>
      </w:r>
      <w:r w:rsidRPr="00BE04D8">
        <w:rPr>
          <w:rFonts w:ascii="Arial" w:eastAsia="Times New Roman" w:hAnsi="Arial" w:cs="Arial"/>
          <w:iCs/>
          <w:sz w:val="24"/>
          <w:lang w:val="en-GB"/>
        </w:rPr>
        <w:t xml:space="preserve"> MD, Yingli Sun</w:t>
      </w:r>
      <w:r w:rsidRPr="00BE04D8">
        <w:rPr>
          <w:rFonts w:ascii="Arial" w:eastAsia="Times New Roman" w:hAnsi="Arial" w:cs="Arial"/>
          <w:iCs/>
          <w:sz w:val="24"/>
          <w:vertAlign w:val="superscript"/>
          <w:lang w:val="en-GB"/>
        </w:rPr>
        <w:t>a</w:t>
      </w:r>
      <w:r w:rsidRPr="00BE04D8">
        <w:rPr>
          <w:rFonts w:ascii="Arial" w:eastAsia="Times New Roman" w:hAnsi="Arial" w:cs="Arial"/>
          <w:iCs/>
          <w:sz w:val="24"/>
          <w:lang w:val="en-GB"/>
        </w:rPr>
        <w:t xml:space="preserve"> MD, Cheng Li</w:t>
      </w:r>
      <w:r w:rsidRPr="00BE04D8">
        <w:rPr>
          <w:rFonts w:ascii="Arial" w:eastAsia="Times New Roman" w:hAnsi="Arial" w:cs="Arial"/>
          <w:iCs/>
          <w:sz w:val="24"/>
          <w:vertAlign w:val="superscript"/>
          <w:lang w:val="en-GB"/>
        </w:rPr>
        <w:t>a</w:t>
      </w:r>
      <w:r w:rsidRPr="00BE04D8">
        <w:rPr>
          <w:rFonts w:ascii="Arial" w:eastAsia="Times New Roman" w:hAnsi="Arial" w:cs="Arial"/>
          <w:iCs/>
          <w:sz w:val="24"/>
          <w:lang w:val="en-GB"/>
        </w:rPr>
        <w:t xml:space="preserve"> MD, Pan Gao</w:t>
      </w:r>
      <w:r w:rsidRPr="00BE04D8">
        <w:rPr>
          <w:rFonts w:ascii="Arial" w:eastAsia="Times New Roman" w:hAnsi="Arial" w:cs="Arial"/>
          <w:iCs/>
          <w:sz w:val="24"/>
          <w:vertAlign w:val="superscript"/>
          <w:lang w:val="en-GB"/>
        </w:rPr>
        <w:t>a</w:t>
      </w:r>
      <w:r w:rsidRPr="00BE04D8">
        <w:rPr>
          <w:rFonts w:ascii="Arial" w:eastAsia="Times New Roman" w:hAnsi="Arial" w:cs="Arial"/>
          <w:iCs/>
          <w:sz w:val="24"/>
          <w:lang w:val="en-GB"/>
        </w:rPr>
        <w:t xml:space="preserve"> MD, Wei Zhao</w:t>
      </w:r>
      <w:r w:rsidRPr="00BE04D8">
        <w:rPr>
          <w:rFonts w:ascii="Arial" w:eastAsia="Times New Roman" w:hAnsi="Arial" w:cs="Arial"/>
          <w:iCs/>
          <w:sz w:val="24"/>
          <w:vertAlign w:val="superscript"/>
          <w:lang w:val="en-GB"/>
        </w:rPr>
        <w:t>a</w:t>
      </w:r>
      <w:r w:rsidRPr="00BE04D8">
        <w:rPr>
          <w:rFonts w:ascii="Arial" w:eastAsia="Times New Roman" w:hAnsi="Arial" w:cs="Arial"/>
          <w:iCs/>
          <w:sz w:val="24"/>
          <w:lang w:val="en-GB"/>
        </w:rPr>
        <w:t xml:space="preserve"> PhD</w:t>
      </w:r>
      <w:bookmarkEnd w:id="1"/>
      <w:r w:rsidRPr="00BE04D8">
        <w:rPr>
          <w:rFonts w:ascii="Arial" w:eastAsia="Times New Roman" w:hAnsi="Arial" w:cs="Arial"/>
          <w:iCs/>
          <w:sz w:val="24"/>
          <w:lang w:val="en-GB"/>
        </w:rPr>
        <w:t>, Ming Li</w:t>
      </w:r>
      <w:r w:rsidRPr="00BE04D8">
        <w:rPr>
          <w:rFonts w:ascii="Arial" w:eastAsia="Times New Roman" w:hAnsi="Arial" w:cs="Arial"/>
          <w:iCs/>
          <w:sz w:val="24"/>
          <w:vertAlign w:val="superscript"/>
          <w:lang w:val="en-GB"/>
        </w:rPr>
        <w:t>a,b,*</w:t>
      </w:r>
      <w:r w:rsidRPr="00BE04D8">
        <w:rPr>
          <w:rFonts w:ascii="Arial" w:eastAsia="Times New Roman" w:hAnsi="Arial" w:cs="Arial"/>
          <w:iCs/>
          <w:sz w:val="24"/>
          <w:lang w:val="en-GB"/>
        </w:rPr>
        <w:t xml:space="preserve"> PhD</w:t>
      </w:r>
    </w:p>
    <w:p w14:paraId="798733F3" w14:textId="77777777" w:rsidR="00EE54A1" w:rsidRPr="00BE04D8" w:rsidRDefault="00EE54A1">
      <w:pPr>
        <w:spacing w:line="480" w:lineRule="auto"/>
        <w:rPr>
          <w:rFonts w:ascii="Arial" w:eastAsia="Times New Roman" w:hAnsi="Arial" w:cs="Arial"/>
          <w:b/>
          <w:iCs/>
          <w:sz w:val="24"/>
          <w:lang w:val="en-GB"/>
        </w:rPr>
      </w:pPr>
    </w:p>
    <w:p w14:paraId="52E0EE55" w14:textId="452FF428" w:rsidR="00EE54A1" w:rsidRPr="00BE04D8" w:rsidRDefault="00EE54A1">
      <w:pPr>
        <w:spacing w:line="480" w:lineRule="auto"/>
        <w:rPr>
          <w:rFonts w:ascii="Arial" w:eastAsia="Times New Roman" w:hAnsi="Arial" w:cs="Arial"/>
          <w:b/>
          <w:iCs/>
          <w:sz w:val="24"/>
          <w:lang w:val="en-GB"/>
        </w:rPr>
      </w:pPr>
    </w:p>
    <w:p w14:paraId="17250FFE" w14:textId="03E33B79" w:rsidR="007D46F9" w:rsidRPr="00BE04D8" w:rsidRDefault="007D46F9">
      <w:pPr>
        <w:spacing w:line="480" w:lineRule="auto"/>
        <w:rPr>
          <w:rFonts w:ascii="Arial" w:eastAsia="Times New Roman" w:hAnsi="Arial" w:cs="Arial"/>
          <w:b/>
          <w:iCs/>
          <w:sz w:val="24"/>
          <w:lang w:val="en-GB"/>
        </w:rPr>
      </w:pPr>
      <w:r w:rsidRPr="00BE04D8">
        <w:rPr>
          <w:rFonts w:ascii="Arial" w:eastAsia="Times New Roman" w:hAnsi="Arial" w:cs="Arial"/>
          <w:b/>
          <w:iCs/>
          <w:sz w:val="24"/>
          <w:lang w:val="en-GB"/>
        </w:rPr>
        <w:t>Supplementary Material 1</w:t>
      </w:r>
    </w:p>
    <w:p w14:paraId="602D7B24" w14:textId="38EFBB58" w:rsidR="001220D5" w:rsidRPr="00BE04D8" w:rsidRDefault="007D46F9">
      <w:pPr>
        <w:spacing w:line="480" w:lineRule="auto"/>
        <w:rPr>
          <w:rFonts w:ascii="Arial" w:eastAsia="Times New Roman" w:hAnsi="Arial" w:cs="Arial"/>
          <w:i/>
          <w:iCs/>
          <w:sz w:val="24"/>
          <w:lang w:val="en-GB"/>
        </w:rPr>
      </w:pPr>
      <w:r w:rsidRPr="00BE04D8">
        <w:rPr>
          <w:rFonts w:ascii="Arial" w:eastAsia="Times New Roman" w:hAnsi="Arial" w:cs="Arial"/>
          <w:i/>
          <w:iCs/>
          <w:sz w:val="24"/>
          <w:lang w:val="en-GB"/>
        </w:rPr>
        <w:t>Image acquisition and reconstruction</w:t>
      </w:r>
    </w:p>
    <w:p w14:paraId="4BD9FE2D" w14:textId="3009B08A" w:rsidR="001220D5" w:rsidRPr="00BE04D8" w:rsidRDefault="007D46F9">
      <w:pPr>
        <w:spacing w:line="480" w:lineRule="auto"/>
        <w:ind w:firstLineChars="200" w:firstLine="480"/>
        <w:rPr>
          <w:rFonts w:ascii="Arial" w:hAnsi="Arial" w:cs="Arial"/>
          <w:sz w:val="24"/>
          <w:lang w:val="en-GB"/>
        </w:rPr>
      </w:pPr>
      <w:r w:rsidRPr="00BE04D8">
        <w:rPr>
          <w:rFonts w:ascii="Arial" w:hAnsi="Arial" w:cs="Arial"/>
          <w:sz w:val="24"/>
          <w:lang w:val="en-GB"/>
        </w:rPr>
        <w:t xml:space="preserve">A second-generation DSCT scanner (Somatom Definition Flash, Siemens Healthcare, Forchheim, Germany) was used in groups A and B, with collimation 2 </w:t>
      </w:r>
      <w:r w:rsidRPr="00BE04D8">
        <w:rPr>
          <w:rFonts w:ascii="Arial" w:hAnsi="Arial" w:cs="Arial"/>
          <w:sz w:val="24"/>
          <w:lang w:val="en-GB"/>
        </w:rPr>
        <w:sym w:font="Symbol" w:char="F0B4"/>
      </w:r>
      <w:r w:rsidRPr="00BE04D8">
        <w:rPr>
          <w:rFonts w:ascii="Arial" w:hAnsi="Arial" w:cs="Arial"/>
          <w:sz w:val="24"/>
          <w:lang w:val="en-GB"/>
        </w:rPr>
        <w:t xml:space="preserve"> 64 </w:t>
      </w:r>
      <w:r w:rsidRPr="00BE04D8">
        <w:rPr>
          <w:rFonts w:ascii="Arial" w:hAnsi="Arial" w:cs="Arial"/>
          <w:sz w:val="24"/>
          <w:lang w:val="en-GB"/>
        </w:rPr>
        <w:sym w:font="Symbol" w:char="F0B4"/>
      </w:r>
      <w:r w:rsidRPr="00BE04D8">
        <w:rPr>
          <w:rFonts w:ascii="Arial" w:hAnsi="Arial" w:cs="Arial"/>
          <w:sz w:val="24"/>
          <w:lang w:val="en-GB"/>
        </w:rPr>
        <w:t xml:space="preserve"> 0.6 mm and rotation time 0.28 s/rotation. A third-generation DSCT scanner (Somatom Force, Siemens Healthcare) was used in group C, with collimation 2 </w:t>
      </w:r>
      <w:r w:rsidRPr="00BE04D8">
        <w:rPr>
          <w:rFonts w:ascii="Arial" w:hAnsi="Arial" w:cs="Arial"/>
          <w:sz w:val="24"/>
          <w:lang w:val="en-GB"/>
        </w:rPr>
        <w:sym w:font="Symbol" w:char="F0B4"/>
      </w:r>
      <w:r w:rsidRPr="00BE04D8">
        <w:rPr>
          <w:rFonts w:ascii="Arial" w:hAnsi="Arial" w:cs="Arial"/>
          <w:sz w:val="24"/>
          <w:lang w:val="en-GB"/>
        </w:rPr>
        <w:t xml:space="preserve"> 96 </w:t>
      </w:r>
      <w:r w:rsidRPr="00BE04D8">
        <w:rPr>
          <w:rFonts w:ascii="Arial" w:hAnsi="Arial" w:cs="Arial"/>
          <w:sz w:val="24"/>
          <w:lang w:val="en-GB"/>
        </w:rPr>
        <w:sym w:font="Symbol" w:char="F0B4"/>
      </w:r>
      <w:r w:rsidRPr="00BE04D8">
        <w:rPr>
          <w:rFonts w:ascii="Arial" w:hAnsi="Arial" w:cs="Arial"/>
          <w:sz w:val="24"/>
          <w:lang w:val="en-GB"/>
        </w:rPr>
        <w:t xml:space="preserve"> 0.6 mm and rotation time 0.25 s/rot. In all groups, the scanning range started from the lower part of the protuberance of the tracheal bifurcation and proceeded in a cranio-caudal direction to the diaphragmatic surface of the heart. A prospective ECG-triggered sequence acquisition mode (step-and-shoot) was used. The tube current and tube voltage used are shown in Table 1</w:t>
      </w:r>
      <w:r w:rsidRPr="00BE04D8">
        <w:rPr>
          <w:rFonts w:ascii="Arial" w:hAnsi="Arial" w:cs="Arial" w:hint="eastAsia"/>
          <w:sz w:val="24"/>
          <w:lang w:val="en-GB"/>
        </w:rPr>
        <w:t>-B</w:t>
      </w:r>
      <w:r w:rsidRPr="00BE04D8">
        <w:rPr>
          <w:rFonts w:ascii="Arial" w:hAnsi="Arial" w:cs="Arial"/>
          <w:sz w:val="24"/>
          <w:lang w:val="en-GB"/>
        </w:rPr>
        <w:t xml:space="preserve">. The automated anatomical tube current modulation technique (CARE Dose 4D, Siemens Healthcare) was implemented, and the range of exposure dose (ECG pulsing) </w:t>
      </w:r>
      <w:r w:rsidRPr="00BE04D8">
        <w:rPr>
          <w:rFonts w:ascii="Arial" w:hAnsi="Arial" w:cs="Arial"/>
          <w:sz w:val="24"/>
          <w:lang w:val="en-GB"/>
        </w:rPr>
        <w:lastRenderedPageBreak/>
        <w:t>was 35%–80% in the R–R interval. As CM, iopamidol (370 mg iodine [mgI]/</w:t>
      </w:r>
      <w:r w:rsidR="00BE04D8" w:rsidRPr="00BE04D8">
        <w:rPr>
          <w:rFonts w:ascii="Arial" w:hAnsi="Arial" w:cs="Arial"/>
          <w:sz w:val="24"/>
          <w:lang w:val="en-GB"/>
        </w:rPr>
        <w:t>m</w:t>
      </w:r>
      <w:r w:rsidR="00BE04D8">
        <w:rPr>
          <w:rFonts w:ascii="Arial" w:hAnsi="Arial" w:cs="Arial"/>
          <w:sz w:val="24"/>
          <w:lang w:val="en-GB"/>
        </w:rPr>
        <w:t>L</w:t>
      </w:r>
      <w:r w:rsidRPr="00BE04D8">
        <w:rPr>
          <w:rFonts w:ascii="Arial" w:hAnsi="Arial" w:cs="Arial"/>
          <w:sz w:val="24"/>
          <w:lang w:val="en-GB"/>
        </w:rPr>
        <w:t xml:space="preserve">) was injected using a 20-G closed intravenous catheter system with an Ulrich high-pressure syringe. </w:t>
      </w:r>
      <w:bookmarkStart w:id="2" w:name="OLE_LINK14"/>
      <w:bookmarkStart w:id="3" w:name="OLE_LINK13"/>
      <w:r w:rsidRPr="00BE04D8">
        <w:rPr>
          <w:rFonts w:ascii="Arial" w:hAnsi="Arial" w:cs="Arial"/>
          <w:sz w:val="24"/>
          <w:lang w:val="en-GB"/>
        </w:rPr>
        <w:t>The bolus tracking technique</w:t>
      </w:r>
      <w:bookmarkEnd w:id="2"/>
      <w:bookmarkEnd w:id="3"/>
      <w:r w:rsidRPr="00BE04D8">
        <w:rPr>
          <w:rFonts w:ascii="Arial" w:hAnsi="Arial" w:cs="Arial"/>
          <w:sz w:val="24"/>
          <w:lang w:val="en-GB"/>
        </w:rPr>
        <w:t xml:space="preserve"> was used for threshold monitoring at the aortic root (AO), with an enhancement threshold of 80 HU and a delay time of 7 s.</w:t>
      </w:r>
    </w:p>
    <w:p w14:paraId="04F8E5FC" w14:textId="666C88FA" w:rsidR="001220D5" w:rsidRPr="00BE04D8" w:rsidRDefault="007D46F9">
      <w:pPr>
        <w:spacing w:line="480" w:lineRule="auto"/>
        <w:ind w:firstLine="567"/>
        <w:rPr>
          <w:rFonts w:ascii="Arial" w:hAnsi="Arial" w:cs="Arial"/>
          <w:sz w:val="24"/>
          <w:lang w:val="en-GB"/>
        </w:rPr>
      </w:pPr>
      <w:r w:rsidRPr="00BE04D8">
        <w:rPr>
          <w:rFonts w:ascii="Arial" w:hAnsi="Arial" w:cs="Arial"/>
          <w:sz w:val="24"/>
          <w:lang w:val="en-GB"/>
        </w:rPr>
        <w:t xml:space="preserve">In all groups, the slice thickness and the interval of image reconstruction were 0.75 mm. The kernel was B26f and Bv36 in Flash and Force scanners, respectively. The optimal phase (end-systolic or end-diastolic) of coronary artery display was </w:t>
      </w:r>
      <w:r w:rsidR="0040321B" w:rsidRPr="00BE04D8">
        <w:rPr>
          <w:rFonts w:ascii="Arial" w:hAnsi="Arial" w:cs="Arial"/>
          <w:sz w:val="24"/>
          <w:lang w:val="en-GB"/>
        </w:rPr>
        <w:t xml:space="preserve">automatically </w:t>
      </w:r>
      <w:r w:rsidRPr="00BE04D8">
        <w:rPr>
          <w:rFonts w:ascii="Arial" w:hAnsi="Arial" w:cs="Arial"/>
          <w:sz w:val="24"/>
          <w:lang w:val="en-GB"/>
        </w:rPr>
        <w:t xml:space="preserve">reconstructed by the scanner using the FBP algorithm. All reconstructed images were </w:t>
      </w:r>
      <w:r w:rsidR="0040321B" w:rsidRPr="00BE04D8">
        <w:rPr>
          <w:rFonts w:ascii="Arial" w:hAnsi="Arial" w:cs="Arial"/>
          <w:sz w:val="24"/>
          <w:lang w:val="en-GB"/>
        </w:rPr>
        <w:t xml:space="preserve">then </w:t>
      </w:r>
      <w:r w:rsidRPr="00BE04D8">
        <w:rPr>
          <w:rFonts w:ascii="Arial" w:hAnsi="Arial" w:cs="Arial"/>
          <w:sz w:val="24"/>
          <w:lang w:val="en-GB"/>
        </w:rPr>
        <w:t>transferred to the post-processing workstation (Syngo MMW\,P VE 36A, Siemens Healthcare), and axial images were used for analysis.</w:t>
      </w:r>
    </w:p>
    <w:p w14:paraId="5B9B9BA8" w14:textId="77777777" w:rsidR="001220D5" w:rsidRPr="00BE04D8" w:rsidRDefault="001220D5">
      <w:pPr>
        <w:rPr>
          <w:lang w:val="en-GB"/>
        </w:rPr>
      </w:pPr>
    </w:p>
    <w:p w14:paraId="7BAF7530" w14:textId="77777777" w:rsidR="001220D5" w:rsidRPr="00BE04D8" w:rsidRDefault="001220D5">
      <w:pPr>
        <w:rPr>
          <w:lang w:val="en-GB"/>
        </w:rPr>
      </w:pPr>
    </w:p>
    <w:p w14:paraId="152FA7A1" w14:textId="77777777" w:rsidR="001220D5" w:rsidRPr="00BE04D8" w:rsidRDefault="001220D5">
      <w:pPr>
        <w:rPr>
          <w:lang w:val="en-GB"/>
        </w:rPr>
      </w:pPr>
    </w:p>
    <w:p w14:paraId="65ACE477" w14:textId="77777777" w:rsidR="0040321B" w:rsidRPr="00BE04D8" w:rsidRDefault="0040321B" w:rsidP="0040321B">
      <w:pPr>
        <w:widowControl/>
        <w:jc w:val="left"/>
        <w:rPr>
          <w:rFonts w:ascii="Arial" w:hAnsi="Arial" w:cs="Arial"/>
          <w:sz w:val="24"/>
          <w:lang w:val="en-GB"/>
        </w:rPr>
        <w:sectPr w:rsidR="0040321B" w:rsidRPr="00BE04D8" w:rsidSect="00A7595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53F7AE0" w14:textId="016047BE" w:rsidR="001220D5" w:rsidRPr="00BE04D8" w:rsidRDefault="007D46F9" w:rsidP="0040321B">
      <w:pPr>
        <w:widowControl/>
        <w:jc w:val="left"/>
        <w:rPr>
          <w:rFonts w:ascii="Arial" w:hAnsi="Arial" w:cs="Arial"/>
          <w:sz w:val="24"/>
          <w:lang w:val="en-GB"/>
        </w:rPr>
      </w:pPr>
      <w:r w:rsidRPr="00BE04D8">
        <w:rPr>
          <w:rFonts w:ascii="Arial" w:hAnsi="Arial" w:cs="Arial"/>
          <w:sz w:val="24"/>
          <w:lang w:val="en-GB"/>
        </w:rPr>
        <w:lastRenderedPageBreak/>
        <w:br w:type="page"/>
      </w:r>
    </w:p>
    <w:p w14:paraId="0F599B80" w14:textId="77777777" w:rsidR="001220D5" w:rsidRPr="00BE04D8" w:rsidRDefault="007D46F9" w:rsidP="00A7595D">
      <w:pPr>
        <w:rPr>
          <w:rFonts w:ascii="Arial" w:hAnsi="Arial" w:cs="Arial"/>
          <w:sz w:val="24"/>
          <w:lang w:val="en-GB"/>
        </w:rPr>
      </w:pPr>
      <w:r w:rsidRPr="00BE04D8">
        <w:rPr>
          <w:rFonts w:ascii="Arial" w:hAnsi="Arial" w:cs="Arial"/>
          <w:sz w:val="24"/>
          <w:lang w:val="en-GB"/>
        </w:rPr>
        <w:lastRenderedPageBreak/>
        <w:t>Table 1</w:t>
      </w:r>
      <w:r w:rsidRPr="00BE04D8">
        <w:rPr>
          <w:rFonts w:ascii="Arial" w:hAnsi="Arial" w:cs="Arial" w:hint="eastAsia"/>
          <w:sz w:val="24"/>
          <w:lang w:val="en-GB"/>
        </w:rPr>
        <w:t>-A</w:t>
      </w:r>
      <w:r w:rsidRPr="00BE04D8">
        <w:rPr>
          <w:rFonts w:ascii="Arial" w:hAnsi="Arial" w:cs="Arial"/>
          <w:sz w:val="24"/>
          <w:lang w:val="en-GB"/>
        </w:rPr>
        <w:t xml:space="preserve">. Body surface area (BSA)-adapted </w:t>
      </w:r>
      <w:r w:rsidRPr="00BE04D8">
        <w:rPr>
          <w:rFonts w:ascii="Arial" w:hAnsi="Arial" w:cs="Arial" w:hint="eastAsia"/>
          <w:sz w:val="24"/>
          <w:lang w:val="en-GB"/>
        </w:rPr>
        <w:t>and b</w:t>
      </w:r>
      <w:r w:rsidRPr="00BE04D8">
        <w:rPr>
          <w:rFonts w:ascii="Arial" w:hAnsi="Arial" w:cs="Arial"/>
          <w:sz w:val="24"/>
          <w:lang w:val="en-GB"/>
        </w:rPr>
        <w:t>ody mass index (BMI)-adapted</w:t>
      </w:r>
      <w:r w:rsidRPr="00BE04D8">
        <w:rPr>
          <w:rFonts w:ascii="Arial" w:hAnsi="Arial" w:cs="Arial" w:hint="eastAsia"/>
          <w:sz w:val="24"/>
          <w:lang w:val="en-GB"/>
        </w:rPr>
        <w:t xml:space="preserve"> </w:t>
      </w:r>
      <w:r w:rsidRPr="00BE04D8">
        <w:rPr>
          <w:rFonts w:ascii="Arial" w:hAnsi="Arial" w:cs="Arial"/>
          <w:sz w:val="24"/>
          <w:lang w:val="en-GB"/>
        </w:rPr>
        <w:t>contrast-medium injection protocol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9"/>
        <w:gridCol w:w="1729"/>
        <w:gridCol w:w="1732"/>
        <w:gridCol w:w="1729"/>
        <w:gridCol w:w="1729"/>
        <w:gridCol w:w="1729"/>
        <w:gridCol w:w="1732"/>
        <w:gridCol w:w="1735"/>
      </w:tblGrid>
      <w:tr w:rsidR="001220D5" w:rsidRPr="00BE04D8" w14:paraId="7AF0EA80" w14:textId="77777777" w:rsidTr="00A7595D">
        <w:trPr>
          <w:trHeight w:val="536"/>
        </w:trPr>
        <w:tc>
          <w:tcPr>
            <w:tcW w:w="2557" w:type="pct"/>
            <w:gridSpan w:val="4"/>
            <w:tcBorders>
              <w:bottom w:val="nil"/>
            </w:tcBorders>
            <w:vAlign w:val="center"/>
          </w:tcPr>
          <w:p w14:paraId="7BAF32D8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BSA</w:t>
            </w:r>
          </w:p>
        </w:tc>
        <w:tc>
          <w:tcPr>
            <w:tcW w:w="2443" w:type="pct"/>
            <w:gridSpan w:val="4"/>
            <w:tcBorders>
              <w:bottom w:val="nil"/>
            </w:tcBorders>
            <w:vAlign w:val="center"/>
          </w:tcPr>
          <w:p w14:paraId="0B3E9543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BMI</w:t>
            </w:r>
          </w:p>
        </w:tc>
      </w:tr>
      <w:tr w:rsidR="001220D5" w:rsidRPr="00BE04D8" w14:paraId="62D22CCF" w14:textId="77777777" w:rsidTr="00A7595D">
        <w:trPr>
          <w:trHeight w:val="2270"/>
        </w:trPr>
        <w:tc>
          <w:tcPr>
            <w:tcW w:w="726" w:type="pct"/>
            <w:tcBorders>
              <w:top w:val="nil"/>
              <w:right w:val="nil"/>
            </w:tcBorders>
            <w:vAlign w:val="center"/>
          </w:tcPr>
          <w:p w14:paraId="0761356D" w14:textId="77777777" w:rsidR="001220D5" w:rsidRPr="00BE04D8" w:rsidRDefault="007D46F9">
            <w:pPr>
              <w:widowControl/>
              <w:spacing w:line="480" w:lineRule="auto"/>
              <w:jc w:val="left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BSA (m</w:t>
            </w:r>
            <w:r w:rsidRPr="00BE04D8">
              <w:rPr>
                <w:rFonts w:ascii="Arial" w:hAnsi="Arial" w:cs="Arial"/>
                <w:sz w:val="24"/>
                <w:vertAlign w:val="superscript"/>
                <w:lang w:val="en-GB"/>
              </w:rPr>
              <w:t>2</w:t>
            </w:r>
            <w:r w:rsidRPr="00BE04D8">
              <w:rPr>
                <w:rFonts w:ascii="Arial" w:hAnsi="Arial" w:cs="Arial"/>
                <w:sz w:val="24"/>
                <w:lang w:val="en-GB"/>
              </w:rPr>
              <w:t>)</w:t>
            </w:r>
          </w:p>
        </w:tc>
        <w:tc>
          <w:tcPr>
            <w:tcW w:w="610" w:type="pct"/>
            <w:tcBorders>
              <w:top w:val="nil"/>
              <w:left w:val="nil"/>
              <w:right w:val="nil"/>
            </w:tcBorders>
            <w:vAlign w:val="center"/>
          </w:tcPr>
          <w:p w14:paraId="374B5311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Contrast volume (mL)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</w:tcPr>
          <w:p w14:paraId="5FBE7D0E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Saline volume(mL)</w:t>
            </w:r>
          </w:p>
        </w:tc>
        <w:tc>
          <w:tcPr>
            <w:tcW w:w="610" w:type="pct"/>
            <w:tcBorders>
              <w:top w:val="nil"/>
              <w:left w:val="nil"/>
            </w:tcBorders>
            <w:vAlign w:val="center"/>
          </w:tcPr>
          <w:p w14:paraId="29D05FAC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Flow rate (mL/s)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F31E4E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BMI (kg/m</w:t>
            </w:r>
            <w:r w:rsidRPr="00BE04D8">
              <w:rPr>
                <w:rFonts w:ascii="Arial" w:hAnsi="Arial" w:cs="Arial"/>
                <w:sz w:val="24"/>
                <w:vertAlign w:val="superscript"/>
                <w:lang w:val="en-GB"/>
              </w:rPr>
              <w:t>2</w:t>
            </w:r>
            <w:r w:rsidRPr="00BE04D8">
              <w:rPr>
                <w:rFonts w:ascii="Arial" w:hAnsi="Arial" w:cs="Arial"/>
                <w:sz w:val="24"/>
                <w:lang w:val="en-GB"/>
              </w:rPr>
              <w:t>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DE617D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Contrast volume (mL)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4ED95D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Saline volume (mL)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F5C6A4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Flow rate (mL/s)</w:t>
            </w:r>
          </w:p>
        </w:tc>
      </w:tr>
      <w:tr w:rsidR="001220D5" w:rsidRPr="00BE04D8" w14:paraId="74A0D0DB" w14:textId="77777777" w:rsidTr="00A7595D">
        <w:trPr>
          <w:trHeight w:val="536"/>
        </w:trPr>
        <w:tc>
          <w:tcPr>
            <w:tcW w:w="726" w:type="pct"/>
            <w:tcBorders>
              <w:bottom w:val="nil"/>
              <w:right w:val="nil"/>
            </w:tcBorders>
            <w:vAlign w:val="center"/>
          </w:tcPr>
          <w:p w14:paraId="340DF9FC" w14:textId="77777777" w:rsidR="001220D5" w:rsidRPr="00BE04D8" w:rsidRDefault="007D46F9">
            <w:pPr>
              <w:widowControl/>
              <w:spacing w:line="480" w:lineRule="auto"/>
              <w:jc w:val="left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≤</w:t>
            </w:r>
            <w:r w:rsidRPr="00BE04D8">
              <w:rPr>
                <w:rFonts w:ascii="Arial" w:hAnsi="Arial" w:cs="Arial" w:hint="eastAsia"/>
                <w:sz w:val="24"/>
                <w:lang w:val="en-GB"/>
              </w:rPr>
              <w:t xml:space="preserve"> </w:t>
            </w:r>
            <w:r w:rsidRPr="00BE04D8">
              <w:rPr>
                <w:rFonts w:ascii="Arial" w:hAnsi="Arial" w:cs="Arial"/>
                <w:sz w:val="24"/>
                <w:lang w:val="en-GB"/>
              </w:rPr>
              <w:t>1.70</w:t>
            </w:r>
          </w:p>
        </w:tc>
        <w:tc>
          <w:tcPr>
            <w:tcW w:w="610" w:type="pct"/>
            <w:tcBorders>
              <w:left w:val="nil"/>
              <w:bottom w:val="nil"/>
              <w:right w:val="nil"/>
            </w:tcBorders>
            <w:vAlign w:val="center"/>
          </w:tcPr>
          <w:p w14:paraId="173C0AE5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40</w:t>
            </w:r>
          </w:p>
        </w:tc>
        <w:tc>
          <w:tcPr>
            <w:tcW w:w="611" w:type="pct"/>
            <w:tcBorders>
              <w:left w:val="nil"/>
              <w:bottom w:val="nil"/>
              <w:right w:val="nil"/>
            </w:tcBorders>
            <w:vAlign w:val="center"/>
          </w:tcPr>
          <w:p w14:paraId="757ABE91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50</w:t>
            </w:r>
          </w:p>
        </w:tc>
        <w:tc>
          <w:tcPr>
            <w:tcW w:w="610" w:type="pct"/>
            <w:tcBorders>
              <w:left w:val="nil"/>
              <w:bottom w:val="nil"/>
            </w:tcBorders>
            <w:vAlign w:val="center"/>
          </w:tcPr>
          <w:p w14:paraId="00EDB68B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3.5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809B55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≤</w:t>
            </w:r>
            <w:r w:rsidRPr="00BE04D8">
              <w:rPr>
                <w:rFonts w:ascii="Arial" w:hAnsi="Arial" w:cs="Arial" w:hint="eastAsia"/>
                <w:sz w:val="24"/>
                <w:lang w:val="en-GB"/>
              </w:rPr>
              <w:t xml:space="preserve"> </w:t>
            </w:r>
            <w:r w:rsidRPr="00BE04D8">
              <w:rPr>
                <w:rFonts w:ascii="Arial" w:hAnsi="Arial" w:cs="Arial"/>
                <w:sz w:val="24"/>
                <w:lang w:val="en-GB"/>
              </w:rPr>
              <w:t>20.0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D3E57E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45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18015E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50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1F950E3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4</w:t>
            </w:r>
          </w:p>
        </w:tc>
      </w:tr>
      <w:tr w:rsidR="001220D5" w:rsidRPr="00BE04D8" w14:paraId="42ADC6D9" w14:textId="77777777" w:rsidTr="00A7595D">
        <w:trPr>
          <w:trHeight w:val="848"/>
        </w:trPr>
        <w:tc>
          <w:tcPr>
            <w:tcW w:w="726" w:type="pct"/>
            <w:tcBorders>
              <w:top w:val="nil"/>
              <w:bottom w:val="nil"/>
              <w:right w:val="nil"/>
            </w:tcBorders>
            <w:vAlign w:val="center"/>
          </w:tcPr>
          <w:p w14:paraId="58794AD5" w14:textId="77777777" w:rsidR="001220D5" w:rsidRPr="00BE04D8" w:rsidRDefault="007D46F9">
            <w:pPr>
              <w:widowControl/>
              <w:spacing w:line="480" w:lineRule="auto"/>
              <w:jc w:val="left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1.70–1.79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8AF29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45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4934E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50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</w:tcBorders>
            <w:vAlign w:val="center"/>
          </w:tcPr>
          <w:p w14:paraId="19B40841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3.5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D7530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20.1–24.9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58887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50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397EE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45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</w:tcBorders>
            <w:vAlign w:val="center"/>
          </w:tcPr>
          <w:p w14:paraId="6FE86D16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4</w:t>
            </w:r>
          </w:p>
        </w:tc>
      </w:tr>
      <w:tr w:rsidR="001220D5" w:rsidRPr="00BE04D8" w14:paraId="3BD7866B" w14:textId="77777777" w:rsidTr="00A7595D">
        <w:trPr>
          <w:trHeight w:val="848"/>
        </w:trPr>
        <w:tc>
          <w:tcPr>
            <w:tcW w:w="726" w:type="pct"/>
            <w:tcBorders>
              <w:top w:val="nil"/>
              <w:bottom w:val="nil"/>
              <w:right w:val="nil"/>
            </w:tcBorders>
            <w:vAlign w:val="center"/>
          </w:tcPr>
          <w:p w14:paraId="1FB2555D" w14:textId="77777777" w:rsidR="001220D5" w:rsidRPr="00BE04D8" w:rsidRDefault="007D46F9">
            <w:pPr>
              <w:widowControl/>
              <w:spacing w:line="480" w:lineRule="auto"/>
              <w:jc w:val="left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1.80–1.94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1A528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55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9B73C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40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</w:tcBorders>
            <w:vAlign w:val="center"/>
          </w:tcPr>
          <w:p w14:paraId="00E7727C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4.0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FB1EC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25.0–29.9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99163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55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B626C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40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</w:tcBorders>
            <w:vAlign w:val="center"/>
          </w:tcPr>
          <w:p w14:paraId="600BB2CF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4</w:t>
            </w:r>
          </w:p>
        </w:tc>
      </w:tr>
      <w:tr w:rsidR="001220D5" w:rsidRPr="00BE04D8" w14:paraId="5D9E19CA" w14:textId="77777777" w:rsidTr="00A7595D">
        <w:trPr>
          <w:trHeight w:val="528"/>
        </w:trPr>
        <w:tc>
          <w:tcPr>
            <w:tcW w:w="726" w:type="pct"/>
            <w:tcBorders>
              <w:top w:val="nil"/>
              <w:bottom w:val="nil"/>
              <w:right w:val="nil"/>
            </w:tcBorders>
            <w:vAlign w:val="center"/>
          </w:tcPr>
          <w:p w14:paraId="564C7AD4" w14:textId="77777777" w:rsidR="001220D5" w:rsidRPr="00BE04D8" w:rsidRDefault="007D46F9">
            <w:pPr>
              <w:widowControl/>
              <w:spacing w:line="480" w:lineRule="auto"/>
              <w:jc w:val="left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1.95–2.14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10D8D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60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1C1B2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35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</w:tcBorders>
            <w:vAlign w:val="center"/>
          </w:tcPr>
          <w:p w14:paraId="61B0C3F2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4.5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A0589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≥ 30.0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344D0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60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3DCEB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35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</w:tcBorders>
            <w:vAlign w:val="center"/>
          </w:tcPr>
          <w:p w14:paraId="71FEF8DD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5</w:t>
            </w:r>
          </w:p>
        </w:tc>
      </w:tr>
      <w:tr w:rsidR="001220D5" w:rsidRPr="00BE04D8" w14:paraId="39013DA1" w14:textId="77777777" w:rsidTr="00A7595D">
        <w:trPr>
          <w:trHeight w:val="528"/>
        </w:trPr>
        <w:tc>
          <w:tcPr>
            <w:tcW w:w="726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5503C9E" w14:textId="77777777" w:rsidR="001220D5" w:rsidRPr="00BE04D8" w:rsidRDefault="007D46F9">
            <w:pPr>
              <w:widowControl/>
              <w:spacing w:line="480" w:lineRule="auto"/>
              <w:jc w:val="left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&gt;2.15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3231E5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70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B0F662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20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1E8DF6D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5.0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D01990" w14:textId="77777777" w:rsidR="001220D5" w:rsidRPr="00BE04D8" w:rsidRDefault="001220D5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716F4C" w14:textId="77777777" w:rsidR="001220D5" w:rsidRPr="00BE04D8" w:rsidRDefault="001220D5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C7831C" w14:textId="77777777" w:rsidR="001220D5" w:rsidRPr="00BE04D8" w:rsidRDefault="001220D5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DFDB477" w14:textId="77777777" w:rsidR="001220D5" w:rsidRPr="00BE04D8" w:rsidRDefault="001220D5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</w:p>
        </w:tc>
      </w:tr>
    </w:tbl>
    <w:p w14:paraId="7FA621D3" w14:textId="77777777" w:rsidR="001220D5" w:rsidRPr="00BE04D8" w:rsidRDefault="001220D5">
      <w:pPr>
        <w:spacing w:line="480" w:lineRule="auto"/>
        <w:rPr>
          <w:rFonts w:ascii="Arial" w:eastAsia="Times New Roman" w:hAnsi="Arial" w:cs="Arial"/>
          <w:sz w:val="24"/>
          <w:lang w:val="en-GB"/>
        </w:rPr>
      </w:pPr>
    </w:p>
    <w:p w14:paraId="74F475E8" w14:textId="77777777" w:rsidR="00EE54A1" w:rsidRPr="00BE04D8" w:rsidRDefault="00EE54A1">
      <w:pPr>
        <w:rPr>
          <w:rFonts w:ascii="Arial" w:hAnsi="Arial" w:cs="Arial"/>
          <w:sz w:val="24"/>
          <w:lang w:val="en-GB"/>
        </w:rPr>
        <w:sectPr w:rsidR="00EE54A1" w:rsidRPr="00BE04D8" w:rsidSect="00EE54A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987082B" w14:textId="77777777" w:rsidR="001220D5" w:rsidRPr="00BE04D8" w:rsidRDefault="007D46F9" w:rsidP="00A7595D">
      <w:pPr>
        <w:rPr>
          <w:rFonts w:ascii="Arial" w:hAnsi="Arial" w:cs="Arial"/>
          <w:sz w:val="24"/>
          <w:lang w:val="en-GB"/>
        </w:rPr>
      </w:pPr>
      <w:r w:rsidRPr="00BE04D8">
        <w:rPr>
          <w:rFonts w:ascii="Arial" w:hAnsi="Arial" w:cs="Arial"/>
          <w:sz w:val="24"/>
          <w:lang w:val="en-GB"/>
        </w:rPr>
        <w:lastRenderedPageBreak/>
        <w:t>Table 1</w:t>
      </w:r>
      <w:r w:rsidRPr="00BE04D8">
        <w:rPr>
          <w:rFonts w:ascii="Arial" w:hAnsi="Arial" w:cs="Arial" w:hint="eastAsia"/>
          <w:sz w:val="24"/>
          <w:lang w:val="en-GB"/>
        </w:rPr>
        <w:t>-B</w:t>
      </w:r>
      <w:r w:rsidRPr="00BE04D8">
        <w:rPr>
          <w:rFonts w:ascii="Arial" w:hAnsi="Arial" w:cs="Arial"/>
          <w:sz w:val="24"/>
          <w:lang w:val="en-GB"/>
        </w:rPr>
        <w:t>.</w:t>
      </w:r>
      <w:r w:rsidRPr="00BE04D8">
        <w:rPr>
          <w:rFonts w:ascii="Arial" w:hAnsi="Arial" w:cs="Arial" w:hint="eastAsia"/>
          <w:sz w:val="24"/>
          <w:lang w:val="en-GB"/>
        </w:rPr>
        <w:t xml:space="preserve"> </w:t>
      </w:r>
      <w:r w:rsidRPr="00BE04D8">
        <w:rPr>
          <w:rFonts w:ascii="Arial" w:hAnsi="Arial" w:cs="Arial"/>
          <w:sz w:val="24"/>
          <w:lang w:val="en-GB"/>
        </w:rPr>
        <w:t>Body mass index (BMI)-adapted scanning parameters</w:t>
      </w:r>
    </w:p>
    <w:tbl>
      <w:tblPr>
        <w:tblW w:w="810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6"/>
        <w:gridCol w:w="2644"/>
        <w:gridCol w:w="2810"/>
      </w:tblGrid>
      <w:tr w:rsidR="001220D5" w:rsidRPr="00BE04D8" w14:paraId="7BA9F2AD" w14:textId="77777777">
        <w:trPr>
          <w:trHeight w:val="515"/>
        </w:trPr>
        <w:tc>
          <w:tcPr>
            <w:tcW w:w="8100" w:type="dxa"/>
            <w:gridSpan w:val="3"/>
            <w:vAlign w:val="center"/>
          </w:tcPr>
          <w:p w14:paraId="6C5107ED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BMI</w:t>
            </w:r>
          </w:p>
        </w:tc>
      </w:tr>
      <w:tr w:rsidR="001220D5" w:rsidRPr="00BE04D8" w14:paraId="580422B2" w14:textId="77777777">
        <w:trPr>
          <w:trHeight w:val="784"/>
        </w:trPr>
        <w:tc>
          <w:tcPr>
            <w:tcW w:w="2646" w:type="dxa"/>
            <w:vMerge w:val="restart"/>
            <w:tcBorders>
              <w:right w:val="nil"/>
            </w:tcBorders>
            <w:vAlign w:val="center"/>
          </w:tcPr>
          <w:p w14:paraId="41CFC01F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BMI (kg/m</w:t>
            </w:r>
            <w:r w:rsidRPr="00BE04D8">
              <w:rPr>
                <w:rFonts w:ascii="Arial" w:hAnsi="Arial" w:cs="Arial"/>
                <w:sz w:val="24"/>
                <w:vertAlign w:val="superscript"/>
                <w:lang w:val="en-GB"/>
              </w:rPr>
              <w:t>2</w:t>
            </w:r>
            <w:r w:rsidRPr="00BE04D8">
              <w:rPr>
                <w:rFonts w:ascii="Arial" w:hAnsi="Arial" w:cs="Arial"/>
                <w:sz w:val="24"/>
                <w:lang w:val="en-GB"/>
              </w:rPr>
              <w:t>)</w:t>
            </w:r>
          </w:p>
        </w:tc>
        <w:tc>
          <w:tcPr>
            <w:tcW w:w="2644" w:type="dxa"/>
            <w:vMerge w:val="restart"/>
            <w:tcBorders>
              <w:left w:val="nil"/>
              <w:right w:val="nil"/>
            </w:tcBorders>
            <w:vAlign w:val="center"/>
          </w:tcPr>
          <w:p w14:paraId="5A0A470B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Voltage (kV)</w:t>
            </w:r>
          </w:p>
        </w:tc>
        <w:tc>
          <w:tcPr>
            <w:tcW w:w="2810" w:type="dxa"/>
            <w:vMerge w:val="restart"/>
            <w:tcBorders>
              <w:left w:val="nil"/>
            </w:tcBorders>
            <w:vAlign w:val="center"/>
          </w:tcPr>
          <w:p w14:paraId="57544C68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Current (mA)</w:t>
            </w:r>
          </w:p>
        </w:tc>
      </w:tr>
      <w:tr w:rsidR="001220D5" w:rsidRPr="00BE04D8" w14:paraId="4131E228" w14:textId="77777777">
        <w:trPr>
          <w:trHeight w:val="784"/>
        </w:trPr>
        <w:tc>
          <w:tcPr>
            <w:tcW w:w="2646" w:type="dxa"/>
            <w:vMerge/>
            <w:tcBorders>
              <w:right w:val="nil"/>
            </w:tcBorders>
            <w:vAlign w:val="center"/>
          </w:tcPr>
          <w:p w14:paraId="31B3FC9A" w14:textId="77777777" w:rsidR="001220D5" w:rsidRPr="00BE04D8" w:rsidRDefault="001220D5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2644" w:type="dxa"/>
            <w:vMerge/>
            <w:tcBorders>
              <w:left w:val="nil"/>
              <w:right w:val="nil"/>
            </w:tcBorders>
            <w:vAlign w:val="center"/>
          </w:tcPr>
          <w:p w14:paraId="60EE7609" w14:textId="77777777" w:rsidR="001220D5" w:rsidRPr="00BE04D8" w:rsidRDefault="001220D5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</w:p>
        </w:tc>
        <w:tc>
          <w:tcPr>
            <w:tcW w:w="2810" w:type="dxa"/>
            <w:vMerge/>
            <w:tcBorders>
              <w:left w:val="nil"/>
            </w:tcBorders>
            <w:vAlign w:val="center"/>
          </w:tcPr>
          <w:p w14:paraId="37332C29" w14:textId="77777777" w:rsidR="001220D5" w:rsidRPr="00BE04D8" w:rsidRDefault="001220D5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1220D5" w:rsidRPr="00BE04D8" w14:paraId="4D6FB527" w14:textId="77777777">
        <w:trPr>
          <w:trHeight w:val="515"/>
        </w:trPr>
        <w:tc>
          <w:tcPr>
            <w:tcW w:w="2646" w:type="dxa"/>
            <w:tcBorders>
              <w:bottom w:val="nil"/>
              <w:right w:val="nil"/>
            </w:tcBorders>
            <w:vAlign w:val="center"/>
          </w:tcPr>
          <w:p w14:paraId="31BDFA64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≤ 20.0</w:t>
            </w:r>
          </w:p>
        </w:tc>
        <w:tc>
          <w:tcPr>
            <w:tcW w:w="2644" w:type="dxa"/>
            <w:tcBorders>
              <w:left w:val="nil"/>
              <w:bottom w:val="nil"/>
              <w:right w:val="nil"/>
            </w:tcBorders>
            <w:vAlign w:val="center"/>
          </w:tcPr>
          <w:p w14:paraId="603B8A58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70</w:t>
            </w:r>
          </w:p>
        </w:tc>
        <w:tc>
          <w:tcPr>
            <w:tcW w:w="2810" w:type="dxa"/>
            <w:tcBorders>
              <w:left w:val="nil"/>
              <w:bottom w:val="nil"/>
            </w:tcBorders>
            <w:vAlign w:val="center"/>
          </w:tcPr>
          <w:p w14:paraId="67373EC3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CARE Dose (4D)</w:t>
            </w:r>
          </w:p>
        </w:tc>
      </w:tr>
      <w:tr w:rsidR="001220D5" w:rsidRPr="00BE04D8" w14:paraId="525DA6F8" w14:textId="77777777">
        <w:trPr>
          <w:trHeight w:val="507"/>
        </w:trPr>
        <w:tc>
          <w:tcPr>
            <w:tcW w:w="2646" w:type="dxa"/>
            <w:tcBorders>
              <w:top w:val="nil"/>
              <w:bottom w:val="nil"/>
              <w:right w:val="nil"/>
            </w:tcBorders>
            <w:vAlign w:val="center"/>
          </w:tcPr>
          <w:p w14:paraId="51856BBD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20.1–24.9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311F2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80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</w:tcBorders>
            <w:vAlign w:val="center"/>
          </w:tcPr>
          <w:p w14:paraId="6D54340C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CARE Dose (4D)</w:t>
            </w:r>
          </w:p>
        </w:tc>
      </w:tr>
      <w:tr w:rsidR="001220D5" w:rsidRPr="00BE04D8" w14:paraId="1DC1C4FA" w14:textId="77777777">
        <w:trPr>
          <w:trHeight w:val="507"/>
        </w:trPr>
        <w:tc>
          <w:tcPr>
            <w:tcW w:w="2646" w:type="dxa"/>
            <w:tcBorders>
              <w:top w:val="nil"/>
              <w:bottom w:val="nil"/>
              <w:right w:val="nil"/>
            </w:tcBorders>
            <w:vAlign w:val="center"/>
          </w:tcPr>
          <w:p w14:paraId="6DDB669C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25.0–27.4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C6BCE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100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</w:tcBorders>
            <w:vAlign w:val="center"/>
          </w:tcPr>
          <w:p w14:paraId="32C07E80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250</w:t>
            </w:r>
          </w:p>
        </w:tc>
      </w:tr>
      <w:tr w:rsidR="001220D5" w:rsidRPr="00BE04D8" w14:paraId="47699B9A" w14:textId="77777777">
        <w:trPr>
          <w:trHeight w:val="507"/>
        </w:trPr>
        <w:tc>
          <w:tcPr>
            <w:tcW w:w="2646" w:type="dxa"/>
            <w:tcBorders>
              <w:top w:val="nil"/>
              <w:bottom w:val="nil"/>
              <w:right w:val="nil"/>
            </w:tcBorders>
            <w:vAlign w:val="center"/>
          </w:tcPr>
          <w:p w14:paraId="2DAE6172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27.5–29.9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D15DA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100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</w:tcBorders>
            <w:vAlign w:val="center"/>
          </w:tcPr>
          <w:p w14:paraId="5D9C11F4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280</w:t>
            </w:r>
          </w:p>
        </w:tc>
      </w:tr>
      <w:tr w:rsidR="001220D5" w:rsidRPr="00BE04D8" w14:paraId="0AE9BC7D" w14:textId="77777777">
        <w:trPr>
          <w:trHeight w:val="515"/>
        </w:trPr>
        <w:tc>
          <w:tcPr>
            <w:tcW w:w="2646" w:type="dxa"/>
            <w:tcBorders>
              <w:top w:val="nil"/>
              <w:right w:val="nil"/>
            </w:tcBorders>
            <w:vAlign w:val="center"/>
          </w:tcPr>
          <w:p w14:paraId="3983343E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≥ 30.0</w:t>
            </w:r>
          </w:p>
        </w:tc>
        <w:tc>
          <w:tcPr>
            <w:tcW w:w="2644" w:type="dxa"/>
            <w:tcBorders>
              <w:top w:val="nil"/>
              <w:left w:val="nil"/>
              <w:right w:val="nil"/>
            </w:tcBorders>
            <w:vAlign w:val="center"/>
          </w:tcPr>
          <w:p w14:paraId="79780B6E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120</w:t>
            </w:r>
          </w:p>
        </w:tc>
        <w:tc>
          <w:tcPr>
            <w:tcW w:w="2810" w:type="dxa"/>
            <w:tcBorders>
              <w:top w:val="nil"/>
              <w:left w:val="nil"/>
            </w:tcBorders>
            <w:vAlign w:val="center"/>
          </w:tcPr>
          <w:p w14:paraId="0D5B8428" w14:textId="77777777" w:rsidR="001220D5" w:rsidRPr="00BE04D8" w:rsidRDefault="007D46F9">
            <w:pPr>
              <w:widowControl/>
              <w:spacing w:line="480" w:lineRule="auto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BE04D8">
              <w:rPr>
                <w:rFonts w:ascii="Arial" w:hAnsi="Arial" w:cs="Arial"/>
                <w:sz w:val="24"/>
                <w:lang w:val="en-GB"/>
              </w:rPr>
              <w:t>300</w:t>
            </w:r>
          </w:p>
        </w:tc>
      </w:tr>
    </w:tbl>
    <w:p w14:paraId="43F0C59A" w14:textId="77777777" w:rsidR="001220D5" w:rsidRPr="00BE04D8" w:rsidRDefault="001220D5">
      <w:pPr>
        <w:spacing w:line="480" w:lineRule="auto"/>
        <w:rPr>
          <w:rFonts w:ascii="Arial" w:hAnsi="Arial" w:cs="Arial"/>
          <w:sz w:val="24"/>
          <w:lang w:val="en-GB"/>
        </w:rPr>
      </w:pPr>
    </w:p>
    <w:p w14:paraId="06D975A6" w14:textId="77777777" w:rsidR="001220D5" w:rsidRPr="00BE04D8" w:rsidRDefault="001220D5">
      <w:pPr>
        <w:rPr>
          <w:lang w:val="en-GB"/>
        </w:rPr>
      </w:pPr>
    </w:p>
    <w:p w14:paraId="5F830678" w14:textId="77777777" w:rsidR="001220D5" w:rsidRPr="00BE04D8" w:rsidRDefault="001220D5">
      <w:pPr>
        <w:rPr>
          <w:lang w:val="en-GB"/>
        </w:rPr>
      </w:pPr>
    </w:p>
    <w:p w14:paraId="409C0708" w14:textId="77777777" w:rsidR="001220D5" w:rsidRPr="00BE04D8" w:rsidRDefault="001220D5">
      <w:pPr>
        <w:rPr>
          <w:lang w:val="en-GB"/>
        </w:rPr>
      </w:pPr>
    </w:p>
    <w:p w14:paraId="3CC684CA" w14:textId="77777777" w:rsidR="001220D5" w:rsidRPr="00BE04D8" w:rsidRDefault="001220D5">
      <w:pPr>
        <w:rPr>
          <w:lang w:val="en-GB"/>
        </w:rPr>
      </w:pPr>
    </w:p>
    <w:p w14:paraId="26E10CC8" w14:textId="77777777" w:rsidR="001220D5" w:rsidRPr="00BE04D8" w:rsidRDefault="001220D5">
      <w:pPr>
        <w:rPr>
          <w:lang w:val="en-GB"/>
        </w:rPr>
      </w:pPr>
    </w:p>
    <w:p w14:paraId="22B40E81" w14:textId="77777777" w:rsidR="001220D5" w:rsidRPr="00BE04D8" w:rsidRDefault="001220D5">
      <w:pPr>
        <w:rPr>
          <w:lang w:val="en-GB"/>
        </w:rPr>
      </w:pPr>
    </w:p>
    <w:p w14:paraId="709D2707" w14:textId="77777777" w:rsidR="001220D5" w:rsidRPr="00BE04D8" w:rsidRDefault="001220D5">
      <w:pPr>
        <w:rPr>
          <w:lang w:val="en-GB"/>
        </w:rPr>
      </w:pPr>
    </w:p>
    <w:p w14:paraId="57EF3246" w14:textId="77777777" w:rsidR="001220D5" w:rsidRPr="00BE04D8" w:rsidRDefault="001220D5">
      <w:pPr>
        <w:rPr>
          <w:lang w:val="en-GB"/>
        </w:rPr>
      </w:pPr>
    </w:p>
    <w:sectPr w:rsidR="001220D5" w:rsidRPr="00BE04D8" w:rsidSect="00B55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1B25BE1" w16cid:durableId="22434AB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75783" w14:textId="77777777" w:rsidR="00AD5F9E" w:rsidRDefault="00AD5F9E" w:rsidP="00BE04D8">
      <w:r>
        <w:separator/>
      </w:r>
    </w:p>
  </w:endnote>
  <w:endnote w:type="continuationSeparator" w:id="0">
    <w:p w14:paraId="2B69CF41" w14:textId="77777777" w:rsidR="00AD5F9E" w:rsidRDefault="00AD5F9E" w:rsidP="00BE0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01B00" w14:textId="77777777" w:rsidR="00BE04D8" w:rsidRDefault="00BE04D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80D95" w14:textId="77777777" w:rsidR="00BE04D8" w:rsidRPr="00BE04D8" w:rsidRDefault="00BE04D8">
    <w:pPr>
      <w:pStyle w:val="ac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DF729" w14:textId="77777777" w:rsidR="00BE04D8" w:rsidRPr="00BE04D8" w:rsidRDefault="00BE04D8">
    <w:pPr>
      <w:pStyle w:val="ac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085CF" w14:textId="77777777" w:rsidR="00AD5F9E" w:rsidRDefault="00AD5F9E" w:rsidP="00BE04D8">
      <w:r>
        <w:separator/>
      </w:r>
    </w:p>
  </w:footnote>
  <w:footnote w:type="continuationSeparator" w:id="0">
    <w:p w14:paraId="0C5138B4" w14:textId="77777777" w:rsidR="00AD5F9E" w:rsidRDefault="00AD5F9E" w:rsidP="00BE0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E45FB" w14:textId="77777777" w:rsidR="00BE04D8" w:rsidRDefault="00BE04D8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6856A" w14:textId="77777777" w:rsidR="00BE04D8" w:rsidRPr="00BE04D8" w:rsidRDefault="00BE04D8">
    <w:pPr>
      <w:pStyle w:val="aa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E2435" w14:textId="77777777" w:rsidR="00BE04D8" w:rsidRPr="00BE04D8" w:rsidRDefault="00BE04D8">
    <w:pPr>
      <w:pStyle w:val="aa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1MzAwtgAyTAyMTZR0lIJTi4sz8/NACgxrAZAwaa4sAAAA"/>
  </w:docVars>
  <w:rsids>
    <w:rsidRoot w:val="001220D5"/>
    <w:rsid w:val="000D3DEB"/>
    <w:rsid w:val="001220D5"/>
    <w:rsid w:val="001B0553"/>
    <w:rsid w:val="00200744"/>
    <w:rsid w:val="0040321B"/>
    <w:rsid w:val="00574474"/>
    <w:rsid w:val="005B2CEA"/>
    <w:rsid w:val="00653458"/>
    <w:rsid w:val="00754133"/>
    <w:rsid w:val="007D46F9"/>
    <w:rsid w:val="00885BC7"/>
    <w:rsid w:val="009777AD"/>
    <w:rsid w:val="009D3A6E"/>
    <w:rsid w:val="00A7595D"/>
    <w:rsid w:val="00AD5F9E"/>
    <w:rsid w:val="00B555D4"/>
    <w:rsid w:val="00BE04D8"/>
    <w:rsid w:val="00D123EB"/>
    <w:rsid w:val="00EE54A1"/>
    <w:rsid w:val="00F7186A"/>
    <w:rsid w:val="011B28C5"/>
    <w:rsid w:val="1F5F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41E28F"/>
  <w15:docId w15:val="{E8653C00-1C20-4683-A8B3-33214B159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qFormat/>
    <w:rPr>
      <w:rFonts w:ascii="Calibri" w:eastAsia="宋体" w:hAnsi="Calibri" w:cs="Calibri"/>
      <w:sz w:val="20"/>
    </w:rPr>
  </w:style>
  <w:style w:type="paragraph" w:styleId="a3">
    <w:name w:val="Balloon Text"/>
    <w:basedOn w:val="a"/>
    <w:link w:val="a4"/>
    <w:rsid w:val="007D46F9"/>
    <w:rPr>
      <w:rFonts w:ascii="Lucida Grande" w:hAnsi="Lucida Grande" w:cs="Lucida Grande"/>
      <w:sz w:val="18"/>
      <w:szCs w:val="18"/>
    </w:rPr>
  </w:style>
  <w:style w:type="character" w:customStyle="1" w:styleId="a4">
    <w:name w:val="批注框文本 字符"/>
    <w:basedOn w:val="a0"/>
    <w:link w:val="a3"/>
    <w:rsid w:val="007D46F9"/>
    <w:rPr>
      <w:rFonts w:ascii="Lucida Grande" w:eastAsiaTheme="minorEastAsia" w:hAnsi="Lucida Grande" w:cs="Lucida Grande"/>
      <w:kern w:val="2"/>
      <w:sz w:val="18"/>
      <w:szCs w:val="18"/>
      <w:lang w:eastAsia="zh-CN"/>
    </w:rPr>
  </w:style>
  <w:style w:type="character" w:styleId="a5">
    <w:name w:val="annotation reference"/>
    <w:basedOn w:val="a0"/>
    <w:rsid w:val="00D123EB"/>
    <w:rPr>
      <w:sz w:val="18"/>
      <w:szCs w:val="18"/>
    </w:rPr>
  </w:style>
  <w:style w:type="paragraph" w:styleId="a6">
    <w:name w:val="annotation text"/>
    <w:basedOn w:val="a"/>
    <w:link w:val="a7"/>
    <w:rsid w:val="00D123EB"/>
    <w:rPr>
      <w:sz w:val="24"/>
    </w:rPr>
  </w:style>
  <w:style w:type="character" w:customStyle="1" w:styleId="a7">
    <w:name w:val="批注文字 字符"/>
    <w:basedOn w:val="a0"/>
    <w:link w:val="a6"/>
    <w:rsid w:val="00D123EB"/>
    <w:rPr>
      <w:rFonts w:asciiTheme="minorHAnsi" w:eastAsiaTheme="minorEastAsia" w:hAnsiTheme="minorHAnsi" w:cstheme="minorBidi"/>
      <w:kern w:val="2"/>
      <w:sz w:val="24"/>
      <w:szCs w:val="24"/>
      <w:lang w:eastAsia="zh-CN"/>
    </w:rPr>
  </w:style>
  <w:style w:type="paragraph" w:styleId="a8">
    <w:name w:val="annotation subject"/>
    <w:basedOn w:val="a6"/>
    <w:next w:val="a6"/>
    <w:link w:val="a9"/>
    <w:rsid w:val="00D123EB"/>
    <w:rPr>
      <w:b/>
      <w:bCs/>
      <w:sz w:val="20"/>
      <w:szCs w:val="20"/>
    </w:rPr>
  </w:style>
  <w:style w:type="character" w:customStyle="1" w:styleId="a9">
    <w:name w:val="批注主题 字符"/>
    <w:basedOn w:val="a7"/>
    <w:link w:val="a8"/>
    <w:rsid w:val="00D123EB"/>
    <w:rPr>
      <w:rFonts w:asciiTheme="minorHAnsi" w:eastAsiaTheme="minorEastAsia" w:hAnsiTheme="minorHAnsi" w:cstheme="minorBidi"/>
      <w:b/>
      <w:bCs/>
      <w:kern w:val="2"/>
      <w:sz w:val="24"/>
      <w:szCs w:val="24"/>
      <w:lang w:eastAsia="zh-CN"/>
    </w:rPr>
  </w:style>
  <w:style w:type="paragraph" w:styleId="aa">
    <w:name w:val="header"/>
    <w:basedOn w:val="a"/>
    <w:link w:val="ab"/>
    <w:unhideWhenUsed/>
    <w:rsid w:val="00BE04D8"/>
    <w:pPr>
      <w:tabs>
        <w:tab w:val="center" w:pos="4513"/>
        <w:tab w:val="right" w:pos="9026"/>
      </w:tabs>
    </w:pPr>
  </w:style>
  <w:style w:type="character" w:customStyle="1" w:styleId="ab">
    <w:name w:val="页眉 字符"/>
    <w:basedOn w:val="a0"/>
    <w:link w:val="aa"/>
    <w:rsid w:val="00BE04D8"/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ac">
    <w:name w:val="footer"/>
    <w:basedOn w:val="a"/>
    <w:link w:val="ad"/>
    <w:unhideWhenUsed/>
    <w:rsid w:val="00BE04D8"/>
    <w:pPr>
      <w:tabs>
        <w:tab w:val="center" w:pos="4513"/>
        <w:tab w:val="right" w:pos="9026"/>
      </w:tabs>
    </w:pPr>
  </w:style>
  <w:style w:type="character" w:customStyle="1" w:styleId="ad">
    <w:name w:val="页脚 字符"/>
    <w:basedOn w:val="a0"/>
    <w:link w:val="ac"/>
    <w:rsid w:val="00BE04D8"/>
    <w:rPr>
      <w:rFonts w:asciiTheme="minorHAnsi" w:eastAsiaTheme="minorEastAsia" w:hAnsiTheme="minorHAnsi" w:cstheme="minorBidi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392</Words>
  <Characters>2237</Characters>
  <Application>Microsoft Office Word</Application>
  <DocSecurity>0</DocSecurity>
  <Lines>18</Lines>
  <Paragraphs>5</Paragraphs>
  <ScaleCrop>false</ScaleCrop>
  <Company>PURDUE UNIVERSITY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hp.DESKTOP-17D458S</dc:creator>
  <cp:lastModifiedBy>JPG</cp:lastModifiedBy>
  <cp:revision>8</cp:revision>
  <dcterms:created xsi:type="dcterms:W3CDTF">2014-10-29T12:08:00Z</dcterms:created>
  <dcterms:modified xsi:type="dcterms:W3CDTF">2020-04-17T10:44:00Z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2052-11.1.0.9022</vt:lpwstr>
  </property>
</Properties>
</file>