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072A12" w14:textId="5B38538B" w:rsidR="00C72EF7" w:rsidRDefault="00C72EF7" w:rsidP="00D64154">
      <w:pPr>
        <w:pStyle w:val="Subtitle"/>
      </w:pPr>
      <w:r>
        <w:t>Supplementary Information</w:t>
      </w:r>
      <w:r w:rsidR="00B90201">
        <w:t xml:space="preserve"> for</w:t>
      </w:r>
    </w:p>
    <w:p w14:paraId="59E5B174" w14:textId="695D43DE" w:rsidR="00C72EF7" w:rsidRPr="00CF53A1" w:rsidRDefault="004C37F7" w:rsidP="00D64154">
      <w:pPr>
        <w:pStyle w:val="Title"/>
      </w:pPr>
      <w:r w:rsidRPr="004C37F7">
        <w:t>Restricted Intramolecular Rotation of Fluorescent Molecular Rotors at the Periphery of Aqueous Microdroplets in Oil</w:t>
      </w:r>
    </w:p>
    <w:p w14:paraId="5BD5A2D4" w14:textId="77777777" w:rsidR="00C72EF7" w:rsidRDefault="00C72EF7" w:rsidP="00D64154">
      <w:pPr>
        <w:pStyle w:val="Teaser"/>
        <w:spacing w:before="0"/>
      </w:pPr>
    </w:p>
    <w:p w14:paraId="2DD48A3D" w14:textId="77777777" w:rsidR="00C72EF7" w:rsidRPr="00B90201" w:rsidRDefault="00C72EF7" w:rsidP="00D64154">
      <w:pPr>
        <w:pStyle w:val="Teaser"/>
        <w:spacing w:before="0"/>
        <w:rPr>
          <w:sz w:val="28"/>
          <w:szCs w:val="28"/>
        </w:rPr>
      </w:pPr>
      <w:r w:rsidRPr="00B90201">
        <w:rPr>
          <w:sz w:val="28"/>
          <w:szCs w:val="28"/>
        </w:rPr>
        <w:t>Jooyoun Kang</w:t>
      </w:r>
      <w:r w:rsidRPr="00B90201">
        <w:rPr>
          <w:sz w:val="28"/>
          <w:szCs w:val="28"/>
          <w:vertAlign w:val="superscript"/>
        </w:rPr>
        <w:t>1,2†</w:t>
      </w:r>
      <w:r w:rsidRPr="00B90201">
        <w:rPr>
          <w:sz w:val="28"/>
          <w:szCs w:val="28"/>
        </w:rPr>
        <w:t>, SangMoon Lhee</w:t>
      </w:r>
      <w:r w:rsidRPr="00B90201">
        <w:rPr>
          <w:sz w:val="28"/>
          <w:szCs w:val="28"/>
          <w:vertAlign w:val="superscript"/>
        </w:rPr>
        <w:t>1†</w:t>
      </w:r>
      <w:r w:rsidRPr="00B90201">
        <w:rPr>
          <w:sz w:val="28"/>
          <w:szCs w:val="28"/>
        </w:rPr>
        <w:t>, Jae Kyoo Lee</w:t>
      </w:r>
      <w:r w:rsidRPr="00B90201">
        <w:rPr>
          <w:sz w:val="28"/>
          <w:szCs w:val="28"/>
          <w:vertAlign w:val="superscript"/>
        </w:rPr>
        <w:t>2</w:t>
      </w:r>
      <w:r w:rsidRPr="00B90201">
        <w:rPr>
          <w:sz w:val="28"/>
          <w:szCs w:val="28"/>
        </w:rPr>
        <w:t>, Richard N. Zare</w:t>
      </w:r>
      <w:r w:rsidRPr="00B90201">
        <w:rPr>
          <w:sz w:val="28"/>
          <w:szCs w:val="28"/>
          <w:vertAlign w:val="superscript"/>
        </w:rPr>
        <w:t>2</w:t>
      </w:r>
      <w:r w:rsidRPr="00B90201">
        <w:rPr>
          <w:sz w:val="28"/>
          <w:szCs w:val="28"/>
        </w:rPr>
        <w:t>*, and Hong Gil Nam</w:t>
      </w:r>
      <w:r w:rsidRPr="00B90201">
        <w:rPr>
          <w:sz w:val="28"/>
          <w:szCs w:val="28"/>
          <w:vertAlign w:val="superscript"/>
        </w:rPr>
        <w:t>1,3</w:t>
      </w:r>
      <w:r w:rsidRPr="00B90201">
        <w:rPr>
          <w:sz w:val="28"/>
          <w:szCs w:val="28"/>
        </w:rPr>
        <w:t>*</w:t>
      </w:r>
    </w:p>
    <w:p w14:paraId="4DC81D3A" w14:textId="77777777" w:rsidR="00C72EF7" w:rsidRDefault="00C72EF7" w:rsidP="00D64154">
      <w:pPr>
        <w:pStyle w:val="Paragraph"/>
        <w:spacing w:before="0"/>
        <w:ind w:firstLine="0"/>
        <w:rPr>
          <w:b/>
        </w:rPr>
      </w:pPr>
    </w:p>
    <w:p w14:paraId="11161676" w14:textId="77777777" w:rsidR="00C72EF7" w:rsidRPr="00D6391C" w:rsidRDefault="00C72EF7" w:rsidP="00D64154">
      <w:pPr>
        <w:pStyle w:val="Paragraph"/>
        <w:ind w:firstLine="0"/>
      </w:pPr>
      <w:r w:rsidRPr="00D6391C">
        <w:rPr>
          <w:vertAlign w:val="superscript"/>
        </w:rPr>
        <w:t>1</w:t>
      </w:r>
      <w:r w:rsidRPr="00D6391C">
        <w:t xml:space="preserve"> Center for Plant Aging Research, Institute for Basic Science, Daegu 42988, Republic of Korea.</w:t>
      </w:r>
    </w:p>
    <w:p w14:paraId="17685EEC" w14:textId="77777777" w:rsidR="00C72EF7" w:rsidRPr="00D6391C" w:rsidRDefault="00C72EF7" w:rsidP="00D64154">
      <w:pPr>
        <w:pStyle w:val="Paragraph"/>
        <w:ind w:firstLine="0"/>
      </w:pPr>
      <w:r w:rsidRPr="00D6391C">
        <w:rPr>
          <w:vertAlign w:val="superscript"/>
        </w:rPr>
        <w:t>2</w:t>
      </w:r>
      <w:r w:rsidRPr="00D6391C">
        <w:t xml:space="preserve"> Department of Chemistry, Stanford University, Stanford, CA 94305 USA.</w:t>
      </w:r>
    </w:p>
    <w:p w14:paraId="1A0E441A" w14:textId="77777777" w:rsidR="00C72EF7" w:rsidRPr="00D6391C" w:rsidRDefault="00C72EF7" w:rsidP="00D64154">
      <w:pPr>
        <w:pStyle w:val="Paragraph"/>
        <w:ind w:firstLine="0"/>
      </w:pPr>
      <w:r w:rsidRPr="00D6391C">
        <w:rPr>
          <w:vertAlign w:val="superscript"/>
        </w:rPr>
        <w:t>3</w:t>
      </w:r>
      <w:r w:rsidRPr="00D6391C">
        <w:t xml:space="preserve"> Department of New Biology, DGIST, Daegu 42988, Republic of Korea.</w:t>
      </w:r>
    </w:p>
    <w:p w14:paraId="30574E0C" w14:textId="77777777" w:rsidR="00C72EF7" w:rsidRDefault="00C72EF7" w:rsidP="00D64154">
      <w:pPr>
        <w:pStyle w:val="Paragraph"/>
        <w:ind w:firstLine="0"/>
      </w:pPr>
      <w:r w:rsidRPr="00D6391C">
        <w:rPr>
          <w:rFonts w:hint="eastAsia"/>
          <w:vertAlign w:val="superscript"/>
        </w:rPr>
        <w:t>†</w:t>
      </w:r>
      <w:r w:rsidRPr="00D6391C">
        <w:t xml:space="preserve"> These authors equally contributed to this work.</w:t>
      </w:r>
    </w:p>
    <w:p w14:paraId="62DF3CAC" w14:textId="71069CFE" w:rsidR="00B90201" w:rsidRDefault="00C72EF7" w:rsidP="00B90201">
      <w:pPr>
        <w:pStyle w:val="Paragraph"/>
        <w:ind w:firstLine="0"/>
      </w:pPr>
      <w:r w:rsidRPr="00D6391C">
        <w:t xml:space="preserve">* Corresponding authors: nam@dgist.ac.kr, </w:t>
      </w:r>
      <w:hyperlink r:id="rId6" w:history="1">
        <w:r w:rsidR="00B90201" w:rsidRPr="00276A63">
          <w:rPr>
            <w:rStyle w:val="Hyperlink"/>
          </w:rPr>
          <w:t>zare@stanford.edu</w:t>
        </w:r>
      </w:hyperlink>
    </w:p>
    <w:p w14:paraId="25C19F41" w14:textId="67E3F3CE" w:rsidR="00B90201" w:rsidRDefault="00B90201" w:rsidP="00B90201">
      <w:pPr>
        <w:pStyle w:val="Paragraph"/>
        <w:ind w:firstLine="0"/>
      </w:pPr>
    </w:p>
    <w:p w14:paraId="2F0D16D4" w14:textId="77777777" w:rsidR="00B90201" w:rsidRDefault="00B90201" w:rsidP="00B90201">
      <w:pPr>
        <w:pStyle w:val="Paragraph"/>
        <w:ind w:firstLine="0"/>
      </w:pPr>
    </w:p>
    <w:p w14:paraId="345E6288" w14:textId="6AB09D21" w:rsidR="00C72EF7" w:rsidRDefault="000974A2" w:rsidP="000974A2">
      <w:pPr>
        <w:pStyle w:val="Paragraph"/>
        <w:ind w:firstLine="0"/>
        <w:jc w:val="center"/>
      </w:pPr>
      <w:r>
        <w:rPr>
          <w:noProof/>
          <w:lang w:eastAsia="ko-KR"/>
        </w:rPr>
        <w:lastRenderedPageBreak/>
        <w:drawing>
          <wp:inline distT="0" distB="0" distL="0" distR="0" wp14:anchorId="279D3BB5" wp14:editId="65B05E68">
            <wp:extent cx="5303520" cy="5355356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53553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F6CF41" w14:textId="77777777" w:rsidR="00C72EF7" w:rsidRDefault="00C72EF7" w:rsidP="00D64154">
      <w:pPr>
        <w:pStyle w:val="SOMContent"/>
        <w:spacing w:before="0"/>
        <w:ind w:left="867" w:hangingChars="360" w:hanging="867"/>
        <w:rPr>
          <w:b/>
          <w:bCs/>
        </w:rPr>
      </w:pPr>
    </w:p>
    <w:p w14:paraId="4E79ADE7" w14:textId="11870EFB" w:rsidR="00251B9C" w:rsidRDefault="00C72EF7" w:rsidP="00D64154">
      <w:pPr>
        <w:pStyle w:val="SOMContent"/>
        <w:spacing w:before="0"/>
      </w:pPr>
      <w:r>
        <w:rPr>
          <w:b/>
          <w:bCs/>
        </w:rPr>
        <w:t xml:space="preserve">Figure </w:t>
      </w:r>
      <w:r w:rsidRPr="00084EF7">
        <w:rPr>
          <w:b/>
          <w:bCs/>
        </w:rPr>
        <w:t xml:space="preserve">S1. </w:t>
      </w:r>
      <w:bookmarkStart w:id="0" w:name="_Hlk41602867"/>
      <w:r w:rsidRPr="00400AA5">
        <w:t>Chemical structures of fluorescence dyes used for experiments and the change of fluorescence lifetimes of these dyes</w:t>
      </w:r>
      <w:r w:rsidRPr="00400AA5">
        <w:rPr>
          <w:bCs/>
        </w:rPr>
        <w:t xml:space="preserve"> in different concentrations of glycerol solution.</w:t>
      </w:r>
      <w:r>
        <w:t xml:space="preserve"> </w:t>
      </w:r>
      <w:bookmarkEnd w:id="0"/>
      <w:r w:rsidRPr="0078100F">
        <w:t>(</w:t>
      </w:r>
      <w:r w:rsidR="000974A2" w:rsidRPr="000974A2">
        <w:rPr>
          <w:b/>
          <w:bCs/>
        </w:rPr>
        <w:t>a</w:t>
      </w:r>
      <w:r>
        <w:t xml:space="preserve">) Cy3, Cy5, and </w:t>
      </w:r>
      <w:r w:rsidRPr="00DB2885">
        <w:t>Alexa Fluor</w:t>
      </w:r>
      <w:r w:rsidR="00B853D6">
        <w:t xml:space="preserve"> </w:t>
      </w:r>
      <w:r w:rsidRPr="00DB2885">
        <w:t>555 (AF555)</w:t>
      </w:r>
      <w:r>
        <w:t xml:space="preserve"> have conjugated chains between aromatic groups that are able to rotate relative to each other, whereas Cy3B and ATTO647N have rigid backbones that do</w:t>
      </w:r>
      <w:r w:rsidR="00B853D6">
        <w:t xml:space="preserve"> </w:t>
      </w:r>
      <w:r>
        <w:t>not allow rotation of the aromatic groups. A</w:t>
      </w:r>
      <w:r w:rsidRPr="00262713">
        <w:t xml:space="preserve">ll </w:t>
      </w:r>
      <w:r>
        <w:t xml:space="preserve">these </w:t>
      </w:r>
      <w:r w:rsidRPr="00262713">
        <w:t>dyes contain the NHS functional group.</w:t>
      </w:r>
      <w:r>
        <w:rPr>
          <w:b/>
          <w:bCs/>
        </w:rPr>
        <w:t xml:space="preserve"> </w:t>
      </w:r>
      <w:r w:rsidRPr="002A7ECD">
        <w:t>(</w:t>
      </w:r>
      <w:r w:rsidR="000974A2">
        <w:rPr>
          <w:b/>
          <w:bCs/>
        </w:rPr>
        <w:t>b</w:t>
      </w:r>
      <w:r w:rsidRPr="002A7ECD">
        <w:t>)</w:t>
      </w:r>
      <w:r>
        <w:t xml:space="preserve"> </w:t>
      </w:r>
      <w:r w:rsidRPr="00DB2885">
        <w:t>The lifetimes of the rotor molecules, Cy3, AF555, and Cy5, as well as Cy3B and ATTO647N, the rigid and Cy5</w:t>
      </w:r>
      <w:r>
        <w:t xml:space="preserve">, </w:t>
      </w:r>
      <w:r w:rsidRPr="00DB2885">
        <w:t>were measured in</w:t>
      </w:r>
      <w:r>
        <w:t xml:space="preserve"> the bulk water containing </w:t>
      </w:r>
      <w:r w:rsidRPr="00DB2885">
        <w:t>different concentrations of</w:t>
      </w:r>
      <w:r w:rsidR="00B853D6">
        <w:t xml:space="preserve"> </w:t>
      </w:r>
      <w:r w:rsidRPr="00DB2885">
        <w:t xml:space="preserve">glycerol. </w:t>
      </w:r>
      <w:r w:rsidRPr="00773BCF">
        <w:t xml:space="preserve">The lifetimes of rotor molecules </w:t>
      </w:r>
      <w:r>
        <w:t>were lengthened</w:t>
      </w:r>
      <w:r w:rsidRPr="00773BCF">
        <w:t xml:space="preserve"> as the glycerol concentration</w:t>
      </w:r>
      <w:r w:rsidR="00B853D6">
        <w:t xml:space="preserve"> </w:t>
      </w:r>
      <w:r w:rsidRPr="00773BCF">
        <w:t>increase</w:t>
      </w:r>
      <w:r>
        <w:t>s,</w:t>
      </w:r>
      <w:r w:rsidRPr="00773BCF">
        <w:t xml:space="preserve"> whereas those of rigid molecules present</w:t>
      </w:r>
      <w:r>
        <w:t>ed</w:t>
      </w:r>
      <w:r w:rsidRPr="00773BCF">
        <w:t xml:space="preserve"> constant values independent </w:t>
      </w:r>
      <w:r>
        <w:t>of</w:t>
      </w:r>
      <w:r w:rsidRPr="00773BCF">
        <w:t xml:space="preserve"> different glycerol concentrations. </w:t>
      </w:r>
      <w:r>
        <w:t>The concentration of e</w:t>
      </w:r>
      <w:r w:rsidRPr="00DB2885">
        <w:t xml:space="preserve">ach fluorophore </w:t>
      </w:r>
      <w:r>
        <w:t>was</w:t>
      </w:r>
      <w:r w:rsidRPr="00DB2885">
        <w:t xml:space="preserve"> </w:t>
      </w:r>
      <w:r>
        <w:t>1</w:t>
      </w:r>
      <w:r w:rsidRPr="00DB2885">
        <w:t xml:space="preserve"> </w:t>
      </w:r>
      <w:proofErr w:type="spellStart"/>
      <w:r w:rsidRPr="00DB2885">
        <w:t>μM</w:t>
      </w:r>
      <w:proofErr w:type="spellEnd"/>
      <w:r w:rsidRPr="00DB2885">
        <w:t xml:space="preserve">. The dashed </w:t>
      </w:r>
      <w:r>
        <w:t xml:space="preserve">blue </w:t>
      </w:r>
      <w:r w:rsidRPr="00DB2885">
        <w:t xml:space="preserve">line indicates the lifetime value of Cy3 </w:t>
      </w:r>
      <w:r>
        <w:t xml:space="preserve">at </w:t>
      </w:r>
      <w:r w:rsidRPr="00DB2885">
        <w:t>the microdroplet periphery.</w:t>
      </w:r>
      <w:r w:rsidRPr="00773BCF">
        <w:t xml:space="preserve"> </w:t>
      </w:r>
    </w:p>
    <w:p w14:paraId="055667F0" w14:textId="77777777" w:rsidR="00251B9C" w:rsidRDefault="00251B9C">
      <w:pPr>
        <w:spacing w:after="160" w:line="259" w:lineRule="auto"/>
        <w:jc w:val="both"/>
        <w:rPr>
          <w:rFonts w:eastAsia="Times New Roman"/>
          <w:sz w:val="24"/>
          <w:szCs w:val="24"/>
        </w:rPr>
      </w:pPr>
      <w:r>
        <w:br w:type="page"/>
      </w:r>
    </w:p>
    <w:p w14:paraId="5EDE10DE" w14:textId="77777777" w:rsidR="00251B9C" w:rsidRDefault="00251B9C" w:rsidP="00251B9C">
      <w:pPr>
        <w:pStyle w:val="SOMContent"/>
        <w:jc w:val="center"/>
        <w:rPr>
          <w:color w:val="FF0000"/>
        </w:rPr>
      </w:pPr>
      <w:r>
        <w:rPr>
          <w:noProof/>
          <w:color w:val="FF0000"/>
        </w:rPr>
        <w:lastRenderedPageBreak/>
        <w:drawing>
          <wp:inline distT="0" distB="0" distL="0" distR="0" wp14:anchorId="326D9859" wp14:editId="317A6AF2">
            <wp:extent cx="3886200" cy="308219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3082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E45567" w14:textId="1FE4CC03" w:rsidR="00B33BFA" w:rsidRPr="000C7CC7" w:rsidRDefault="00B33BFA" w:rsidP="00B33BFA">
      <w:pPr>
        <w:pStyle w:val="SOMContent"/>
      </w:pPr>
      <w:r w:rsidRPr="000C7CC7">
        <w:rPr>
          <w:b/>
          <w:bCs/>
        </w:rPr>
        <w:t>Figure S2</w:t>
      </w:r>
      <w:r w:rsidRPr="000C7CC7">
        <w:t xml:space="preserve">. The breadth of the lengthened lifetime profiles. The peripheral thickness is the distance from the interface to the cross-sectioning distance with the lifetime of 0.4 </w:t>
      </w:r>
      <w:r w:rsidR="000C7CC7" w:rsidRPr="000C7CC7">
        <w:t>or</w:t>
      </w:r>
      <w:r w:rsidRPr="000C7CC7">
        <w:t xml:space="preserve"> 0.6 ns. The peripheral thickness increases almost linearly with the microdroplet radius up to 17 µm, and then the increase rate becomes less afterward.</w:t>
      </w:r>
    </w:p>
    <w:p w14:paraId="3E3BA71E" w14:textId="77777777" w:rsidR="00C72EF7" w:rsidRDefault="00C72EF7" w:rsidP="00D64154">
      <w:pPr>
        <w:pStyle w:val="SOMContent"/>
        <w:spacing w:before="0"/>
      </w:pPr>
    </w:p>
    <w:p w14:paraId="2D116716" w14:textId="77777777" w:rsidR="00C72EF7" w:rsidRDefault="00C72EF7" w:rsidP="00D64154">
      <w:pPr>
        <w:pStyle w:val="SOMContent"/>
        <w:spacing w:before="0"/>
      </w:pPr>
    </w:p>
    <w:p w14:paraId="0FAC8D9D" w14:textId="77777777" w:rsidR="00C72EF7" w:rsidRDefault="00C72EF7" w:rsidP="00D64154">
      <w:pPr>
        <w:pStyle w:val="SOMContent"/>
        <w:spacing w:before="0"/>
      </w:pPr>
      <w:r>
        <w:br w:type="page"/>
      </w:r>
    </w:p>
    <w:p w14:paraId="69C1729C" w14:textId="05E614CA" w:rsidR="00C72EF7" w:rsidRDefault="000974A2" w:rsidP="00D64154">
      <w:pPr>
        <w:pStyle w:val="SOMContent"/>
        <w:spacing w:before="0"/>
        <w:jc w:val="center"/>
      </w:pPr>
      <w:r>
        <w:rPr>
          <w:noProof/>
          <w:lang w:eastAsia="ko-KR"/>
        </w:rPr>
        <w:lastRenderedPageBreak/>
        <w:drawing>
          <wp:inline distT="0" distB="0" distL="0" distR="0" wp14:anchorId="0501F3E8" wp14:editId="592BFEA4">
            <wp:extent cx="3463961" cy="8021781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5802" cy="80260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56BBD0" w14:textId="032B8D52" w:rsidR="00C72EF7" w:rsidRDefault="00C72EF7" w:rsidP="00D64154">
      <w:pPr>
        <w:pStyle w:val="SOMContent"/>
      </w:pPr>
      <w:r>
        <w:rPr>
          <w:b/>
        </w:rPr>
        <w:lastRenderedPageBreak/>
        <w:t>Figure</w:t>
      </w:r>
      <w:r w:rsidRPr="002A7ECD">
        <w:rPr>
          <w:b/>
        </w:rPr>
        <w:t xml:space="preserve"> </w:t>
      </w:r>
      <w:r w:rsidRPr="002A7ECD">
        <w:rPr>
          <w:b/>
          <w:bCs/>
        </w:rPr>
        <w:t>S</w:t>
      </w:r>
      <w:r w:rsidR="004F066D">
        <w:rPr>
          <w:b/>
          <w:bCs/>
        </w:rPr>
        <w:t>3</w:t>
      </w:r>
      <w:r w:rsidRPr="002A7ECD">
        <w:rPr>
          <w:b/>
          <w:bCs/>
        </w:rPr>
        <w:t xml:space="preserve">. </w:t>
      </w:r>
      <w:bookmarkStart w:id="1" w:name="_Hlk41602886"/>
      <w:r w:rsidRPr="00400AA5">
        <w:rPr>
          <w:bCs/>
        </w:rPr>
        <w:t>The fluorescence lifetime image of a reverse micelle stained with two different dyes that have distinguishable fluorescence lifetimes</w:t>
      </w:r>
      <w:bookmarkEnd w:id="1"/>
      <w:r w:rsidRPr="00400AA5">
        <w:rPr>
          <w:bCs/>
        </w:rPr>
        <w:t>.</w:t>
      </w:r>
      <w:r w:rsidRPr="00400AA5">
        <w:t xml:space="preserve"> (</w:t>
      </w:r>
      <w:r w:rsidR="000974A2">
        <w:rPr>
          <w:b/>
        </w:rPr>
        <w:t>a</w:t>
      </w:r>
      <w:r w:rsidRPr="00400AA5">
        <w:t>) The experimental scheme of the reverse</w:t>
      </w:r>
      <w:r w:rsidR="00B853D6">
        <w:t xml:space="preserve"> </w:t>
      </w:r>
      <w:r w:rsidRPr="00400AA5">
        <w:t xml:space="preserve">micelle stained with </w:t>
      </w:r>
      <w:proofErr w:type="spellStart"/>
      <w:r w:rsidRPr="00400AA5">
        <w:t>CellMas</w:t>
      </w:r>
      <w:r w:rsidR="00A22DE6">
        <w:t>k</w:t>
      </w:r>
      <w:proofErr w:type="spellEnd"/>
      <w:r w:rsidRPr="00400AA5">
        <w:t xml:space="preserve"> Green (Cell mask)</w:t>
      </w:r>
      <w:r w:rsidRPr="00787BAE">
        <w:t xml:space="preserve"> and Alexa Fluor 488 (AF488). The reverse</w:t>
      </w:r>
      <w:r w:rsidR="00B853D6">
        <w:t xml:space="preserve"> </w:t>
      </w:r>
      <w:r w:rsidRPr="00787BAE">
        <w:t xml:space="preserve">micelle was made of 1-palmitoyl-2-oleoylphosphatidylcholine (POPC) lipid that forms </w:t>
      </w:r>
      <w:r>
        <w:t>t</w:t>
      </w:r>
      <w:r w:rsidRPr="00787BAE">
        <w:t>he</w:t>
      </w:r>
      <w:r w:rsidR="00B853D6">
        <w:t xml:space="preserve"> </w:t>
      </w:r>
      <w:r w:rsidRPr="00787BAE">
        <w:t>interface between water and oil. The Cell mask dyes were embedded in the POPC single layer of</w:t>
      </w:r>
      <w:r w:rsidR="00B853D6">
        <w:t xml:space="preserve"> </w:t>
      </w:r>
      <w:r w:rsidRPr="00787BAE">
        <w:t xml:space="preserve">the reverse micelle. Water-soluble AF488 dyes </w:t>
      </w:r>
      <w:proofErr w:type="gramStart"/>
      <w:r w:rsidRPr="00787BAE">
        <w:t>are located in</w:t>
      </w:r>
      <w:proofErr w:type="gramEnd"/>
      <w:r w:rsidRPr="00787BAE">
        <w:t xml:space="preserve"> the interior of reverse micelles. (</w:t>
      </w:r>
      <w:r w:rsidR="000974A2">
        <w:rPr>
          <w:b/>
          <w:bCs/>
        </w:rPr>
        <w:t>b</w:t>
      </w:r>
      <w:r w:rsidRPr="00787BAE">
        <w:t>) Chemical structure of the water-soluble dye, AF488. Due to the rigid structure, AF488 exhibited</w:t>
      </w:r>
      <w:r w:rsidR="00B853D6">
        <w:t xml:space="preserve"> </w:t>
      </w:r>
      <w:r w:rsidRPr="00787BAE">
        <w:t>a constant lifetime in microdroplets. (</w:t>
      </w:r>
      <w:r w:rsidR="000974A2">
        <w:rPr>
          <w:b/>
          <w:bCs/>
        </w:rPr>
        <w:t>c</w:t>
      </w:r>
      <w:r w:rsidRPr="00787BAE">
        <w:t>) The image and the cross-sectional profile of the</w:t>
      </w:r>
      <w:r w:rsidR="00B853D6">
        <w:t xml:space="preserve"> </w:t>
      </w:r>
      <w:r w:rsidRPr="00787BAE">
        <w:t>fluorescence lifetime of a reverse micelle dual-stained with Cell mask dyes and AF488 dyes</w:t>
      </w:r>
      <w:r w:rsidR="00B853D6">
        <w:t>.</w:t>
      </w:r>
      <w:r w:rsidRPr="00787BAE">
        <w:t xml:space="preserve"> Cell mask dyes that have 2.5</w:t>
      </w:r>
      <w:r>
        <w:t>-</w:t>
      </w:r>
      <w:r w:rsidRPr="00787BAE">
        <w:t>n</w:t>
      </w:r>
      <w:r>
        <w:t xml:space="preserve">s </w:t>
      </w:r>
      <w:r w:rsidRPr="00787BAE">
        <w:t>lifetime were located within approximately 2 µm near the POPC</w:t>
      </w:r>
      <w:r w:rsidR="00B853D6">
        <w:t xml:space="preserve"> </w:t>
      </w:r>
      <w:r w:rsidRPr="00787BAE">
        <w:t xml:space="preserve">layer of the micelle (green shaded region). AF488 dyes were in the interior of the reverse micelle (yellow shaded region). </w:t>
      </w:r>
    </w:p>
    <w:p w14:paraId="436FFF0B" w14:textId="6AAC3D24" w:rsidR="00C72EF7" w:rsidRDefault="00C72EF7" w:rsidP="00D64154">
      <w:r>
        <w:br w:type="page"/>
      </w:r>
    </w:p>
    <w:p w14:paraId="181974DA" w14:textId="2F44D915" w:rsidR="00265BEB" w:rsidRDefault="00562741" w:rsidP="00265BEB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ko-KR"/>
        </w:rPr>
        <w:lastRenderedPageBreak/>
        <w:drawing>
          <wp:inline distT="0" distB="0" distL="0" distR="0" wp14:anchorId="6C24C89E" wp14:editId="4762BCDB">
            <wp:extent cx="4114800" cy="641243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6412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2DAA15" w14:textId="77777777" w:rsidR="005D6E7E" w:rsidRPr="005D6E7E" w:rsidRDefault="005D6E7E" w:rsidP="005D6E7E">
      <w:pPr>
        <w:spacing w:before="100" w:beforeAutospacing="1" w:after="100" w:afterAutospacing="1"/>
        <w:ind w:left="1"/>
        <w:rPr>
          <w:color w:val="000000" w:themeColor="text1"/>
          <w:sz w:val="24"/>
          <w:szCs w:val="24"/>
        </w:rPr>
      </w:pPr>
      <w:r w:rsidRPr="005D6E7E">
        <w:rPr>
          <w:b/>
          <w:bCs/>
          <w:color w:val="000000" w:themeColor="text1"/>
          <w:sz w:val="24"/>
          <w:szCs w:val="24"/>
        </w:rPr>
        <w:t>Figure S4.</w:t>
      </w:r>
      <w:r w:rsidRPr="005D6E7E">
        <w:rPr>
          <w:color w:val="000000" w:themeColor="text1"/>
          <w:sz w:val="24"/>
          <w:szCs w:val="24"/>
        </w:rPr>
        <w:t xml:space="preserve"> The independence of fluorescence lifetime to the concentration of the fluorophore. (</w:t>
      </w:r>
      <w:r w:rsidRPr="005D6E7E">
        <w:rPr>
          <w:b/>
          <w:bCs/>
          <w:color w:val="000000" w:themeColor="text1"/>
          <w:sz w:val="24"/>
          <w:szCs w:val="24"/>
        </w:rPr>
        <w:t>a</w:t>
      </w:r>
      <w:r w:rsidRPr="005D6E7E">
        <w:rPr>
          <w:color w:val="000000" w:themeColor="text1"/>
          <w:sz w:val="24"/>
          <w:szCs w:val="24"/>
        </w:rPr>
        <w:t xml:space="preserve">) The fluorescence lifetimes of Cy3 in the bulk water containing different concentrations of Cy3, ranging from 430 </w:t>
      </w:r>
      <w:proofErr w:type="spellStart"/>
      <w:r w:rsidRPr="005D6E7E">
        <w:rPr>
          <w:color w:val="000000" w:themeColor="text1"/>
          <w:sz w:val="24"/>
          <w:szCs w:val="24"/>
        </w:rPr>
        <w:t>nM</w:t>
      </w:r>
      <w:proofErr w:type="spellEnd"/>
      <w:r w:rsidRPr="005D6E7E">
        <w:rPr>
          <w:color w:val="000000" w:themeColor="text1"/>
          <w:sz w:val="24"/>
          <w:szCs w:val="24"/>
        </w:rPr>
        <w:t xml:space="preserve"> to 1 </w:t>
      </w:r>
      <w:proofErr w:type="spellStart"/>
      <w:r w:rsidRPr="005D6E7E">
        <w:rPr>
          <w:color w:val="000000" w:themeColor="text1"/>
          <w:sz w:val="24"/>
          <w:szCs w:val="24"/>
        </w:rPr>
        <w:t>mM.</w:t>
      </w:r>
      <w:proofErr w:type="spellEnd"/>
      <w:r w:rsidRPr="005D6E7E">
        <w:rPr>
          <w:color w:val="000000" w:themeColor="text1"/>
          <w:sz w:val="24"/>
          <w:szCs w:val="24"/>
        </w:rPr>
        <w:t xml:space="preserve"> The lifetimes of Cy3 remained almost constant at approximately 0.18 ns. (</w:t>
      </w:r>
      <w:r w:rsidRPr="005D6E7E">
        <w:rPr>
          <w:b/>
          <w:bCs/>
          <w:color w:val="000000" w:themeColor="text1"/>
          <w:sz w:val="24"/>
          <w:szCs w:val="24"/>
        </w:rPr>
        <w:t>b</w:t>
      </w:r>
      <w:r w:rsidRPr="005D6E7E">
        <w:rPr>
          <w:color w:val="000000" w:themeColor="text1"/>
          <w:sz w:val="24"/>
          <w:szCs w:val="24"/>
        </w:rPr>
        <w:t xml:space="preserve"> and </w:t>
      </w:r>
      <w:r w:rsidRPr="005D6E7E">
        <w:rPr>
          <w:b/>
          <w:bCs/>
          <w:color w:val="000000" w:themeColor="text1"/>
          <w:sz w:val="24"/>
          <w:szCs w:val="24"/>
        </w:rPr>
        <w:t>c</w:t>
      </w:r>
      <w:r w:rsidRPr="005D6E7E">
        <w:rPr>
          <w:color w:val="000000" w:themeColor="text1"/>
          <w:sz w:val="24"/>
          <w:szCs w:val="24"/>
        </w:rPr>
        <w:t>) Fluorescence intensity image (</w:t>
      </w:r>
      <w:r w:rsidRPr="005D6E7E">
        <w:rPr>
          <w:b/>
          <w:color w:val="000000" w:themeColor="text1"/>
          <w:sz w:val="24"/>
          <w:szCs w:val="24"/>
        </w:rPr>
        <w:t>b</w:t>
      </w:r>
      <w:r w:rsidRPr="005D6E7E">
        <w:rPr>
          <w:color w:val="000000" w:themeColor="text1"/>
          <w:sz w:val="24"/>
          <w:szCs w:val="24"/>
        </w:rPr>
        <w:t>) and FLIM image (</w:t>
      </w:r>
      <w:r w:rsidRPr="005D6E7E">
        <w:rPr>
          <w:b/>
          <w:color w:val="000000" w:themeColor="text1"/>
          <w:sz w:val="24"/>
          <w:szCs w:val="24"/>
        </w:rPr>
        <w:t>c</w:t>
      </w:r>
      <w:r w:rsidRPr="005D6E7E">
        <w:rPr>
          <w:color w:val="000000" w:themeColor="text1"/>
          <w:sz w:val="24"/>
          <w:szCs w:val="24"/>
        </w:rPr>
        <w:t>) of Cy3 in an aqueous microdroplet encapsulated in immersion oil. (</w:t>
      </w:r>
      <w:r w:rsidRPr="005D6E7E">
        <w:rPr>
          <w:b/>
          <w:bCs/>
          <w:color w:val="000000" w:themeColor="text1"/>
          <w:sz w:val="24"/>
          <w:szCs w:val="24"/>
        </w:rPr>
        <w:t>d</w:t>
      </w:r>
      <w:r w:rsidRPr="005D6E7E">
        <w:rPr>
          <w:color w:val="000000" w:themeColor="text1"/>
          <w:sz w:val="24"/>
          <w:szCs w:val="24"/>
        </w:rPr>
        <w:t>) The cross-sectional profile of fluorescence lifetime (red) and intensity (black) in an aqueous microdroplet. Note that the two profiles are not directly correlated.</w:t>
      </w:r>
    </w:p>
    <w:p w14:paraId="37B3F0E7" w14:textId="77777777" w:rsidR="005D6E7E" w:rsidRDefault="005D6E7E" w:rsidP="00E47890">
      <w:pPr>
        <w:rPr>
          <w:color w:val="FF0000"/>
          <w:sz w:val="24"/>
          <w:szCs w:val="24"/>
        </w:rPr>
      </w:pPr>
    </w:p>
    <w:p w14:paraId="060BE049" w14:textId="33E04CB3" w:rsidR="00562741" w:rsidRDefault="00562741" w:rsidP="00D64154">
      <w:pPr>
        <w:rPr>
          <w:color w:val="FF0000"/>
          <w:sz w:val="24"/>
          <w:szCs w:val="24"/>
        </w:rPr>
      </w:pPr>
    </w:p>
    <w:p w14:paraId="3A9812BA" w14:textId="77777777" w:rsidR="00C72EF7" w:rsidRDefault="00C72EF7" w:rsidP="00D64154">
      <w:pPr>
        <w:pStyle w:val="SOMContent"/>
        <w:jc w:val="center"/>
      </w:pPr>
      <w:r>
        <w:rPr>
          <w:noProof/>
          <w:lang w:eastAsia="ko-KR"/>
        </w:rPr>
        <w:drawing>
          <wp:inline distT="0" distB="0" distL="0" distR="0" wp14:anchorId="00B6B758" wp14:editId="7CA44A6F">
            <wp:extent cx="5677535" cy="3641725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535" cy="3641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133937" w14:textId="39C4E760" w:rsidR="00C72EF7" w:rsidRPr="00485C4A" w:rsidRDefault="00C72EF7" w:rsidP="00D64154">
      <w:pPr>
        <w:pStyle w:val="SOMContent"/>
        <w:spacing w:before="0"/>
        <w:rPr>
          <w:lang w:eastAsia="ko-KR"/>
        </w:rPr>
      </w:pPr>
      <w:r>
        <w:rPr>
          <w:b/>
        </w:rPr>
        <w:t>Figure</w:t>
      </w:r>
      <w:r w:rsidRPr="00262713">
        <w:rPr>
          <w:b/>
        </w:rPr>
        <w:t xml:space="preserve"> S</w:t>
      </w:r>
      <w:r w:rsidR="004F066D">
        <w:rPr>
          <w:b/>
        </w:rPr>
        <w:t>5</w:t>
      </w:r>
      <w:r w:rsidRPr="00262713">
        <w:rPr>
          <w:b/>
        </w:rPr>
        <w:t xml:space="preserve">. </w:t>
      </w:r>
      <w:bookmarkStart w:id="2" w:name="_Hlk41602944"/>
      <w:proofErr w:type="spellStart"/>
      <w:r w:rsidRPr="00400AA5">
        <w:t>Förster</w:t>
      </w:r>
      <w:proofErr w:type="spellEnd"/>
      <w:r w:rsidRPr="00400AA5">
        <w:t xml:space="preserve"> resonance energy transfer (FRET) efficiency </w:t>
      </w:r>
      <w:r w:rsidRPr="00400AA5">
        <w:rPr>
          <w:lang w:eastAsia="ko-KR"/>
        </w:rPr>
        <w:t>between Cy3 and Cy5 in bulk</w:t>
      </w:r>
      <w:r w:rsidR="00B853D6">
        <w:rPr>
          <w:lang w:eastAsia="ko-KR"/>
        </w:rPr>
        <w:t xml:space="preserve"> </w:t>
      </w:r>
      <w:r w:rsidRPr="00400AA5">
        <w:rPr>
          <w:lang w:eastAsia="ko-KR"/>
        </w:rPr>
        <w:t>water and at the periphery and the center of microdroplets</w:t>
      </w:r>
      <w:bookmarkEnd w:id="2"/>
      <w:r w:rsidRPr="00400AA5">
        <w:rPr>
          <w:lang w:eastAsia="ko-KR"/>
        </w:rPr>
        <w:t>. In</w:t>
      </w:r>
      <w:r w:rsidRPr="00485C4A">
        <w:rPr>
          <w:lang w:eastAsia="ko-KR"/>
        </w:rPr>
        <w:t xml:space="preserve"> bulk solution, FRET efficiency is</w:t>
      </w:r>
      <w:r w:rsidR="00B853D6">
        <w:rPr>
          <w:lang w:eastAsia="ko-KR"/>
        </w:rPr>
        <w:t xml:space="preserve"> </w:t>
      </w:r>
      <w:r w:rsidRPr="00485C4A">
        <w:rPr>
          <w:lang w:eastAsia="ko-KR"/>
        </w:rPr>
        <w:t>expected to be 0 owing to the low concentrations of dyes but was measured to be 0.2 in our</w:t>
      </w:r>
      <w:r w:rsidR="00B853D6">
        <w:rPr>
          <w:lang w:eastAsia="ko-KR"/>
        </w:rPr>
        <w:t xml:space="preserve"> </w:t>
      </w:r>
      <w:r w:rsidR="004C37F7">
        <w:rPr>
          <w:lang w:eastAsia="ko-KR"/>
        </w:rPr>
        <w:t>e</w:t>
      </w:r>
      <w:r w:rsidRPr="00485C4A">
        <w:rPr>
          <w:lang w:eastAsia="ko-KR"/>
        </w:rPr>
        <w:t>xperiment</w:t>
      </w:r>
      <w:r>
        <w:rPr>
          <w:lang w:eastAsia="ko-KR"/>
        </w:rPr>
        <w:t>. This base-level FRET efficiency was</w:t>
      </w:r>
      <w:r w:rsidRPr="00485C4A">
        <w:rPr>
          <w:lang w:eastAsia="ko-KR"/>
        </w:rPr>
        <w:t xml:space="preserve"> caused by the direct excitation of acceptors</w:t>
      </w:r>
      <w:r w:rsidR="00B853D6">
        <w:rPr>
          <w:lang w:eastAsia="ko-KR"/>
        </w:rPr>
        <w:t xml:space="preserve"> </w:t>
      </w:r>
      <w:r w:rsidRPr="00485C4A">
        <w:rPr>
          <w:lang w:eastAsia="ko-KR"/>
        </w:rPr>
        <w:t>and the leakage of the donor emission into the acceptor channel. The FRET efficienc</w:t>
      </w:r>
      <w:r>
        <w:rPr>
          <w:lang w:eastAsia="ko-KR"/>
        </w:rPr>
        <w:t>ies</w:t>
      </w:r>
      <w:r w:rsidR="00B853D6">
        <w:rPr>
          <w:lang w:eastAsia="ko-KR"/>
        </w:rPr>
        <w:t xml:space="preserve"> </w:t>
      </w:r>
      <w:r w:rsidRPr="00485C4A">
        <w:rPr>
          <w:lang w:eastAsia="ko-KR"/>
        </w:rPr>
        <w:t xml:space="preserve">measured </w:t>
      </w:r>
      <w:r>
        <w:rPr>
          <w:lang w:eastAsia="ko-KR"/>
        </w:rPr>
        <w:t>both at the periphery and the center of</w:t>
      </w:r>
      <w:r w:rsidRPr="00485C4A">
        <w:rPr>
          <w:lang w:eastAsia="ko-KR"/>
        </w:rPr>
        <w:t xml:space="preserve"> microdroplets w</w:t>
      </w:r>
      <w:r>
        <w:rPr>
          <w:lang w:eastAsia="ko-KR"/>
        </w:rPr>
        <w:t>ere</w:t>
      </w:r>
      <w:r w:rsidRPr="00485C4A">
        <w:rPr>
          <w:lang w:eastAsia="ko-KR"/>
        </w:rPr>
        <w:t xml:space="preserve"> the same as in bulk</w:t>
      </w:r>
      <w:r>
        <w:rPr>
          <w:lang w:eastAsia="ko-KR"/>
        </w:rPr>
        <w:t xml:space="preserve">.  </w:t>
      </w:r>
    </w:p>
    <w:p w14:paraId="3786F668" w14:textId="77777777" w:rsidR="00C72EF7" w:rsidRPr="00485C4A" w:rsidRDefault="00C72EF7" w:rsidP="00D64154">
      <w:pPr>
        <w:pStyle w:val="SOMContent"/>
        <w:spacing w:before="0"/>
        <w:rPr>
          <w:lang w:eastAsia="ko-KR"/>
        </w:rPr>
      </w:pPr>
      <w:r w:rsidRPr="00485C4A">
        <w:rPr>
          <w:lang w:eastAsia="ko-KR"/>
        </w:rPr>
        <w:br w:type="page"/>
      </w:r>
    </w:p>
    <w:p w14:paraId="4FA7BE56" w14:textId="0983803F" w:rsidR="00C72EF7" w:rsidRDefault="000974A2" w:rsidP="00D64154">
      <w:pPr>
        <w:pStyle w:val="SOMContent"/>
        <w:jc w:val="center"/>
        <w:rPr>
          <w:b/>
          <w:bCs/>
        </w:rPr>
      </w:pPr>
      <w:r>
        <w:rPr>
          <w:b/>
          <w:bCs/>
          <w:noProof/>
          <w:lang w:eastAsia="ko-KR"/>
        </w:rPr>
        <w:lastRenderedPageBreak/>
        <w:drawing>
          <wp:inline distT="0" distB="0" distL="0" distR="0" wp14:anchorId="3E3741D2" wp14:editId="66A2E2A7">
            <wp:extent cx="2926080" cy="6816424"/>
            <wp:effectExtent l="0" t="0" r="762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68164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3DB8D0" w14:textId="11E5AB7C" w:rsidR="00565B96" w:rsidRDefault="00C72EF7" w:rsidP="00D64154">
      <w:pPr>
        <w:pStyle w:val="SOMContent"/>
      </w:pPr>
      <w:bookmarkStart w:id="3" w:name="_Hlk41603043"/>
      <w:r>
        <w:rPr>
          <w:b/>
          <w:bCs/>
        </w:rPr>
        <w:t>Figure</w:t>
      </w:r>
      <w:r w:rsidRPr="006F6DE6">
        <w:rPr>
          <w:b/>
          <w:bCs/>
        </w:rPr>
        <w:t xml:space="preserve"> S</w:t>
      </w:r>
      <w:r w:rsidR="004F066D">
        <w:rPr>
          <w:b/>
          <w:bCs/>
        </w:rPr>
        <w:t>6</w:t>
      </w:r>
      <w:r w:rsidRPr="006F6DE6">
        <w:rPr>
          <w:b/>
          <w:bCs/>
        </w:rPr>
        <w:t xml:space="preserve">. </w:t>
      </w:r>
      <w:r w:rsidRPr="00400AA5">
        <w:rPr>
          <w:bCs/>
        </w:rPr>
        <w:t xml:space="preserve">FLIM image of Cy3 dyes in aqueous microdroplets surrounded by silicone oil. </w:t>
      </w:r>
      <w:bookmarkEnd w:id="3"/>
      <w:r w:rsidRPr="00400AA5">
        <w:t>(</w:t>
      </w:r>
      <w:r w:rsidR="000974A2">
        <w:rPr>
          <w:b/>
        </w:rPr>
        <w:t>a</w:t>
      </w:r>
      <w:r w:rsidRPr="00400AA5">
        <w:t>)</w:t>
      </w:r>
      <w:r w:rsidR="00B853D6">
        <w:t xml:space="preserve"> </w:t>
      </w:r>
      <w:r w:rsidRPr="00400AA5">
        <w:t>Experimental scheme of a microdroplet encapsulated by silicone oil. The fluorescence</w:t>
      </w:r>
      <w:r w:rsidRPr="006F6DE6">
        <w:t xml:space="preserve"> lifetime</w:t>
      </w:r>
      <w:r w:rsidR="00B853D6">
        <w:t xml:space="preserve"> </w:t>
      </w:r>
      <w:r w:rsidRPr="006F6DE6">
        <w:t>image (</w:t>
      </w:r>
      <w:r w:rsidR="000974A2">
        <w:rPr>
          <w:b/>
          <w:bCs/>
        </w:rPr>
        <w:t>b</w:t>
      </w:r>
      <w:r w:rsidRPr="006F6DE6">
        <w:t>) and the distributional profile (</w:t>
      </w:r>
      <w:r w:rsidR="000974A2">
        <w:rPr>
          <w:b/>
          <w:bCs/>
        </w:rPr>
        <w:t>c</w:t>
      </w:r>
      <w:r w:rsidRPr="006F6DE6">
        <w:t xml:space="preserve">) of Cy3 </w:t>
      </w:r>
      <w:r>
        <w:t xml:space="preserve">dyes in water-in-silicone oil </w:t>
      </w:r>
      <w:r w:rsidRPr="006F6DE6">
        <w:t>show</w:t>
      </w:r>
      <w:r>
        <w:t xml:space="preserve"> similar</w:t>
      </w:r>
      <w:r w:rsidR="00B853D6">
        <w:t xml:space="preserve"> </w:t>
      </w:r>
      <w:r>
        <w:t xml:space="preserve">behavior of the fluorescence lifetime lengthening at the periphery of microdroplets </w:t>
      </w:r>
      <w:r w:rsidRPr="006F6DE6">
        <w:t>observed in</w:t>
      </w:r>
      <w:r w:rsidR="00B853D6">
        <w:t xml:space="preserve"> </w:t>
      </w:r>
      <w:r>
        <w:t xml:space="preserve">water-in-immersion oil. </w:t>
      </w:r>
      <w:r w:rsidRPr="006F6DE6">
        <w:t xml:space="preserve"> </w:t>
      </w:r>
    </w:p>
    <w:p w14:paraId="5879D5A0" w14:textId="77777777" w:rsidR="00565B96" w:rsidRDefault="00565B96">
      <w:pPr>
        <w:spacing w:after="160" w:line="259" w:lineRule="auto"/>
        <w:jc w:val="both"/>
        <w:rPr>
          <w:rFonts w:eastAsia="Times New Roman"/>
          <w:sz w:val="24"/>
          <w:szCs w:val="24"/>
        </w:rPr>
      </w:pPr>
      <w:r>
        <w:br w:type="page"/>
      </w:r>
    </w:p>
    <w:p w14:paraId="6B15EBF0" w14:textId="13B65474" w:rsidR="00265BEB" w:rsidRDefault="004310F0" w:rsidP="004310F0">
      <w:pPr>
        <w:pStyle w:val="SOMContent"/>
        <w:jc w:val="center"/>
      </w:pPr>
      <w:bookmarkStart w:id="4" w:name="_Hlk46497721"/>
      <w:r>
        <w:rPr>
          <w:noProof/>
          <w:lang w:eastAsia="ko-KR"/>
        </w:rPr>
        <w:lastRenderedPageBreak/>
        <w:drawing>
          <wp:inline distT="0" distB="0" distL="0" distR="0" wp14:anchorId="35378058" wp14:editId="3D3B21EA">
            <wp:extent cx="3883660" cy="2909562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0107" cy="2929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2FB863" w14:textId="77777777" w:rsidR="005D6E7E" w:rsidRPr="005D6E7E" w:rsidRDefault="005D6E7E" w:rsidP="005D6E7E">
      <w:pPr>
        <w:pStyle w:val="SOMContent"/>
        <w:spacing w:before="100" w:beforeAutospacing="1" w:after="100" w:afterAutospacing="1"/>
        <w:ind w:left="1" w:hanging="1"/>
        <w:rPr>
          <w:color w:val="000000" w:themeColor="text1"/>
        </w:rPr>
      </w:pPr>
      <w:bookmarkStart w:id="5" w:name="_Hlk47545412"/>
      <w:bookmarkEnd w:id="4"/>
      <w:r w:rsidRPr="005D6E7E">
        <w:rPr>
          <w:b/>
          <w:bCs/>
          <w:color w:val="000000" w:themeColor="text1"/>
        </w:rPr>
        <w:t>Figure S7</w:t>
      </w:r>
      <w:r w:rsidRPr="005D6E7E">
        <w:rPr>
          <w:color w:val="000000" w:themeColor="text1"/>
        </w:rPr>
        <w:t xml:space="preserve">. The fluorescence lifetime of Cy3 in bulk water solution with varying pH values. The fluorescence lifetime of Cy3 molecules was examined by dissolving dyes at the final concentration of 1 </w:t>
      </w:r>
      <w:proofErr w:type="spellStart"/>
      <w:r w:rsidRPr="005D6E7E">
        <w:rPr>
          <w:color w:val="000000" w:themeColor="text1"/>
        </w:rPr>
        <w:t>μM</w:t>
      </w:r>
      <w:proofErr w:type="spellEnd"/>
      <w:r w:rsidRPr="005D6E7E">
        <w:rPr>
          <w:color w:val="000000" w:themeColor="text1"/>
        </w:rPr>
        <w:t xml:space="preserve"> with pH adjusted to 2.0, 4.4, 10.1, and 12.3. The acidic and basic solvents were made using hydrogen chloride and sodium hydroxide solutions, respectively. </w:t>
      </w:r>
    </w:p>
    <w:bookmarkEnd w:id="5"/>
    <w:p w14:paraId="0BB6783F" w14:textId="77777777" w:rsidR="005D6E7E" w:rsidRDefault="005D6E7E" w:rsidP="0002435B">
      <w:pPr>
        <w:pStyle w:val="SOMContent"/>
        <w:spacing w:before="100" w:beforeAutospacing="1" w:after="100" w:afterAutospacing="1"/>
        <w:ind w:left="1" w:hanging="1"/>
      </w:pPr>
    </w:p>
    <w:p w14:paraId="1374E320" w14:textId="09FDA708" w:rsidR="00A0557F" w:rsidRPr="00432152" w:rsidRDefault="00A0557F" w:rsidP="004F066D">
      <w:pPr>
        <w:spacing w:after="160" w:line="259" w:lineRule="auto"/>
        <w:jc w:val="both"/>
        <w:rPr>
          <w:color w:val="FF0000"/>
        </w:rPr>
      </w:pPr>
    </w:p>
    <w:sectPr w:rsidR="00A0557F" w:rsidRPr="00432152" w:rsidSect="00B90201">
      <w:footerReference w:type="default" r:id="rId14"/>
      <w:footerReference w:type="first" r:id="rId15"/>
      <w:pgSz w:w="12240" w:h="15840" w:code="1"/>
      <w:pgMar w:top="1701" w:right="1440" w:bottom="1440" w:left="1440" w:header="432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227346" w14:textId="77777777" w:rsidR="00D41389" w:rsidRDefault="00D41389" w:rsidP="00D64154">
      <w:r>
        <w:separator/>
      </w:r>
    </w:p>
  </w:endnote>
  <w:endnote w:type="continuationSeparator" w:id="0">
    <w:p w14:paraId="111369E6" w14:textId="77777777" w:rsidR="00D41389" w:rsidRDefault="00D41389" w:rsidP="00D641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15095083"/>
      <w:docPartObj>
        <w:docPartGallery w:val="Page Numbers (Bottom of Page)"/>
        <w:docPartUnique/>
      </w:docPartObj>
    </w:sdtPr>
    <w:sdtEndPr/>
    <w:sdtContent>
      <w:sdt>
        <w:sdtPr>
          <w:id w:val="944887326"/>
          <w:docPartObj>
            <w:docPartGallery w:val="Page Numbers (Top of Page)"/>
            <w:docPartUnique/>
          </w:docPartObj>
        </w:sdtPr>
        <w:sdtEndPr/>
        <w:sdtContent>
          <w:p w14:paraId="53B2133D" w14:textId="3687E22D" w:rsidR="00B90201" w:rsidRDefault="00B9020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A26E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A26E0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0B2D553" w14:textId="77777777" w:rsidR="00F351AB" w:rsidRDefault="00D41389">
    <w:pPr>
      <w:spacing w:line="14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5523803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7E4B4CE" w14:textId="3FA4BCD5" w:rsidR="00B90201" w:rsidRDefault="00B9020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7FBF4A2" w14:textId="77777777" w:rsidR="00B90201" w:rsidRDefault="00B902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6CBEC0" w14:textId="77777777" w:rsidR="00D41389" w:rsidRDefault="00D41389" w:rsidP="00D64154">
      <w:r>
        <w:separator/>
      </w:r>
    </w:p>
  </w:footnote>
  <w:footnote w:type="continuationSeparator" w:id="0">
    <w:p w14:paraId="253089CF" w14:textId="77777777" w:rsidR="00D41389" w:rsidRDefault="00D41389" w:rsidP="00D641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hideSpellingErrors/>
  <w:hideGrammaticalErrors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EF7"/>
    <w:rsid w:val="0002435B"/>
    <w:rsid w:val="00080876"/>
    <w:rsid w:val="000974A2"/>
    <w:rsid w:val="000C7CC7"/>
    <w:rsid w:val="0015266C"/>
    <w:rsid w:val="00222C1E"/>
    <w:rsid w:val="002431A5"/>
    <w:rsid w:val="00251B9C"/>
    <w:rsid w:val="00257386"/>
    <w:rsid w:val="00265BEB"/>
    <w:rsid w:val="002A2498"/>
    <w:rsid w:val="002E5204"/>
    <w:rsid w:val="00333BA4"/>
    <w:rsid w:val="00364E13"/>
    <w:rsid w:val="00412C4D"/>
    <w:rsid w:val="004310F0"/>
    <w:rsid w:val="00432152"/>
    <w:rsid w:val="004C37F7"/>
    <w:rsid w:val="004C5D9B"/>
    <w:rsid w:val="004F066D"/>
    <w:rsid w:val="00542FC1"/>
    <w:rsid w:val="00562741"/>
    <w:rsid w:val="00565B96"/>
    <w:rsid w:val="00574DC9"/>
    <w:rsid w:val="00594055"/>
    <w:rsid w:val="005D6E7E"/>
    <w:rsid w:val="00656C15"/>
    <w:rsid w:val="006839A9"/>
    <w:rsid w:val="006D78B3"/>
    <w:rsid w:val="00772E52"/>
    <w:rsid w:val="0078100F"/>
    <w:rsid w:val="007A37CA"/>
    <w:rsid w:val="007B60AB"/>
    <w:rsid w:val="007E0D6C"/>
    <w:rsid w:val="00837643"/>
    <w:rsid w:val="00843C4A"/>
    <w:rsid w:val="008A64DB"/>
    <w:rsid w:val="008C3000"/>
    <w:rsid w:val="009128BA"/>
    <w:rsid w:val="00943F29"/>
    <w:rsid w:val="00944EF8"/>
    <w:rsid w:val="00980BFE"/>
    <w:rsid w:val="00986815"/>
    <w:rsid w:val="009E5F13"/>
    <w:rsid w:val="00A0557F"/>
    <w:rsid w:val="00A22DE6"/>
    <w:rsid w:val="00AA26E0"/>
    <w:rsid w:val="00AD3C74"/>
    <w:rsid w:val="00B33BFA"/>
    <w:rsid w:val="00B4356A"/>
    <w:rsid w:val="00B853D6"/>
    <w:rsid w:val="00B90201"/>
    <w:rsid w:val="00BC00F8"/>
    <w:rsid w:val="00C14C36"/>
    <w:rsid w:val="00C72EF7"/>
    <w:rsid w:val="00CA1EFC"/>
    <w:rsid w:val="00CB70BD"/>
    <w:rsid w:val="00D135B6"/>
    <w:rsid w:val="00D352A6"/>
    <w:rsid w:val="00D41389"/>
    <w:rsid w:val="00D64154"/>
    <w:rsid w:val="00D73B84"/>
    <w:rsid w:val="00DE5BD4"/>
    <w:rsid w:val="00E10DA4"/>
    <w:rsid w:val="00E47890"/>
    <w:rsid w:val="00E56177"/>
    <w:rsid w:val="00EC1E01"/>
    <w:rsid w:val="00F62DD3"/>
    <w:rsid w:val="00FF5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B0EE8B"/>
  <w15:chartTrackingRefBased/>
  <w15:docId w15:val="{F82ED11A-C119-42DA-A42E-9C5B024EF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557F"/>
    <w:pPr>
      <w:spacing w:after="0" w:line="240" w:lineRule="auto"/>
      <w:jc w:val="left"/>
    </w:pPr>
    <w:rPr>
      <w:rFonts w:ascii="Times New Roman" w:hAnsi="Times New Roman" w:cs="Times New Roman"/>
      <w:kern w:val="0"/>
      <w:szCs w:val="20"/>
      <w:lang w:eastAsia="en-US"/>
    </w:rPr>
  </w:style>
  <w:style w:type="paragraph" w:styleId="Heading1">
    <w:name w:val="heading 1"/>
    <w:basedOn w:val="Normal"/>
    <w:next w:val="BodyText"/>
    <w:link w:val="Heading1Char"/>
    <w:uiPriority w:val="1"/>
    <w:qFormat/>
    <w:rsid w:val="00C72EF7"/>
    <w:pPr>
      <w:widowControl w:val="0"/>
      <w:outlineLvl w:val="0"/>
    </w:pPr>
    <w:rPr>
      <w:rFonts w:eastAsia="Times New Roman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C72EF7"/>
    <w:rPr>
      <w:rFonts w:ascii="Times New Roman" w:eastAsia="Times New Roman" w:hAnsi="Times New Roman" w:cs="Times New Roman"/>
      <w:b/>
      <w:kern w:val="0"/>
      <w:sz w:val="24"/>
      <w:szCs w:val="24"/>
      <w:lang w:eastAsia="en-US"/>
    </w:rPr>
  </w:style>
  <w:style w:type="paragraph" w:customStyle="1" w:styleId="Paragraph">
    <w:name w:val="Paragraph"/>
    <w:basedOn w:val="Normal"/>
    <w:rsid w:val="00C72EF7"/>
    <w:pPr>
      <w:spacing w:before="120"/>
      <w:ind w:firstLine="720"/>
    </w:pPr>
    <w:rPr>
      <w:rFonts w:eastAsia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C72EF7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C72EF7"/>
    <w:rPr>
      <w:rFonts w:ascii="Times New Roman" w:eastAsia="Times New Roman" w:hAnsi="Times New Roman" w:cs="Times New Roman"/>
      <w:kern w:val="0"/>
      <w:szCs w:val="20"/>
      <w:lang w:eastAsia="en-US"/>
    </w:rPr>
  </w:style>
  <w:style w:type="paragraph" w:customStyle="1" w:styleId="SOMContent">
    <w:name w:val="SOMContent"/>
    <w:basedOn w:val="Normal"/>
    <w:rsid w:val="00C72EF7"/>
    <w:pPr>
      <w:spacing w:before="120"/>
    </w:pPr>
    <w:rPr>
      <w:rFonts w:eastAsia="Times New Roman"/>
      <w:sz w:val="24"/>
      <w:szCs w:val="24"/>
    </w:rPr>
  </w:style>
  <w:style w:type="paragraph" w:customStyle="1" w:styleId="Teaser">
    <w:name w:val="Teaser"/>
    <w:basedOn w:val="Normal"/>
    <w:rsid w:val="00C72EF7"/>
    <w:pPr>
      <w:spacing w:before="120"/>
    </w:pPr>
    <w:rPr>
      <w:rFonts w:eastAsia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C72EF7"/>
    <w:pPr>
      <w:widowControl w:val="0"/>
    </w:pPr>
    <w:rPr>
      <w:rFonts w:eastAsia="Times New Roman"/>
      <w:sz w:val="24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C72EF7"/>
    <w:rPr>
      <w:rFonts w:ascii="Times New Roman" w:eastAsia="Times New Roman" w:hAnsi="Times New Roman" w:cs="Times New Roman"/>
      <w:kern w:val="0"/>
      <w:sz w:val="24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C72EF7"/>
    <w:pPr>
      <w:spacing w:before="240" w:after="120"/>
      <w:outlineLvl w:val="0"/>
    </w:pPr>
    <w:rPr>
      <w:rFonts w:ascii="Arial" w:eastAsia="Arial" w:hAnsi="Arial" w:cs="Arial"/>
      <w:b/>
      <w:bCs/>
      <w:sz w:val="36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C72EF7"/>
    <w:rPr>
      <w:rFonts w:ascii="Arial" w:eastAsia="Arial" w:hAnsi="Arial" w:cs="Arial"/>
      <w:b/>
      <w:bCs/>
      <w:kern w:val="0"/>
      <w:sz w:val="36"/>
      <w:szCs w:val="3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2EF7"/>
    <w:pPr>
      <w:spacing w:after="160"/>
      <w:outlineLvl w:val="1"/>
    </w:pPr>
    <w:rPr>
      <w:rFonts w:ascii="Arial" w:eastAsia="Arial" w:hAnsi="Arial" w:cs="Arial"/>
      <w:b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2EF7"/>
    <w:rPr>
      <w:rFonts w:ascii="Arial" w:eastAsia="Arial" w:hAnsi="Arial" w:cs="Arial"/>
      <w:b/>
      <w:kern w:val="0"/>
      <w:sz w:val="28"/>
      <w:szCs w:val="2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64154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D64154"/>
    <w:rPr>
      <w:rFonts w:ascii="Times New Roman" w:hAnsi="Times New Roman" w:cs="Times New Roman"/>
      <w:kern w:val="0"/>
      <w:szCs w:val="20"/>
      <w:lang w:eastAsia="en-US"/>
    </w:rPr>
  </w:style>
  <w:style w:type="character" w:styleId="Hyperlink">
    <w:name w:val="Hyperlink"/>
    <w:basedOn w:val="DefaultParagraphFont"/>
    <w:uiPriority w:val="99"/>
    <w:unhideWhenUsed/>
    <w:rsid w:val="00B9020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4E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4E13"/>
    <w:rPr>
      <w:rFonts w:ascii="Segoe UI" w:hAnsi="Segoe UI" w:cs="Segoe UI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706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zare@stanford.edu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737</Words>
  <Characters>4202</Characters>
  <Application>Microsoft Office Word</Application>
  <DocSecurity>0</DocSecurity>
  <Lines>35</Lines>
  <Paragraphs>9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SangMoon</dc:creator>
  <cp:keywords/>
  <dc:description/>
  <cp:lastModifiedBy>Richard Zare</cp:lastModifiedBy>
  <cp:revision>2</cp:revision>
  <dcterms:created xsi:type="dcterms:W3CDTF">2020-08-10T22:25:00Z</dcterms:created>
  <dcterms:modified xsi:type="dcterms:W3CDTF">2020-08-10T22:25:00Z</dcterms:modified>
</cp:coreProperties>
</file>