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96D" w:rsidRDefault="0084796D" w:rsidP="0084796D">
      <w:pPr>
        <w:pStyle w:val="NormalWeb"/>
        <w:spacing w:before="165" w:beforeAutospacing="0" w:after="0" w:afterAutospacing="0" w:line="216" w:lineRule="auto"/>
        <w:jc w:val="center"/>
      </w:pPr>
      <w:r>
        <w:rPr>
          <w:rFonts w:eastAsia="+mn-ea"/>
          <w:b/>
          <w:bCs/>
          <w:color w:val="000000"/>
          <w:kern w:val="24"/>
        </w:rPr>
        <w:t>PIK3CA mutation enrichment and quantitation from blood and tissue</w:t>
      </w:r>
    </w:p>
    <w:p w:rsidR="0084796D" w:rsidRDefault="0084796D" w:rsidP="0084796D">
      <w:pPr>
        <w:pStyle w:val="NormalWeb"/>
        <w:spacing w:before="165" w:beforeAutospacing="0" w:after="0" w:afterAutospacing="0" w:line="408" w:lineRule="auto"/>
        <w:jc w:val="center"/>
      </w:pPr>
      <w:r>
        <w:rPr>
          <w:rFonts w:eastAsia="+mn-ea"/>
          <w:color w:val="000000"/>
          <w:kern w:val="24"/>
        </w:rPr>
        <w:t>Ieva Keraite</w:t>
      </w:r>
      <w:r>
        <w:rPr>
          <w:rFonts w:eastAsia="+mn-ea"/>
          <w:color w:val="000000"/>
          <w:kern w:val="24"/>
          <w:position w:val="7"/>
          <w:vertAlign w:val="superscript"/>
        </w:rPr>
        <w:t>1,2</w:t>
      </w:r>
      <w:r>
        <w:rPr>
          <w:rFonts w:eastAsia="+mn-ea"/>
          <w:color w:val="000000"/>
          <w:kern w:val="24"/>
        </w:rPr>
        <w:t>, Virginia Alvarez-Garcia</w:t>
      </w:r>
      <w:r>
        <w:rPr>
          <w:rFonts w:eastAsia="+mn-ea"/>
          <w:color w:val="000000"/>
          <w:kern w:val="24"/>
          <w:position w:val="7"/>
          <w:vertAlign w:val="superscript"/>
        </w:rPr>
        <w:t>3</w:t>
      </w:r>
      <w:r>
        <w:rPr>
          <w:rFonts w:eastAsia="+mn-ea"/>
          <w:color w:val="000000"/>
          <w:kern w:val="24"/>
        </w:rPr>
        <w:t>, Isaac Garcia-</w:t>
      </w:r>
      <w:proofErr w:type="spellStart"/>
      <w:r>
        <w:rPr>
          <w:rFonts w:eastAsia="+mn-ea"/>
          <w:color w:val="000000"/>
          <w:kern w:val="24"/>
        </w:rPr>
        <w:t>Murillas</w:t>
      </w:r>
      <w:proofErr w:type="spellEnd"/>
      <w:r>
        <w:rPr>
          <w:rFonts w:eastAsia="+mn-ea"/>
          <w:color w:val="000000"/>
          <w:kern w:val="24"/>
          <w:position w:val="7"/>
          <w:vertAlign w:val="superscript"/>
        </w:rPr>
        <w:t>4</w:t>
      </w:r>
      <w:r>
        <w:rPr>
          <w:rFonts w:eastAsia="+mn-ea"/>
          <w:color w:val="000000"/>
          <w:kern w:val="24"/>
        </w:rPr>
        <w:t xml:space="preserve">, Matthew </w:t>
      </w:r>
      <w:proofErr w:type="spellStart"/>
      <w:r>
        <w:rPr>
          <w:rFonts w:eastAsia="+mn-ea"/>
          <w:color w:val="000000"/>
          <w:kern w:val="24"/>
        </w:rPr>
        <w:t>Beaney</w:t>
      </w:r>
      <w:proofErr w:type="spellEnd"/>
      <w:r>
        <w:rPr>
          <w:rFonts w:eastAsia="+mn-ea"/>
          <w:color w:val="000000"/>
          <w:kern w:val="24"/>
          <w:position w:val="7"/>
          <w:vertAlign w:val="superscript"/>
        </w:rPr>
        <w:t>4</w:t>
      </w:r>
      <w:r>
        <w:rPr>
          <w:rFonts w:eastAsia="+mn-ea"/>
          <w:color w:val="000000"/>
          <w:kern w:val="24"/>
        </w:rPr>
        <w:t>, Nicholas C. Turner</w:t>
      </w:r>
      <w:r>
        <w:rPr>
          <w:rFonts w:eastAsia="+mn-ea"/>
          <w:color w:val="000000"/>
          <w:kern w:val="24"/>
          <w:position w:val="7"/>
          <w:vertAlign w:val="superscript"/>
        </w:rPr>
        <w:t>4,5</w:t>
      </w:r>
      <w:r>
        <w:rPr>
          <w:rFonts w:eastAsia="+mn-ea"/>
          <w:color w:val="000000"/>
          <w:kern w:val="24"/>
        </w:rPr>
        <w:t xml:space="preserve">, Clare </w:t>
      </w:r>
      <w:proofErr w:type="spellStart"/>
      <w:r>
        <w:rPr>
          <w:rFonts w:eastAsia="+mn-ea"/>
          <w:color w:val="000000"/>
          <w:kern w:val="24"/>
        </w:rPr>
        <w:t>Bartos</w:t>
      </w:r>
      <w:proofErr w:type="spellEnd"/>
      <w:r>
        <w:rPr>
          <w:rFonts w:eastAsia="+mn-ea"/>
          <w:color w:val="000000"/>
          <w:kern w:val="24"/>
          <w:position w:val="7"/>
          <w:vertAlign w:val="superscript"/>
        </w:rPr>
        <w:t>3,6</w:t>
      </w:r>
      <w:r>
        <w:rPr>
          <w:rFonts w:eastAsia="+mn-ea"/>
          <w:color w:val="000000"/>
          <w:kern w:val="24"/>
        </w:rPr>
        <w:t xml:space="preserve">, Olga </w:t>
      </w:r>
      <w:proofErr w:type="spellStart"/>
      <w:r>
        <w:rPr>
          <w:rFonts w:eastAsia="+mn-ea"/>
          <w:color w:val="000000"/>
          <w:kern w:val="24"/>
        </w:rPr>
        <w:t>Oikonomidou</w:t>
      </w:r>
      <w:proofErr w:type="spellEnd"/>
      <w:r>
        <w:rPr>
          <w:rFonts w:eastAsia="+mn-ea"/>
          <w:color w:val="000000"/>
          <w:kern w:val="24"/>
          <w:position w:val="7"/>
          <w:vertAlign w:val="superscript"/>
        </w:rPr>
        <w:t>3,6</w:t>
      </w:r>
      <w:r>
        <w:rPr>
          <w:rFonts w:eastAsia="+mn-ea"/>
          <w:color w:val="000000"/>
          <w:kern w:val="24"/>
        </w:rPr>
        <w:t xml:space="preserve">, </w:t>
      </w:r>
      <w:proofErr w:type="spellStart"/>
      <w:r>
        <w:rPr>
          <w:rFonts w:eastAsia="+mn-ea"/>
          <w:color w:val="000000"/>
          <w:kern w:val="24"/>
        </w:rPr>
        <w:t>Maïwenn</w:t>
      </w:r>
      <w:proofErr w:type="spellEnd"/>
      <w:r>
        <w:rPr>
          <w:rFonts w:eastAsia="+mn-ea"/>
          <w:color w:val="000000"/>
          <w:kern w:val="24"/>
        </w:rPr>
        <w:t xml:space="preserve"> </w:t>
      </w:r>
      <w:proofErr w:type="spellStart"/>
      <w:r>
        <w:rPr>
          <w:rFonts w:eastAsia="+mn-ea"/>
          <w:color w:val="000000"/>
          <w:kern w:val="24"/>
        </w:rPr>
        <w:t>Kersaudy-Kerhoas</w:t>
      </w:r>
      <w:proofErr w:type="spellEnd"/>
      <w:r>
        <w:rPr>
          <w:rFonts w:eastAsia="+mn-ea"/>
          <w:color w:val="000000"/>
          <w:kern w:val="24"/>
          <w:position w:val="7"/>
          <w:vertAlign w:val="superscript"/>
        </w:rPr>
        <w:t>1,2</w:t>
      </w:r>
      <w:r>
        <w:rPr>
          <w:rFonts w:eastAsia="+mn-ea"/>
          <w:color w:val="000000"/>
          <w:kern w:val="24"/>
        </w:rPr>
        <w:t>, Nicholas R. Leslie</w:t>
      </w:r>
      <w:r>
        <w:rPr>
          <w:rFonts w:eastAsia="+mn-ea"/>
          <w:color w:val="000000"/>
          <w:kern w:val="24"/>
          <w:position w:val="7"/>
          <w:vertAlign w:val="superscript"/>
        </w:rPr>
        <w:t>1*</w:t>
      </w:r>
    </w:p>
    <w:p w:rsidR="0084796D" w:rsidRDefault="0084796D" w:rsidP="0084796D">
      <w:pPr>
        <w:pStyle w:val="NormalWeb"/>
        <w:spacing w:before="165" w:beforeAutospacing="0" w:after="0" w:afterAutospacing="0" w:line="408" w:lineRule="auto"/>
      </w:pPr>
      <w:r>
        <w:rPr>
          <w:rFonts w:eastAsia="+mn-ea"/>
          <w:color w:val="000000"/>
          <w:kern w:val="24"/>
          <w:position w:val="7"/>
          <w:vertAlign w:val="superscript"/>
        </w:rPr>
        <w:t>1</w:t>
      </w:r>
      <w:r>
        <w:rPr>
          <w:rFonts w:eastAsia="+mn-ea"/>
          <w:color w:val="000000"/>
          <w:kern w:val="24"/>
        </w:rPr>
        <w:t>Institute of Biological Chemistry, Biophysics and Bioengineering, Heriot-Watt University,</w:t>
      </w:r>
    </w:p>
    <w:p w:rsidR="0084796D" w:rsidRDefault="0084796D" w:rsidP="0084796D">
      <w:pPr>
        <w:pStyle w:val="NormalWeb"/>
        <w:spacing w:before="165" w:beforeAutospacing="0" w:after="0" w:afterAutospacing="0" w:line="408" w:lineRule="auto"/>
      </w:pPr>
      <w:r>
        <w:rPr>
          <w:rFonts w:eastAsia="+mn-ea"/>
          <w:color w:val="000000"/>
          <w:kern w:val="24"/>
        </w:rPr>
        <w:t>Edinburgh, EH14 4AS, United Kingdom</w:t>
      </w:r>
    </w:p>
    <w:p w:rsidR="0084796D" w:rsidRDefault="0084796D" w:rsidP="0084796D">
      <w:pPr>
        <w:pStyle w:val="NormalWeb"/>
        <w:spacing w:before="165" w:beforeAutospacing="0" w:after="0" w:afterAutospacing="0" w:line="408" w:lineRule="auto"/>
      </w:pPr>
      <w:r>
        <w:rPr>
          <w:rFonts w:eastAsia="+mn-ea"/>
          <w:color w:val="000000"/>
          <w:kern w:val="24"/>
          <w:position w:val="7"/>
          <w:vertAlign w:val="superscript"/>
        </w:rPr>
        <w:t>2</w:t>
      </w:r>
      <w:r>
        <w:rPr>
          <w:rFonts w:eastAsia="+mn-ea"/>
          <w:color w:val="000000"/>
          <w:kern w:val="24"/>
        </w:rPr>
        <w:t>Infection Medicine, Edinburgh Medical School, College of Medicine and Veterinary Medicine, The University of Edinburgh, Edinburgh, EH164SB, United Kingdom</w:t>
      </w:r>
    </w:p>
    <w:p w:rsidR="0084796D" w:rsidRDefault="0084796D" w:rsidP="0084796D">
      <w:pPr>
        <w:pStyle w:val="NormalWeb"/>
        <w:spacing w:before="165" w:beforeAutospacing="0" w:after="0" w:afterAutospacing="0" w:line="408" w:lineRule="auto"/>
      </w:pPr>
      <w:r>
        <w:rPr>
          <w:rFonts w:eastAsia="+mn-ea"/>
          <w:color w:val="000000"/>
          <w:kern w:val="24"/>
          <w:position w:val="7"/>
          <w:vertAlign w:val="superscript"/>
        </w:rPr>
        <w:t>3</w:t>
      </w:r>
      <w:r>
        <w:rPr>
          <w:rFonts w:eastAsia="+mn-ea"/>
          <w:color w:val="000000"/>
          <w:kern w:val="24"/>
        </w:rPr>
        <w:t>Edinburgh Cancer Research Centre, University of Edinburgh, Crewe Road South, Edinburgh, EH4 2XR, United Kingdom</w:t>
      </w:r>
    </w:p>
    <w:p w:rsidR="0084796D" w:rsidRDefault="0084796D" w:rsidP="0084796D">
      <w:pPr>
        <w:pStyle w:val="NormalWeb"/>
        <w:spacing w:before="165" w:beforeAutospacing="0" w:after="0" w:afterAutospacing="0" w:line="408" w:lineRule="auto"/>
      </w:pPr>
      <w:r>
        <w:rPr>
          <w:rFonts w:eastAsia="+mn-ea"/>
          <w:color w:val="000000"/>
          <w:kern w:val="24"/>
          <w:position w:val="7"/>
          <w:vertAlign w:val="superscript"/>
        </w:rPr>
        <w:t>4</w:t>
      </w:r>
      <w:r>
        <w:rPr>
          <w:rFonts w:eastAsia="+mn-ea"/>
          <w:color w:val="000000"/>
          <w:kern w:val="24"/>
        </w:rPr>
        <w:t xml:space="preserve">The Breast Cancer Now Research Centre, </w:t>
      </w:r>
      <w:proofErr w:type="gramStart"/>
      <w:r>
        <w:rPr>
          <w:rFonts w:eastAsia="+mn-ea"/>
          <w:color w:val="000000"/>
          <w:kern w:val="24"/>
        </w:rPr>
        <w:t>The</w:t>
      </w:r>
      <w:proofErr w:type="gramEnd"/>
      <w:r>
        <w:rPr>
          <w:rFonts w:eastAsia="+mn-ea"/>
          <w:color w:val="000000"/>
          <w:kern w:val="24"/>
        </w:rPr>
        <w:t xml:space="preserve"> Institute of Cancer Research, London, SW3 6JB, United Kingdom, </w:t>
      </w:r>
    </w:p>
    <w:p w:rsidR="0084796D" w:rsidRDefault="0084796D" w:rsidP="0084796D">
      <w:pPr>
        <w:pStyle w:val="NormalWeb"/>
        <w:spacing w:before="165" w:beforeAutospacing="0" w:after="0" w:afterAutospacing="0" w:line="408" w:lineRule="auto"/>
      </w:pPr>
      <w:r>
        <w:rPr>
          <w:rFonts w:eastAsia="+mn-ea"/>
          <w:color w:val="000000"/>
          <w:kern w:val="24"/>
          <w:position w:val="7"/>
          <w:vertAlign w:val="superscript"/>
        </w:rPr>
        <w:t>5</w:t>
      </w:r>
      <w:r>
        <w:rPr>
          <w:rFonts w:eastAsia="+mn-ea"/>
          <w:color w:val="000000"/>
          <w:kern w:val="24"/>
        </w:rPr>
        <w:t>Breast Unit, Royal Marsden Hospital, Fulham Road, London, SW3 6JJ, United Kingdom</w:t>
      </w:r>
    </w:p>
    <w:p w:rsidR="0084796D" w:rsidRDefault="0084796D" w:rsidP="0084796D">
      <w:pPr>
        <w:pStyle w:val="NormalWeb"/>
        <w:spacing w:before="165" w:beforeAutospacing="0" w:after="0" w:afterAutospacing="0" w:line="408" w:lineRule="auto"/>
      </w:pPr>
      <w:r>
        <w:rPr>
          <w:rFonts w:eastAsia="+mn-ea"/>
          <w:color w:val="000000"/>
          <w:kern w:val="24"/>
          <w:position w:val="7"/>
          <w:vertAlign w:val="superscript"/>
        </w:rPr>
        <w:t>6</w:t>
      </w:r>
      <w:r>
        <w:rPr>
          <w:rFonts w:eastAsia="+mn-ea"/>
          <w:color w:val="000000"/>
          <w:kern w:val="24"/>
        </w:rPr>
        <w:t>Edinburgh Cancer Centre, Western General Hospital, Crewe Road South, Edinburgh, EH4 2XU, United Kingdom</w:t>
      </w:r>
    </w:p>
    <w:p w:rsidR="0084796D" w:rsidRDefault="0084796D" w:rsidP="0084796D">
      <w:pPr>
        <w:pStyle w:val="NormalWeb"/>
        <w:spacing w:before="165" w:beforeAutospacing="0" w:after="0" w:afterAutospacing="0" w:line="216" w:lineRule="auto"/>
      </w:pPr>
      <w:r>
        <w:rPr>
          <w:rFonts w:eastAsia="+mn-ea"/>
          <w:color w:val="000000"/>
          <w:kern w:val="24"/>
        </w:rPr>
        <w:t>*All correspondence should be addressed to:</w:t>
      </w:r>
    </w:p>
    <w:p w:rsidR="0084796D" w:rsidRDefault="0084796D" w:rsidP="0084796D">
      <w:pPr>
        <w:pStyle w:val="NormalWeb"/>
        <w:spacing w:before="165" w:beforeAutospacing="0" w:after="0" w:afterAutospacing="0" w:line="216" w:lineRule="auto"/>
      </w:pPr>
      <w:r>
        <w:rPr>
          <w:rFonts w:eastAsia="+mn-ea"/>
          <w:color w:val="000000"/>
          <w:kern w:val="24"/>
        </w:rPr>
        <w:t xml:space="preserve">Nicholas R. Leslie, </w:t>
      </w:r>
      <w:proofErr w:type="spellStart"/>
      <w:r>
        <w:rPr>
          <w:rFonts w:eastAsia="+mn-ea"/>
          <w:color w:val="000000"/>
          <w:kern w:val="24"/>
        </w:rPr>
        <w:t>Prof.</w:t>
      </w:r>
      <w:proofErr w:type="spellEnd"/>
    </w:p>
    <w:p w:rsidR="0084796D" w:rsidRDefault="0084796D" w:rsidP="0084796D">
      <w:pPr>
        <w:pStyle w:val="NormalWeb"/>
        <w:spacing w:before="165" w:beforeAutospacing="0" w:after="0" w:afterAutospacing="0" w:line="216" w:lineRule="auto"/>
      </w:pPr>
      <w:r>
        <w:rPr>
          <w:rFonts w:eastAsia="+mn-ea"/>
          <w:color w:val="000000"/>
          <w:kern w:val="24"/>
        </w:rPr>
        <w:t>Institute of Biological Chemistry, Biophysics and Bioengineering</w:t>
      </w:r>
    </w:p>
    <w:p w:rsidR="0084796D" w:rsidRDefault="0084796D" w:rsidP="0084796D">
      <w:pPr>
        <w:pStyle w:val="NormalWeb"/>
        <w:spacing w:before="165" w:beforeAutospacing="0" w:after="0" w:afterAutospacing="0" w:line="216" w:lineRule="auto"/>
      </w:pPr>
      <w:r>
        <w:rPr>
          <w:rFonts w:eastAsia="+mn-ea"/>
          <w:color w:val="000000"/>
          <w:kern w:val="24"/>
        </w:rPr>
        <w:t>School of Engineering &amp; Physical Sciences</w:t>
      </w:r>
    </w:p>
    <w:p w:rsidR="0084796D" w:rsidRDefault="0084796D" w:rsidP="0084796D">
      <w:pPr>
        <w:pStyle w:val="NormalWeb"/>
        <w:spacing w:before="165" w:beforeAutospacing="0" w:after="0" w:afterAutospacing="0" w:line="216" w:lineRule="auto"/>
      </w:pPr>
      <w:r>
        <w:rPr>
          <w:rFonts w:eastAsia="+mn-ea"/>
          <w:color w:val="000000"/>
          <w:kern w:val="24"/>
        </w:rPr>
        <w:t>Heriot-Watt University</w:t>
      </w:r>
    </w:p>
    <w:p w:rsidR="0084796D" w:rsidRDefault="0084796D" w:rsidP="0084796D">
      <w:pPr>
        <w:pStyle w:val="NormalWeb"/>
        <w:spacing w:before="165" w:beforeAutospacing="0" w:after="0" w:afterAutospacing="0" w:line="216" w:lineRule="auto"/>
      </w:pPr>
      <w:r>
        <w:rPr>
          <w:rFonts w:eastAsia="+mn-ea"/>
          <w:color w:val="000000"/>
          <w:kern w:val="24"/>
        </w:rPr>
        <w:t>EH14 4AS Edinburgh</w:t>
      </w:r>
    </w:p>
    <w:p w:rsidR="0084796D" w:rsidRDefault="0084796D" w:rsidP="0084796D">
      <w:pPr>
        <w:pStyle w:val="NormalWeb"/>
        <w:spacing w:before="165" w:beforeAutospacing="0" w:after="0" w:afterAutospacing="0" w:line="216" w:lineRule="auto"/>
      </w:pPr>
      <w:r>
        <w:rPr>
          <w:rFonts w:eastAsia="+mn-ea"/>
          <w:color w:val="000000"/>
          <w:kern w:val="24"/>
        </w:rPr>
        <w:t>United Kingdom</w:t>
      </w:r>
    </w:p>
    <w:p w:rsidR="0084796D" w:rsidRDefault="0084796D" w:rsidP="0084796D">
      <w:pPr>
        <w:pStyle w:val="NormalWeb"/>
        <w:spacing w:before="165" w:beforeAutospacing="0" w:after="0" w:afterAutospacing="0" w:line="216" w:lineRule="auto"/>
      </w:pPr>
      <w:r>
        <w:rPr>
          <w:rFonts w:eastAsia="+mn-ea"/>
          <w:color w:val="000000"/>
          <w:kern w:val="24"/>
        </w:rPr>
        <w:t xml:space="preserve">Email: n.r.leslie@hw.ac.uk  </w:t>
      </w:r>
    </w:p>
    <w:p w:rsidR="0084796D" w:rsidRDefault="0084796D" w:rsidP="0084796D">
      <w:pPr>
        <w:pStyle w:val="NormalWeb"/>
        <w:spacing w:before="165" w:beforeAutospacing="0" w:after="0" w:afterAutospacing="0" w:line="216" w:lineRule="auto"/>
      </w:pPr>
      <w:r>
        <w:rPr>
          <w:rFonts w:eastAsia="+mn-ea"/>
          <w:color w:val="000000"/>
          <w:kern w:val="24"/>
        </w:rPr>
        <w:t>Tel: 44-131-451-8157</w:t>
      </w:r>
    </w:p>
    <w:p w:rsidR="00A4309E" w:rsidRDefault="00A4309E"/>
    <w:p w:rsidR="0084796D" w:rsidRDefault="0084796D"/>
    <w:p w:rsidR="0084796D" w:rsidRDefault="0084796D"/>
    <w:p w:rsidR="0084796D" w:rsidRPr="0084796D" w:rsidRDefault="0084796D" w:rsidP="0084796D">
      <w:pPr>
        <w:pStyle w:val="NormalWeb"/>
        <w:spacing w:before="165" w:beforeAutospacing="0" w:after="0" w:afterAutospacing="0" w:line="360" w:lineRule="auto"/>
        <w:jc w:val="both"/>
        <w:rPr>
          <w:sz w:val="23"/>
          <w:szCs w:val="23"/>
        </w:rPr>
      </w:pPr>
      <w:r w:rsidRPr="0084796D">
        <w:rPr>
          <w:rFonts w:eastAsia="+mn-ea"/>
          <w:b/>
          <w:bCs/>
          <w:color w:val="000000"/>
          <w:kern w:val="24"/>
          <w:sz w:val="23"/>
          <w:szCs w:val="23"/>
        </w:rPr>
        <w:lastRenderedPageBreak/>
        <w:t>Supplementary figure legends</w:t>
      </w:r>
    </w:p>
    <w:p w:rsidR="0084796D" w:rsidRPr="0084796D" w:rsidRDefault="0084796D" w:rsidP="0084796D">
      <w:pPr>
        <w:pStyle w:val="NormalWeb"/>
        <w:spacing w:before="165" w:beforeAutospacing="0" w:after="0" w:afterAutospacing="0" w:line="360" w:lineRule="auto"/>
        <w:jc w:val="both"/>
        <w:rPr>
          <w:sz w:val="23"/>
          <w:szCs w:val="23"/>
        </w:rPr>
      </w:pPr>
      <w:r w:rsidRPr="0084796D">
        <w:rPr>
          <w:rFonts w:eastAsia="+mn-ea"/>
          <w:b/>
          <w:bCs/>
          <w:color w:val="000000"/>
          <w:kern w:val="24"/>
          <w:sz w:val="23"/>
          <w:szCs w:val="23"/>
        </w:rPr>
        <w:t xml:space="preserve">Table S1. </w:t>
      </w:r>
      <w:r w:rsidRPr="0084796D">
        <w:rPr>
          <w:rFonts w:eastAsia="+mn-ea"/>
          <w:color w:val="000000"/>
          <w:kern w:val="24"/>
          <w:sz w:val="23"/>
          <w:szCs w:val="23"/>
        </w:rPr>
        <w:t xml:space="preserve">Clinical characteristics of the patients recruited for the study. Abbreviations: NST (no specific type), </w:t>
      </w:r>
      <w:proofErr w:type="spellStart"/>
      <w:r w:rsidRPr="0084796D">
        <w:rPr>
          <w:rFonts w:eastAsia="+mn-ea"/>
          <w:color w:val="000000"/>
          <w:kern w:val="24"/>
          <w:sz w:val="23"/>
          <w:szCs w:val="23"/>
        </w:rPr>
        <w:t>pos</w:t>
      </w:r>
      <w:proofErr w:type="spellEnd"/>
      <w:r w:rsidRPr="0084796D">
        <w:rPr>
          <w:rFonts w:eastAsia="+mn-ea"/>
          <w:color w:val="000000"/>
          <w:kern w:val="24"/>
          <w:sz w:val="23"/>
          <w:szCs w:val="23"/>
        </w:rPr>
        <w:t xml:space="preserve"> (positive), </w:t>
      </w:r>
      <w:proofErr w:type="spellStart"/>
      <w:r w:rsidRPr="0084796D">
        <w:rPr>
          <w:rFonts w:eastAsia="+mn-ea"/>
          <w:color w:val="000000"/>
          <w:kern w:val="24"/>
          <w:sz w:val="23"/>
          <w:szCs w:val="23"/>
        </w:rPr>
        <w:t>neg</w:t>
      </w:r>
      <w:proofErr w:type="spellEnd"/>
      <w:r w:rsidRPr="0084796D">
        <w:rPr>
          <w:rFonts w:eastAsia="+mn-ea"/>
          <w:color w:val="000000"/>
          <w:kern w:val="24"/>
          <w:sz w:val="23"/>
          <w:szCs w:val="23"/>
        </w:rPr>
        <w:t xml:space="preserve"> (negative), ER (</w:t>
      </w:r>
      <w:proofErr w:type="spellStart"/>
      <w:r w:rsidRPr="0084796D">
        <w:rPr>
          <w:rFonts w:eastAsia="+mn-ea"/>
          <w:color w:val="000000"/>
          <w:kern w:val="24"/>
          <w:sz w:val="23"/>
          <w:szCs w:val="23"/>
        </w:rPr>
        <w:t>estrogen</w:t>
      </w:r>
      <w:proofErr w:type="spellEnd"/>
      <w:r w:rsidRPr="0084796D">
        <w:rPr>
          <w:rFonts w:eastAsia="+mn-ea"/>
          <w:color w:val="000000"/>
          <w:kern w:val="24"/>
          <w:sz w:val="23"/>
          <w:szCs w:val="23"/>
        </w:rPr>
        <w:t xml:space="preserve"> receptor), PR (progesterone receptor), HER2 (human epidermal growth factor receptor 2).</w:t>
      </w:r>
    </w:p>
    <w:p w:rsidR="0084796D" w:rsidRPr="0084796D" w:rsidRDefault="0084796D" w:rsidP="0084796D">
      <w:pPr>
        <w:pStyle w:val="NormalWeb"/>
        <w:spacing w:before="165" w:beforeAutospacing="0" w:after="0" w:afterAutospacing="0" w:line="360" w:lineRule="auto"/>
        <w:jc w:val="both"/>
        <w:rPr>
          <w:sz w:val="23"/>
          <w:szCs w:val="23"/>
        </w:rPr>
      </w:pPr>
      <w:r w:rsidRPr="0084796D">
        <w:rPr>
          <w:rFonts w:eastAsia="+mn-ea"/>
          <w:b/>
          <w:bCs/>
          <w:color w:val="000000"/>
          <w:kern w:val="24"/>
          <w:sz w:val="23"/>
          <w:szCs w:val="23"/>
        </w:rPr>
        <w:t>Table S2</w:t>
      </w:r>
      <w:r w:rsidRPr="0084796D">
        <w:rPr>
          <w:rFonts w:eastAsia="+mn-ea"/>
          <w:color w:val="000000"/>
          <w:kern w:val="24"/>
          <w:sz w:val="23"/>
          <w:szCs w:val="23"/>
        </w:rPr>
        <w:t xml:space="preserve">. Primer and probe information for nuclease-based enrichment and detection with qPCR. A) Enrichment probes used for corresponding mutations. B) Primer information for mutant allele specific qPCR and the size of generated amplicons. C) Primers used for target pre-amplification. </w:t>
      </w:r>
    </w:p>
    <w:p w:rsidR="0084796D" w:rsidRPr="0084796D" w:rsidRDefault="0084796D" w:rsidP="0084796D">
      <w:pPr>
        <w:pStyle w:val="NormalWeb"/>
        <w:spacing w:before="165" w:beforeAutospacing="0" w:after="0" w:afterAutospacing="0" w:line="360" w:lineRule="auto"/>
        <w:jc w:val="both"/>
        <w:rPr>
          <w:sz w:val="23"/>
          <w:szCs w:val="23"/>
        </w:rPr>
      </w:pPr>
      <w:r w:rsidRPr="0084796D">
        <w:rPr>
          <w:rFonts w:eastAsia="+mn-ea"/>
          <w:b/>
          <w:bCs/>
          <w:color w:val="000000"/>
          <w:kern w:val="24"/>
          <w:sz w:val="23"/>
          <w:szCs w:val="23"/>
        </w:rPr>
        <w:t xml:space="preserve">Table S3. </w:t>
      </w:r>
      <w:r w:rsidRPr="0084796D">
        <w:rPr>
          <w:rFonts w:eastAsia="+mn-ea"/>
          <w:color w:val="000000"/>
          <w:kern w:val="24"/>
          <w:sz w:val="23"/>
          <w:szCs w:val="23"/>
        </w:rPr>
        <w:t xml:space="preserve">Primer and probe information for </w:t>
      </w:r>
      <w:proofErr w:type="spellStart"/>
      <w:r w:rsidRPr="0084796D">
        <w:rPr>
          <w:rFonts w:eastAsia="+mn-ea"/>
          <w:color w:val="000000"/>
          <w:kern w:val="24"/>
          <w:sz w:val="23"/>
          <w:szCs w:val="23"/>
        </w:rPr>
        <w:t>dPCR</w:t>
      </w:r>
      <w:proofErr w:type="spellEnd"/>
      <w:r w:rsidRPr="0084796D">
        <w:rPr>
          <w:rFonts w:eastAsia="+mn-ea"/>
          <w:color w:val="000000"/>
          <w:kern w:val="24"/>
          <w:sz w:val="23"/>
          <w:szCs w:val="23"/>
        </w:rPr>
        <w:t xml:space="preserve"> duplex and triplex assays. </w:t>
      </w:r>
    </w:p>
    <w:p w:rsidR="0084796D" w:rsidRPr="0084796D" w:rsidRDefault="0084796D" w:rsidP="0084796D">
      <w:pPr>
        <w:pStyle w:val="NormalWeb"/>
        <w:spacing w:before="165" w:beforeAutospacing="0" w:after="0" w:afterAutospacing="0" w:line="360" w:lineRule="auto"/>
        <w:jc w:val="both"/>
        <w:rPr>
          <w:sz w:val="23"/>
          <w:szCs w:val="23"/>
        </w:rPr>
      </w:pPr>
      <w:r w:rsidRPr="0084796D">
        <w:rPr>
          <w:rFonts w:eastAsia="+mn-ea"/>
          <w:b/>
          <w:bCs/>
          <w:color w:val="000000"/>
          <w:kern w:val="24"/>
          <w:sz w:val="23"/>
          <w:szCs w:val="23"/>
        </w:rPr>
        <w:t xml:space="preserve">Figure S1. </w:t>
      </w:r>
      <w:r w:rsidRPr="0084796D">
        <w:rPr>
          <w:rFonts w:eastAsia="+mn-ea"/>
          <w:color w:val="000000"/>
          <w:kern w:val="24"/>
          <w:sz w:val="23"/>
          <w:szCs w:val="23"/>
        </w:rPr>
        <w:t>Genomic DNA from cell lines containing PIK3CA E542K (A), E545K (B), H1047R (C) and H1047L (D) mutations were serially diluted in wild type DNA with decreasing mutation abundances 10, 5, 2.5, 1.25, 0.6, 0.3 and 0.15% (for H1047R and H1047L only). Mutation detection was performed in enriched samples and ma</w:t>
      </w:r>
      <w:r w:rsidR="00AB2C84">
        <w:rPr>
          <w:rFonts w:eastAsia="+mn-ea"/>
          <w:color w:val="000000"/>
          <w:kern w:val="24"/>
          <w:sz w:val="23"/>
          <w:szCs w:val="23"/>
        </w:rPr>
        <w:t>tched untreated controls by SYBR</w:t>
      </w:r>
      <w:bookmarkStart w:id="0" w:name="_GoBack"/>
      <w:bookmarkEnd w:id="0"/>
      <w:r w:rsidRPr="0084796D">
        <w:rPr>
          <w:rFonts w:eastAsia="+mn-ea"/>
          <w:color w:val="000000"/>
          <w:kern w:val="24"/>
          <w:sz w:val="23"/>
          <w:szCs w:val="23"/>
        </w:rPr>
        <w:t xml:space="preserve"> Green qPCR method with wild type blocking primer. (E) A linear regression equation has been estimated for data points obtained studying H1047L mutation. Data analysed by </w:t>
      </w:r>
      <w:proofErr w:type="spellStart"/>
      <w:r w:rsidRPr="0084796D">
        <w:rPr>
          <w:rFonts w:eastAsia="+mn-ea"/>
          <w:color w:val="000000"/>
          <w:kern w:val="24"/>
          <w:sz w:val="23"/>
          <w:szCs w:val="23"/>
        </w:rPr>
        <w:t>ΔΔCt</w:t>
      </w:r>
      <w:proofErr w:type="spellEnd"/>
      <w:r w:rsidRPr="0084796D">
        <w:rPr>
          <w:rFonts w:eastAsia="+mn-ea"/>
          <w:color w:val="000000"/>
          <w:kern w:val="24"/>
          <w:sz w:val="23"/>
          <w:szCs w:val="23"/>
        </w:rPr>
        <w:t xml:space="preserve"> method, where relative amplification was calculated in regards to WT human genomic DNA, and shown as mean mutant fold amplification ± SD. Due to a limited enrichment reaction volume (10 µl), all qPCR points were obtained in duplicates in three independent experiments (n=3). ***P &lt; 0.001 compared with PIK3CA WT, *P &lt; 0.05 compared with PIK3CA WT (Student’s t test using </w:t>
      </w:r>
      <w:proofErr w:type="spellStart"/>
      <w:r w:rsidRPr="0084796D">
        <w:rPr>
          <w:rFonts w:eastAsia="+mn-ea"/>
          <w:color w:val="000000"/>
          <w:kern w:val="24"/>
          <w:sz w:val="23"/>
          <w:szCs w:val="23"/>
        </w:rPr>
        <w:t>GraphPad</w:t>
      </w:r>
      <w:proofErr w:type="spellEnd"/>
      <w:r w:rsidRPr="0084796D">
        <w:rPr>
          <w:rFonts w:eastAsia="+mn-ea"/>
          <w:color w:val="000000"/>
          <w:kern w:val="24"/>
          <w:sz w:val="23"/>
          <w:szCs w:val="23"/>
        </w:rPr>
        <w:t xml:space="preserve"> Prism software). </w:t>
      </w:r>
    </w:p>
    <w:p w:rsidR="0084796D" w:rsidRPr="0084796D" w:rsidRDefault="0084796D" w:rsidP="0084796D">
      <w:pPr>
        <w:pStyle w:val="NormalWeb"/>
        <w:spacing w:before="165" w:beforeAutospacing="0" w:after="0" w:afterAutospacing="0" w:line="360" w:lineRule="auto"/>
        <w:jc w:val="both"/>
        <w:rPr>
          <w:rFonts w:eastAsia="+mn-ea"/>
          <w:color w:val="000000"/>
          <w:kern w:val="24"/>
          <w:sz w:val="23"/>
          <w:szCs w:val="23"/>
        </w:rPr>
      </w:pPr>
      <w:r w:rsidRPr="0084796D">
        <w:rPr>
          <w:rFonts w:eastAsia="+mn-ea"/>
          <w:b/>
          <w:bCs/>
          <w:color w:val="000000"/>
          <w:kern w:val="24"/>
          <w:sz w:val="23"/>
          <w:szCs w:val="23"/>
        </w:rPr>
        <w:t xml:space="preserve">Figure S2. </w:t>
      </w:r>
      <w:r w:rsidRPr="0084796D">
        <w:rPr>
          <w:rFonts w:eastAsia="+mn-ea"/>
          <w:color w:val="000000"/>
          <w:kern w:val="24"/>
          <w:sz w:val="23"/>
          <w:szCs w:val="23"/>
        </w:rPr>
        <w:t xml:space="preserve">Digital PCR assay result comparison with </w:t>
      </w:r>
      <w:proofErr w:type="spellStart"/>
      <w:r w:rsidRPr="0084796D">
        <w:rPr>
          <w:rFonts w:eastAsia="+mn-ea"/>
          <w:color w:val="000000"/>
          <w:kern w:val="24"/>
          <w:sz w:val="23"/>
          <w:szCs w:val="23"/>
        </w:rPr>
        <w:t>TruSeq</w:t>
      </w:r>
      <w:proofErr w:type="spellEnd"/>
      <w:r w:rsidRPr="0084796D">
        <w:rPr>
          <w:rFonts w:eastAsia="+mn-ea"/>
          <w:color w:val="000000"/>
          <w:kern w:val="24"/>
          <w:sz w:val="23"/>
          <w:szCs w:val="23"/>
        </w:rPr>
        <w:t xml:space="preserve"> Illumina </w:t>
      </w:r>
      <w:proofErr w:type="spellStart"/>
      <w:r w:rsidRPr="0084796D">
        <w:rPr>
          <w:rFonts w:eastAsia="+mn-ea"/>
          <w:color w:val="000000"/>
          <w:kern w:val="24"/>
          <w:sz w:val="23"/>
          <w:szCs w:val="23"/>
        </w:rPr>
        <w:t>sequenzing</w:t>
      </w:r>
      <w:proofErr w:type="spellEnd"/>
      <w:r w:rsidRPr="0084796D">
        <w:rPr>
          <w:rFonts w:eastAsia="+mn-ea"/>
          <w:color w:val="000000"/>
          <w:kern w:val="24"/>
          <w:sz w:val="23"/>
          <w:szCs w:val="23"/>
        </w:rPr>
        <w:t xml:space="preserve"> panel results for frozen core tissue biopsy sample DNA from breast cancer patients. Genomic DNA extracted from tissue biopsies were subjected to </w:t>
      </w:r>
      <w:proofErr w:type="spellStart"/>
      <w:r w:rsidRPr="0084796D">
        <w:rPr>
          <w:rFonts w:eastAsia="+mn-ea"/>
          <w:color w:val="000000"/>
          <w:kern w:val="24"/>
          <w:sz w:val="23"/>
          <w:szCs w:val="23"/>
        </w:rPr>
        <w:t>dPCR</w:t>
      </w:r>
      <w:proofErr w:type="spellEnd"/>
      <w:r w:rsidRPr="0084796D">
        <w:rPr>
          <w:rFonts w:eastAsia="+mn-ea"/>
          <w:color w:val="000000"/>
          <w:kern w:val="24"/>
          <w:sz w:val="23"/>
          <w:szCs w:val="23"/>
        </w:rPr>
        <w:t xml:space="preserve"> and targeted deep sequencing using the </w:t>
      </w:r>
      <w:proofErr w:type="spellStart"/>
      <w:r w:rsidRPr="0084796D">
        <w:rPr>
          <w:rFonts w:eastAsia="+mn-ea"/>
          <w:color w:val="000000"/>
          <w:kern w:val="24"/>
          <w:sz w:val="23"/>
          <w:szCs w:val="23"/>
        </w:rPr>
        <w:t>TruSeq</w:t>
      </w:r>
      <w:proofErr w:type="spellEnd"/>
      <w:r w:rsidRPr="0084796D">
        <w:rPr>
          <w:rFonts w:eastAsia="+mn-ea"/>
          <w:color w:val="000000"/>
          <w:kern w:val="24"/>
          <w:sz w:val="23"/>
          <w:szCs w:val="23"/>
        </w:rPr>
        <w:t xml:space="preserve"> Cancer Amplicon Panel (Illumina) for comparison. Data are shown as the mutant allele fraction for each sample.</w:t>
      </w:r>
    </w:p>
    <w:p w:rsidR="0084796D" w:rsidRPr="0084796D" w:rsidRDefault="0084796D" w:rsidP="0084796D">
      <w:pPr>
        <w:spacing w:before="165" w:after="0" w:line="360" w:lineRule="auto"/>
        <w:jc w:val="both"/>
        <w:rPr>
          <w:rFonts w:ascii="Times New Roman" w:eastAsia="Times New Roman" w:hAnsi="Times New Roman" w:cs="Times New Roman"/>
          <w:sz w:val="23"/>
          <w:szCs w:val="23"/>
          <w:lang w:eastAsia="en-GB"/>
        </w:rPr>
      </w:pPr>
      <w:r w:rsidRPr="0084796D">
        <w:rPr>
          <w:rFonts w:ascii="Times New Roman" w:eastAsiaTheme="minorEastAsia" w:hAnsi="Times New Roman" w:cs="Times New Roman"/>
          <w:b/>
          <w:bCs/>
          <w:color w:val="000000"/>
          <w:kern w:val="24"/>
          <w:sz w:val="23"/>
          <w:szCs w:val="23"/>
          <w:lang w:eastAsia="en-GB"/>
        </w:rPr>
        <w:t xml:space="preserve">Figure S3. </w:t>
      </w:r>
      <w:r w:rsidRPr="0084796D">
        <w:rPr>
          <w:rFonts w:ascii="Times New Roman" w:eastAsiaTheme="minorEastAsia" w:hAnsi="Times New Roman" w:cs="Times New Roman"/>
          <w:color w:val="000000"/>
          <w:kern w:val="24"/>
          <w:sz w:val="23"/>
          <w:szCs w:val="23"/>
          <w:lang w:eastAsia="en-GB"/>
        </w:rPr>
        <w:t>A) Serial dilution of T47D mutant DNA in WT DNA to study enrichment in lower mutation fractions. Mutation detection of untreated samples was compared to enriched samples and samples following a pre-amplification step before enrichment. B) – E</w:t>
      </w:r>
      <w:proofErr w:type="gramStart"/>
      <w:r w:rsidRPr="0084796D">
        <w:rPr>
          <w:rFonts w:ascii="Times New Roman" w:eastAsiaTheme="minorEastAsia" w:hAnsi="Times New Roman" w:cs="Times New Roman"/>
          <w:color w:val="000000"/>
          <w:kern w:val="24"/>
          <w:sz w:val="23"/>
          <w:szCs w:val="23"/>
          <w:lang w:eastAsia="en-GB"/>
        </w:rPr>
        <w:t>) .</w:t>
      </w:r>
      <w:proofErr w:type="gramEnd"/>
      <w:r w:rsidRPr="0084796D">
        <w:rPr>
          <w:rFonts w:ascii="Times New Roman" w:eastAsiaTheme="minorEastAsia" w:hAnsi="Times New Roman" w:cs="Times New Roman"/>
          <w:color w:val="000000"/>
          <w:kern w:val="24"/>
          <w:sz w:val="23"/>
          <w:szCs w:val="23"/>
          <w:lang w:eastAsia="en-GB"/>
        </w:rPr>
        <w:t xml:space="preserve"> Genomic DNA from cell lines containing PIK3CA E542K (B), E545K (C), H1047R (D), and H1047L (E) mutations were serially diluted in wild type DNA with decreasing mutation abundances. Mutation detection was performed in enriched samples and matched untreated controls by </w:t>
      </w:r>
      <w:proofErr w:type="spellStart"/>
      <w:r w:rsidRPr="0084796D">
        <w:rPr>
          <w:rFonts w:ascii="Times New Roman" w:eastAsiaTheme="minorEastAsia" w:hAnsi="Times New Roman" w:cs="Times New Roman"/>
          <w:color w:val="000000"/>
          <w:kern w:val="24"/>
          <w:sz w:val="23"/>
          <w:szCs w:val="23"/>
          <w:lang w:eastAsia="en-GB"/>
        </w:rPr>
        <w:t>dPCR</w:t>
      </w:r>
      <w:proofErr w:type="spellEnd"/>
      <w:r w:rsidRPr="0084796D">
        <w:rPr>
          <w:rFonts w:ascii="Times New Roman" w:eastAsiaTheme="minorEastAsia" w:hAnsi="Times New Roman" w:cs="Times New Roman"/>
          <w:color w:val="000000"/>
          <w:kern w:val="24"/>
          <w:sz w:val="23"/>
          <w:szCs w:val="23"/>
          <w:lang w:eastAsia="en-GB"/>
        </w:rPr>
        <w:t xml:space="preserve">. A logarithmic regression curve has been applied and equation has been estimated for every mutation. </w:t>
      </w:r>
    </w:p>
    <w:p w:rsidR="0084796D" w:rsidRDefault="0084796D" w:rsidP="0084796D">
      <w:pPr>
        <w:pStyle w:val="NormalWeb"/>
        <w:spacing w:before="165" w:beforeAutospacing="0" w:after="0" w:afterAutospacing="0" w:line="360" w:lineRule="auto"/>
        <w:jc w:val="both"/>
      </w:pPr>
    </w:p>
    <w:p w:rsidR="0084796D" w:rsidRDefault="0084796D" w:rsidP="0084796D">
      <w:pPr>
        <w:spacing w:line="360" w:lineRule="auto"/>
      </w:pPr>
      <w:r>
        <w:rPr>
          <w:noProof/>
          <w:lang w:eastAsia="en-GB"/>
        </w:rPr>
        <w:drawing>
          <wp:inline distT="0" distB="0" distL="0" distR="0" wp14:anchorId="309A054B">
            <wp:extent cx="5932170" cy="814412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5831" cy="8162877"/>
                    </a:xfrm>
                    <a:prstGeom prst="rect">
                      <a:avLst/>
                    </a:prstGeom>
                    <a:noFill/>
                  </pic:spPr>
                </pic:pic>
              </a:graphicData>
            </a:graphic>
          </wp:inline>
        </w:drawing>
      </w:r>
    </w:p>
    <w:p w:rsidR="0084796D" w:rsidRDefault="0084796D" w:rsidP="0084796D">
      <w:pPr>
        <w:spacing w:line="360" w:lineRule="auto"/>
      </w:pPr>
    </w:p>
    <w:p w:rsidR="0084796D" w:rsidRDefault="0084796D" w:rsidP="0084796D">
      <w:pPr>
        <w:spacing w:line="360" w:lineRule="auto"/>
      </w:pPr>
      <w:r>
        <w:rPr>
          <w:noProof/>
          <w:lang w:eastAsia="en-GB"/>
        </w:rPr>
        <w:drawing>
          <wp:inline distT="0" distB="0" distL="0" distR="0" wp14:anchorId="3FFCC1D9">
            <wp:extent cx="5986869" cy="775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2312" cy="7763577"/>
                    </a:xfrm>
                    <a:prstGeom prst="rect">
                      <a:avLst/>
                    </a:prstGeom>
                    <a:noFill/>
                  </pic:spPr>
                </pic:pic>
              </a:graphicData>
            </a:graphic>
          </wp:inline>
        </w:drawing>
      </w: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r>
        <w:rPr>
          <w:noProof/>
          <w:lang w:eastAsia="en-GB"/>
        </w:rPr>
        <w:drawing>
          <wp:inline distT="0" distB="0" distL="0" distR="0" wp14:anchorId="5D4D20EC">
            <wp:extent cx="2908829" cy="8986520"/>
            <wp:effectExtent l="0" t="0" r="635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9735" cy="9020213"/>
                    </a:xfrm>
                    <a:prstGeom prst="rect">
                      <a:avLst/>
                    </a:prstGeom>
                    <a:noFill/>
                  </pic:spPr>
                </pic:pic>
              </a:graphicData>
            </a:graphic>
          </wp:inline>
        </w:drawing>
      </w:r>
    </w:p>
    <w:p w:rsidR="0084796D" w:rsidRDefault="0084796D" w:rsidP="0084796D">
      <w:pPr>
        <w:spacing w:line="360" w:lineRule="auto"/>
      </w:pPr>
      <w:r>
        <w:rPr>
          <w:noProof/>
          <w:lang w:eastAsia="en-GB"/>
        </w:rPr>
        <w:drawing>
          <wp:inline distT="0" distB="0" distL="0" distR="0" wp14:anchorId="66690E81">
            <wp:extent cx="6072505" cy="64476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7630" cy="6453068"/>
                    </a:xfrm>
                    <a:prstGeom prst="rect">
                      <a:avLst/>
                    </a:prstGeom>
                    <a:noFill/>
                  </pic:spPr>
                </pic:pic>
              </a:graphicData>
            </a:graphic>
          </wp:inline>
        </w:drawing>
      </w: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r>
        <w:rPr>
          <w:noProof/>
          <w:lang w:eastAsia="en-GB"/>
        </w:rPr>
        <w:drawing>
          <wp:inline distT="0" distB="0" distL="0" distR="0" wp14:anchorId="2EAA004C">
            <wp:extent cx="5936536" cy="3181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6334" cy="3186601"/>
                    </a:xfrm>
                    <a:prstGeom prst="rect">
                      <a:avLst/>
                    </a:prstGeom>
                    <a:noFill/>
                  </pic:spPr>
                </pic:pic>
              </a:graphicData>
            </a:graphic>
          </wp:inline>
        </w:drawing>
      </w: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p>
    <w:p w:rsidR="0084796D" w:rsidRDefault="0084796D" w:rsidP="0084796D">
      <w:pPr>
        <w:spacing w:line="360" w:lineRule="auto"/>
      </w:pPr>
      <w:r>
        <w:rPr>
          <w:noProof/>
          <w:lang w:eastAsia="en-GB"/>
        </w:rPr>
        <w:drawing>
          <wp:inline distT="0" distB="0" distL="0" distR="0" wp14:anchorId="0B107C38">
            <wp:extent cx="6226374" cy="7458710"/>
            <wp:effectExtent l="0" t="0" r="317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33803" cy="7467610"/>
                    </a:xfrm>
                    <a:prstGeom prst="rect">
                      <a:avLst/>
                    </a:prstGeom>
                    <a:noFill/>
                  </pic:spPr>
                </pic:pic>
              </a:graphicData>
            </a:graphic>
          </wp:inline>
        </w:drawing>
      </w:r>
    </w:p>
    <w:sectPr w:rsidR="008479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96D"/>
    <w:rsid w:val="0084796D"/>
    <w:rsid w:val="00A4309E"/>
    <w:rsid w:val="00AB2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483D"/>
  <w15:chartTrackingRefBased/>
  <w15:docId w15:val="{863149C4-7231-457C-900A-CB47096A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796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182109">
      <w:bodyDiv w:val="1"/>
      <w:marLeft w:val="0"/>
      <w:marRight w:val="0"/>
      <w:marTop w:val="0"/>
      <w:marBottom w:val="0"/>
      <w:divBdr>
        <w:top w:val="none" w:sz="0" w:space="0" w:color="auto"/>
        <w:left w:val="none" w:sz="0" w:space="0" w:color="auto"/>
        <w:bottom w:val="none" w:sz="0" w:space="0" w:color="auto"/>
        <w:right w:val="none" w:sz="0" w:space="0" w:color="auto"/>
      </w:divBdr>
    </w:div>
    <w:div w:id="874656430">
      <w:bodyDiv w:val="1"/>
      <w:marLeft w:val="0"/>
      <w:marRight w:val="0"/>
      <w:marTop w:val="0"/>
      <w:marBottom w:val="0"/>
      <w:divBdr>
        <w:top w:val="none" w:sz="0" w:space="0" w:color="auto"/>
        <w:left w:val="none" w:sz="0" w:space="0" w:color="auto"/>
        <w:bottom w:val="none" w:sz="0" w:space="0" w:color="auto"/>
        <w:right w:val="none" w:sz="0" w:space="0" w:color="auto"/>
      </w:divBdr>
    </w:div>
    <w:div w:id="206440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Heriot-Watt University</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Keraite</dc:creator>
  <cp:keywords/>
  <dc:description/>
  <cp:lastModifiedBy>Ieva Keraite</cp:lastModifiedBy>
  <cp:revision>2</cp:revision>
  <dcterms:created xsi:type="dcterms:W3CDTF">2020-05-18T10:27:00Z</dcterms:created>
  <dcterms:modified xsi:type="dcterms:W3CDTF">2020-05-26T09:27:00Z</dcterms:modified>
</cp:coreProperties>
</file>