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D8" w:rsidRPr="00A36E0A" w:rsidRDefault="006D62D8" w:rsidP="006D62D8">
      <w:pPr>
        <w:spacing w:line="480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A36E0A">
        <w:rPr>
          <w:rFonts w:ascii="Arial" w:hAnsi="Arial" w:cs="Arial" w:hint="eastAsia"/>
          <w:b/>
          <w:color w:val="0D0D0D" w:themeColor="text1" w:themeTint="F2"/>
        </w:rPr>
        <w:t>Supplementary information</w:t>
      </w:r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hAnsi="Arial" w:cs="Arial"/>
          <w:b/>
        </w:rPr>
      </w:pPr>
      <w:r w:rsidRPr="00A36E0A">
        <w:rPr>
          <w:rFonts w:ascii="Arial" w:hAnsi="Arial" w:cs="Arial"/>
          <w:b/>
        </w:rPr>
        <w:t xml:space="preserve">Rejuvenation of </w:t>
      </w:r>
      <w:proofErr w:type="spellStart"/>
      <w:r w:rsidRPr="00A36E0A">
        <w:rPr>
          <w:rFonts w:ascii="Arial" w:hAnsi="Arial" w:cs="Arial"/>
          <w:b/>
        </w:rPr>
        <w:t>Mesenchymal</w:t>
      </w:r>
      <w:proofErr w:type="spellEnd"/>
      <w:r w:rsidRPr="00A36E0A">
        <w:rPr>
          <w:rFonts w:ascii="Arial" w:hAnsi="Arial" w:cs="Arial"/>
          <w:b/>
        </w:rPr>
        <w:t xml:space="preserve"> Stem Cells by Extracellular Vesicles Inhibits the </w:t>
      </w:r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hAnsi="Arial" w:cs="Arial"/>
          <w:b/>
        </w:rPr>
      </w:pPr>
      <w:r w:rsidRPr="00A36E0A">
        <w:rPr>
          <w:rFonts w:ascii="Arial" w:hAnsi="Arial" w:cs="Arial"/>
          <w:b/>
        </w:rPr>
        <w:t>Elevation of Reactive Oxygen Species</w:t>
      </w:r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hAnsi="Arial" w:cs="Arial"/>
        </w:rPr>
      </w:pPr>
      <w:proofErr w:type="spellStart"/>
      <w:r w:rsidRPr="00A36E0A">
        <w:rPr>
          <w:rFonts w:ascii="Arial" w:hAnsi="Arial" w:cs="Arial"/>
        </w:rPr>
        <w:t>Vuong</w:t>
      </w:r>
      <w:proofErr w:type="spellEnd"/>
      <w:r w:rsidRPr="00A36E0A">
        <w:rPr>
          <w:rFonts w:ascii="Arial" w:hAnsi="Arial" w:cs="Arial"/>
        </w:rPr>
        <w:t xml:space="preserve"> Cat Khanh</w:t>
      </w:r>
      <w:r w:rsidRPr="00A36E0A">
        <w:rPr>
          <w:rFonts w:ascii="Arial" w:hAnsi="Arial" w:cs="Arial"/>
          <w:vertAlign w:val="superscript"/>
        </w:rPr>
        <w:t>1</w:t>
      </w:r>
      <w:r w:rsidRPr="00A36E0A">
        <w:rPr>
          <w:rFonts w:ascii="Arial" w:hAnsi="Arial" w:cs="Arial"/>
        </w:rPr>
        <w:t>, Toshiharu Yamashita</w:t>
      </w:r>
      <w:r w:rsidRPr="00A36E0A">
        <w:rPr>
          <w:rFonts w:ascii="Arial" w:hAnsi="Arial" w:cs="Arial"/>
          <w:vertAlign w:val="superscript"/>
        </w:rPr>
        <w:t>1</w:t>
      </w:r>
      <w:r w:rsidRPr="00A36E0A">
        <w:rPr>
          <w:rFonts w:ascii="Arial" w:hAnsi="Arial" w:cs="Arial"/>
        </w:rPr>
        <w:t xml:space="preserve">, </w:t>
      </w:r>
      <w:proofErr w:type="spellStart"/>
      <w:r w:rsidRPr="00A36E0A">
        <w:rPr>
          <w:rFonts w:ascii="Arial" w:hAnsi="Arial" w:cs="Arial"/>
        </w:rPr>
        <w:t>Kinuko</w:t>
      </w:r>
      <w:proofErr w:type="spellEnd"/>
      <w:r w:rsidRPr="00A36E0A">
        <w:rPr>
          <w:rFonts w:ascii="Arial" w:hAnsi="Arial" w:cs="Arial"/>
        </w:rPr>
        <w:t xml:space="preserve"> Ohneda</w:t>
      </w:r>
      <w:r w:rsidRPr="00A36E0A">
        <w:rPr>
          <w:rFonts w:ascii="Arial" w:hAnsi="Arial" w:cs="Arial"/>
          <w:vertAlign w:val="superscript"/>
        </w:rPr>
        <w:t>2</w:t>
      </w:r>
      <w:r w:rsidRPr="00A36E0A">
        <w:rPr>
          <w:rFonts w:ascii="Arial" w:hAnsi="Arial" w:cs="Arial"/>
        </w:rPr>
        <w:t xml:space="preserve">, </w:t>
      </w:r>
      <w:proofErr w:type="spellStart"/>
      <w:r w:rsidRPr="00A36E0A">
        <w:rPr>
          <w:rFonts w:ascii="Arial" w:hAnsi="Arial" w:cs="Arial"/>
        </w:rPr>
        <w:t>Chiho</w:t>
      </w:r>
      <w:proofErr w:type="spellEnd"/>
      <w:r w:rsidRPr="00A36E0A">
        <w:rPr>
          <w:rFonts w:ascii="Arial" w:hAnsi="Arial" w:cs="Arial"/>
        </w:rPr>
        <w:t xml:space="preserve"> Tokunaga</w:t>
      </w:r>
      <w:r w:rsidRPr="00A36E0A">
        <w:rPr>
          <w:rFonts w:ascii="Arial" w:hAnsi="Arial" w:cs="Arial"/>
          <w:vertAlign w:val="superscript"/>
        </w:rPr>
        <w:t>3</w:t>
      </w:r>
      <w:r w:rsidRPr="00A36E0A">
        <w:rPr>
          <w:rFonts w:ascii="Arial" w:hAnsi="Arial" w:cs="Arial"/>
        </w:rPr>
        <w:t>, Hideyuki Kato</w:t>
      </w:r>
      <w:r w:rsidRPr="00A36E0A">
        <w:rPr>
          <w:rFonts w:ascii="Arial" w:hAnsi="Arial" w:cs="Arial"/>
          <w:vertAlign w:val="superscript"/>
        </w:rPr>
        <w:t>3</w:t>
      </w:r>
      <w:r w:rsidRPr="00A36E0A">
        <w:rPr>
          <w:rFonts w:ascii="Arial" w:hAnsi="Arial" w:cs="Arial"/>
        </w:rPr>
        <w:t xml:space="preserve">, </w:t>
      </w:r>
      <w:proofErr w:type="spellStart"/>
      <w:r w:rsidRPr="00A36E0A">
        <w:rPr>
          <w:rFonts w:ascii="Arial" w:hAnsi="Arial" w:cs="Arial"/>
        </w:rPr>
        <w:t>Motoo</w:t>
      </w:r>
      <w:proofErr w:type="spellEnd"/>
      <w:r w:rsidRPr="00A36E0A">
        <w:rPr>
          <w:rFonts w:ascii="Arial" w:hAnsi="Arial" w:cs="Arial"/>
        </w:rPr>
        <w:t xml:space="preserve"> Osaka</w:t>
      </w:r>
      <w:r w:rsidRPr="00A36E0A">
        <w:rPr>
          <w:rFonts w:ascii="Arial" w:hAnsi="Arial" w:cs="Arial"/>
          <w:vertAlign w:val="superscript"/>
        </w:rPr>
        <w:t>3</w:t>
      </w:r>
      <w:r w:rsidRPr="00A36E0A">
        <w:rPr>
          <w:rFonts w:ascii="Arial" w:hAnsi="Arial" w:cs="Arial"/>
        </w:rPr>
        <w:t>, Yuji Hiramatsu</w:t>
      </w:r>
      <w:r w:rsidRPr="00A36E0A">
        <w:rPr>
          <w:rFonts w:ascii="Arial" w:hAnsi="Arial" w:cs="Arial"/>
          <w:vertAlign w:val="superscript"/>
        </w:rPr>
        <w:t>3</w:t>
      </w:r>
      <w:r w:rsidRPr="00A36E0A">
        <w:rPr>
          <w:rFonts w:ascii="Arial" w:hAnsi="Arial" w:cs="Arial"/>
        </w:rPr>
        <w:t>, Osamu Ohneda</w:t>
      </w:r>
      <w:r w:rsidRPr="00A36E0A">
        <w:rPr>
          <w:rFonts w:ascii="Arial" w:hAnsi="Arial" w:cs="Arial"/>
          <w:vertAlign w:val="superscript"/>
        </w:rPr>
        <w:t>1</w:t>
      </w:r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hAnsi="Arial" w:cs="Arial"/>
          <w:i/>
        </w:rPr>
      </w:pPr>
      <w:proofErr w:type="gramStart"/>
      <w:r w:rsidRPr="00A36E0A">
        <w:rPr>
          <w:rFonts w:ascii="Arial" w:hAnsi="Arial" w:cs="Arial"/>
          <w:i/>
          <w:vertAlign w:val="superscript"/>
        </w:rPr>
        <w:t>1</w:t>
      </w:r>
      <w:r w:rsidRPr="00A36E0A">
        <w:rPr>
          <w:rFonts w:ascii="Arial" w:hAnsi="Arial" w:cs="Arial"/>
          <w:i/>
        </w:rPr>
        <w:t>Graduate School of Comprehensive Human Science, Laboratory of Regenerative Medicine and Stem Cell Biology, University of Tsukuba, Tsukuba 305-8575, Japan.</w:t>
      </w:r>
      <w:proofErr w:type="gramEnd"/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hAnsi="Arial" w:cs="Arial"/>
          <w:i/>
          <w:shd w:val="clear" w:color="auto" w:fill="FFFFFF"/>
        </w:rPr>
      </w:pPr>
      <w:proofErr w:type="gramStart"/>
      <w:r w:rsidRPr="00A36E0A">
        <w:rPr>
          <w:rFonts w:ascii="Arial" w:hAnsi="Arial" w:cs="Arial"/>
          <w:i/>
          <w:vertAlign w:val="superscript"/>
        </w:rPr>
        <w:t>2</w:t>
      </w:r>
      <w:r w:rsidRPr="00A36E0A">
        <w:rPr>
          <w:rFonts w:ascii="Arial" w:hAnsi="Arial" w:cs="Arial"/>
          <w:i/>
          <w:shd w:val="clear" w:color="auto" w:fill="FFFFFF"/>
        </w:rPr>
        <w:t>Department of Medical Biochemistry, Tohoku University Graduate School of Medicine, Miyagi, Japan.</w:t>
      </w:r>
      <w:proofErr w:type="gramEnd"/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hAnsi="Arial" w:cs="Arial"/>
          <w:i/>
        </w:rPr>
      </w:pPr>
      <w:proofErr w:type="gramStart"/>
      <w:r w:rsidRPr="00A36E0A">
        <w:rPr>
          <w:rFonts w:ascii="Arial" w:hAnsi="Arial" w:cs="Arial"/>
          <w:shd w:val="clear" w:color="auto" w:fill="FFFFFF"/>
          <w:vertAlign w:val="superscript"/>
        </w:rPr>
        <w:t>3</w:t>
      </w:r>
      <w:r w:rsidRPr="00A36E0A">
        <w:rPr>
          <w:rFonts w:ascii="Arial" w:hAnsi="Arial" w:cs="Arial"/>
          <w:i/>
        </w:rPr>
        <w:t>Department of Cardiovascular Surgery, University of Tsukuba.</w:t>
      </w:r>
      <w:proofErr w:type="gramEnd"/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eastAsia="Times New Roman" w:hAnsi="Arial" w:cs="Arial"/>
        </w:rPr>
      </w:pPr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kern w:val="36"/>
        </w:rPr>
      </w:pPr>
      <w:r w:rsidRPr="00A36E0A">
        <w:rPr>
          <w:rFonts w:ascii="Arial" w:eastAsia="Times New Roman" w:hAnsi="Arial" w:cs="Arial"/>
        </w:rPr>
        <w:t>Address correspondence to:</w:t>
      </w:r>
      <w:r w:rsidRPr="00A36E0A">
        <w:rPr>
          <w:rFonts w:ascii="Arial" w:eastAsia="Times New Roman" w:hAnsi="Arial" w:cs="Arial"/>
          <w:bCs/>
          <w:kern w:val="36"/>
        </w:rPr>
        <w:t xml:space="preserve"> Osamu </w:t>
      </w:r>
      <w:proofErr w:type="spellStart"/>
      <w:r w:rsidRPr="00A36E0A">
        <w:rPr>
          <w:rFonts w:ascii="Arial" w:eastAsia="Times New Roman" w:hAnsi="Arial" w:cs="Arial"/>
          <w:bCs/>
          <w:kern w:val="36"/>
        </w:rPr>
        <w:t>Ohneda</w:t>
      </w:r>
      <w:proofErr w:type="spellEnd"/>
      <w:r w:rsidRPr="00A36E0A">
        <w:rPr>
          <w:rFonts w:ascii="Arial" w:eastAsia="Times New Roman" w:hAnsi="Arial" w:cs="Arial"/>
          <w:bCs/>
          <w:kern w:val="36"/>
        </w:rPr>
        <w:t xml:space="preserve">, MD, PhD, Laboratory of Regenerative Medicine and Stem Cell Biology, University of Tsukuba, 1-1-1 Tsukuba 305-8575, Japan. </w:t>
      </w:r>
    </w:p>
    <w:p w:rsidR="006C2CB3" w:rsidRPr="00A36E0A" w:rsidRDefault="006C2CB3" w:rsidP="006C2CB3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kern w:val="36"/>
        </w:rPr>
      </w:pPr>
      <w:r w:rsidRPr="00A36E0A">
        <w:rPr>
          <w:rFonts w:ascii="Arial" w:eastAsia="Times New Roman" w:hAnsi="Arial" w:cs="Arial"/>
          <w:bCs/>
          <w:kern w:val="36"/>
        </w:rPr>
        <w:t>E-mail: oohneda@md.tsukuba.ac.jp</w:t>
      </w:r>
    </w:p>
    <w:p w:rsidR="006D62D8" w:rsidRPr="00A36E0A" w:rsidRDefault="006C2CB3" w:rsidP="006C2CB3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</w:rPr>
      </w:pPr>
      <w:r w:rsidRPr="00A36E0A">
        <w:rPr>
          <w:rFonts w:ascii="Arial" w:eastAsia="Times New Roman" w:hAnsi="Arial" w:cs="Arial"/>
          <w:bCs/>
          <w:kern w:val="36"/>
        </w:rPr>
        <w:br w:type="page"/>
      </w:r>
    </w:p>
    <w:p w:rsidR="006C2CB3" w:rsidRPr="00A36E0A" w:rsidRDefault="00384E76" w:rsidP="007B453C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</w:rPr>
      </w:pPr>
      <w:r w:rsidRPr="00A36E0A">
        <w:rPr>
          <w:rFonts w:ascii="Arial" w:hAnsi="Arial" w:cs="Arial"/>
          <w:b/>
          <w:noProof/>
          <w:color w:val="0D0D0D" w:themeColor="text1" w:themeTint="F2"/>
        </w:rPr>
        <w:lastRenderedPageBreak/>
        <w:drawing>
          <wp:inline distT="0" distB="0" distL="0" distR="0" wp14:anchorId="0CDFABFF" wp14:editId="7BD61CD1">
            <wp:extent cx="5942172" cy="52959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1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73"/>
                    <a:stretch/>
                  </pic:blipFill>
                  <pic:spPr bwMode="auto">
                    <a:xfrm>
                      <a:off x="0" y="0"/>
                      <a:ext cx="5943600" cy="5297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46D" w:rsidRPr="00A36E0A" w:rsidRDefault="00021775" w:rsidP="006C2CB3">
      <w:pPr>
        <w:spacing w:after="0" w:line="480" w:lineRule="auto"/>
        <w:contextualSpacing/>
        <w:jc w:val="both"/>
        <w:rPr>
          <w:rFonts w:ascii="Arial" w:hAnsi="Arial" w:cs="Arial"/>
        </w:rPr>
      </w:pPr>
      <w:proofErr w:type="gramStart"/>
      <w:r w:rsidRPr="00A36E0A">
        <w:rPr>
          <w:rFonts w:ascii="Arial" w:hAnsi="Arial" w:cs="Arial" w:hint="eastAsia"/>
          <w:b/>
          <w:color w:val="0D0D0D" w:themeColor="text1" w:themeTint="F2"/>
        </w:rPr>
        <w:t>Supplementary</w:t>
      </w:r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="007B453C" w:rsidRPr="00A36E0A">
        <w:rPr>
          <w:rFonts w:ascii="Arial" w:hAnsi="Arial" w:cs="Arial"/>
          <w:b/>
          <w:color w:val="0D0D0D" w:themeColor="text1" w:themeTint="F2"/>
        </w:rPr>
        <w:t>Fig</w:t>
      </w:r>
      <w:r w:rsidR="007B453C" w:rsidRPr="00A36E0A">
        <w:rPr>
          <w:rFonts w:ascii="Arial" w:hAnsi="Arial" w:cs="Arial" w:hint="eastAsia"/>
          <w:b/>
          <w:color w:val="0D0D0D" w:themeColor="text1" w:themeTint="F2"/>
        </w:rPr>
        <w:t>ure</w:t>
      </w:r>
      <w:r w:rsidR="007B453C"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="007B453C" w:rsidRPr="00A36E0A">
        <w:rPr>
          <w:rFonts w:ascii="Arial" w:hAnsi="Arial" w:cs="Arial" w:hint="eastAsia"/>
          <w:b/>
          <w:color w:val="0D0D0D" w:themeColor="text1" w:themeTint="F2"/>
        </w:rPr>
        <w:t>1</w:t>
      </w:r>
      <w:r w:rsidR="007B453C" w:rsidRPr="00A36E0A">
        <w:rPr>
          <w:rFonts w:ascii="Arial" w:hAnsi="Arial" w:cs="Arial"/>
          <w:b/>
          <w:color w:val="0D0D0D" w:themeColor="text1" w:themeTint="F2"/>
        </w:rPr>
        <w:t>.</w:t>
      </w:r>
      <w:proofErr w:type="gramEnd"/>
      <w:r w:rsidR="007B453C" w:rsidRPr="00A36E0A">
        <w:rPr>
          <w:rFonts w:ascii="Arial" w:hAnsi="Arial" w:cs="Arial"/>
          <w:b/>
          <w:color w:val="0D0D0D" w:themeColor="text1" w:themeTint="F2"/>
        </w:rPr>
        <w:t xml:space="preserve"> </w:t>
      </w:r>
      <w:proofErr w:type="gramStart"/>
      <w:r w:rsidR="00384E76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Characterization of AT-MSCs and EPCs</w:t>
      </w:r>
      <w:r w:rsidR="006C2CB3"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.</w:t>
      </w:r>
      <w:proofErr w:type="gramEnd"/>
      <w:r w:rsidR="006C2CB3"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r w:rsidR="00384E76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A. 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Morphology of AT-MSCs, magnification x4, bar indicates 200µm. </w:t>
      </w:r>
      <w:r w:rsidR="00384E76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B.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MSC marker expression of AT-MSCs by a FACS analysis. </w:t>
      </w:r>
      <w:r w:rsidR="00384E76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C</w:t>
      </w:r>
      <w:r w:rsidR="00384E76" w:rsidRPr="00A36E0A">
        <w:rPr>
          <w:rFonts w:ascii="Arial" w:hAnsi="Arial" w:cs="Arial"/>
          <w:b/>
        </w:rPr>
        <w:t>.</w:t>
      </w:r>
      <w:r w:rsidR="00384E76" w:rsidRPr="00A36E0A">
        <w:rPr>
          <w:rFonts w:ascii="Arial" w:hAnsi="Arial" w:cs="Arial"/>
        </w:rPr>
        <w:t xml:space="preserve"> Growth curve of AT-MSCs. </w:t>
      </w:r>
      <w:r w:rsidR="00384E76" w:rsidRPr="00A36E0A">
        <w:rPr>
          <w:rFonts w:ascii="Arial" w:hAnsi="Arial" w:cs="Arial"/>
          <w:b/>
        </w:rPr>
        <w:t>D.</w:t>
      </w:r>
      <w:r w:rsidR="00384E76" w:rsidRPr="00A36E0A">
        <w:rPr>
          <w:rFonts w:ascii="Arial" w:hAnsi="Arial" w:cs="Arial"/>
        </w:rPr>
        <w:t xml:space="preserve"> Differentiation of AT-MSCs to adipocytes (magnification x20, 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>bar indicates 5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>0µm</w:t>
      </w:r>
      <w:r w:rsidR="00384E76" w:rsidRPr="00A36E0A">
        <w:rPr>
          <w:rFonts w:ascii="Arial" w:hAnsi="Arial" w:cs="Arial"/>
        </w:rPr>
        <w:t xml:space="preserve">), osteocytes (magnification x4, 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>bar indicates 200µm</w:t>
      </w:r>
      <w:r w:rsidR="00384E76" w:rsidRPr="00A36E0A">
        <w:rPr>
          <w:rFonts w:ascii="Arial" w:hAnsi="Arial" w:cs="Arial"/>
        </w:rPr>
        <w:t xml:space="preserve">), and chondrocytes (magnification x10, bar indicates 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>10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>0µm</w:t>
      </w:r>
      <w:r w:rsidR="00384E76"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). </w:t>
      </w:r>
      <w:r w:rsidR="00384E76" w:rsidRPr="00A36E0A">
        <w:rPr>
          <w:rFonts w:ascii="Arial" w:hAnsi="Arial" w:cs="Arial"/>
          <w:b/>
        </w:rPr>
        <w:t>E</w:t>
      </w:r>
      <w:r w:rsidR="00384E76" w:rsidRPr="00A36E0A">
        <w:rPr>
          <w:rFonts w:ascii="Arial" w:hAnsi="Arial" w:cs="Arial"/>
          <w:b/>
        </w:rPr>
        <w:t>.</w:t>
      </w:r>
      <w:r w:rsidR="00384E76" w:rsidRPr="00A36E0A">
        <w:rPr>
          <w:rFonts w:ascii="Arial" w:hAnsi="Arial" w:cs="Arial"/>
        </w:rPr>
        <w:t xml:space="preserve">  Morphology of EPCs, 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>magnification x4, bar indicates 200µm</w:t>
      </w:r>
      <w:r w:rsidR="00A36E0A" w:rsidRPr="00A36E0A">
        <w:rPr>
          <w:rFonts w:ascii="Arial" w:hAnsi="Arial" w:cs="Arial"/>
        </w:rPr>
        <w:t xml:space="preserve">. </w:t>
      </w:r>
      <w:r w:rsidR="00A36E0A" w:rsidRPr="00A36E0A">
        <w:rPr>
          <w:rFonts w:ascii="Arial" w:hAnsi="Arial" w:cs="Arial"/>
          <w:b/>
        </w:rPr>
        <w:t>F</w:t>
      </w:r>
      <w:r w:rsidR="00A36E0A" w:rsidRPr="00A36E0A">
        <w:rPr>
          <w:rFonts w:ascii="Arial" w:hAnsi="Arial" w:cs="Arial"/>
          <w:b/>
        </w:rPr>
        <w:t>.</w:t>
      </w:r>
      <w:r w:rsidR="00A36E0A" w:rsidRPr="00A36E0A">
        <w:rPr>
          <w:rFonts w:ascii="Arial" w:hAnsi="Arial" w:cs="Arial"/>
          <w:b/>
        </w:rPr>
        <w:t xml:space="preserve"> 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>EPC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marker expression of 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>EPCs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by a FACS analysis.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A36E0A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G</w:t>
      </w:r>
      <w:r w:rsidR="00A36E0A" w:rsidRPr="00A36E0A">
        <w:rPr>
          <w:rFonts w:ascii="Arial" w:hAnsi="Arial" w:cs="Arial"/>
          <w:b/>
        </w:rPr>
        <w:t>.</w:t>
      </w:r>
      <w:r w:rsidR="00A36E0A" w:rsidRPr="00A36E0A">
        <w:rPr>
          <w:rFonts w:ascii="Arial" w:hAnsi="Arial" w:cs="Arial"/>
        </w:rPr>
        <w:t xml:space="preserve"> Growth curve of </w:t>
      </w:r>
      <w:r w:rsidR="00A36E0A" w:rsidRPr="00A36E0A">
        <w:rPr>
          <w:rFonts w:ascii="Arial" w:hAnsi="Arial" w:cs="Arial"/>
        </w:rPr>
        <w:t>EPCs</w:t>
      </w:r>
      <w:r w:rsidR="00A36E0A" w:rsidRPr="00A36E0A">
        <w:rPr>
          <w:rFonts w:ascii="Arial" w:hAnsi="Arial" w:cs="Arial"/>
        </w:rPr>
        <w:t>.</w:t>
      </w:r>
      <w:r w:rsidR="00A36E0A" w:rsidRPr="00A36E0A">
        <w:rPr>
          <w:rFonts w:ascii="Arial" w:hAnsi="Arial" w:cs="Arial"/>
        </w:rPr>
        <w:t xml:space="preserve"> </w:t>
      </w:r>
      <w:r w:rsidR="00A36E0A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H</w:t>
      </w:r>
      <w:r w:rsidR="00A36E0A" w:rsidRPr="00A36E0A">
        <w:rPr>
          <w:rFonts w:ascii="Arial" w:hAnsi="Arial" w:cs="Arial"/>
          <w:b/>
        </w:rPr>
        <w:t>.</w:t>
      </w:r>
      <w:r w:rsidR="00A36E0A" w:rsidRPr="00A36E0A">
        <w:rPr>
          <w:rFonts w:ascii="Arial" w:hAnsi="Arial" w:cs="Arial"/>
        </w:rPr>
        <w:t xml:space="preserve"> </w:t>
      </w:r>
      <w:r w:rsidR="00A36E0A" w:rsidRPr="00A36E0A">
        <w:rPr>
          <w:rFonts w:ascii="Arial" w:hAnsi="Arial" w:cs="Arial"/>
        </w:rPr>
        <w:t xml:space="preserve">Tube formation of EPCs, </w:t>
      </w:r>
      <w:r w:rsidR="00A36E0A" w:rsidRPr="00A36E0A">
        <w:rPr>
          <w:rFonts w:ascii="Arial" w:hAnsi="Arial" w:cs="Arial"/>
        </w:rPr>
        <w:t xml:space="preserve">magnification x4, </w:t>
      </w:r>
      <w:r w:rsidR="00A36E0A" w:rsidRPr="00A36E0A">
        <w:rPr>
          <w:rFonts w:ascii="Arial" w:hAnsi="Arial" w:cs="Arial"/>
          <w:color w:val="0D0D0D" w:themeColor="text1" w:themeTint="F2"/>
          <w:shd w:val="clear" w:color="auto" w:fill="FFFFFF"/>
        </w:rPr>
        <w:t>bar indicates 200µm</w:t>
      </w:r>
      <w:r w:rsidR="00A36E0A" w:rsidRPr="00A36E0A">
        <w:rPr>
          <w:rFonts w:ascii="Arial" w:hAnsi="Arial" w:cs="Arial"/>
        </w:rPr>
        <w:t xml:space="preserve">. </w:t>
      </w:r>
      <w:r w:rsidR="006C2CB3" w:rsidRPr="00A36E0A">
        <w:rPr>
          <w:rFonts w:ascii="Arial" w:hAnsi="Arial" w:cs="Arial"/>
        </w:rPr>
        <w:t>n=</w:t>
      </w:r>
      <w:r w:rsidR="00A36E0A" w:rsidRPr="00A36E0A">
        <w:rPr>
          <w:rFonts w:ascii="Arial" w:hAnsi="Arial" w:cs="Arial"/>
        </w:rPr>
        <w:t>5</w:t>
      </w:r>
      <w:r w:rsidR="006C2CB3" w:rsidRPr="00A36E0A">
        <w:rPr>
          <w:rFonts w:ascii="Arial" w:hAnsi="Arial" w:cs="Arial"/>
        </w:rPr>
        <w:t xml:space="preserve">. The experiments were performed in triplicate. </w:t>
      </w:r>
    </w:p>
    <w:p w:rsidR="00A36E0A" w:rsidRPr="00A36E0A" w:rsidRDefault="00A36E0A" w:rsidP="006C2CB3">
      <w:pPr>
        <w:spacing w:after="0" w:line="480" w:lineRule="auto"/>
        <w:contextualSpacing/>
        <w:jc w:val="both"/>
        <w:rPr>
          <w:rFonts w:ascii="Arial" w:hAnsi="Arial" w:cs="Arial"/>
        </w:rPr>
      </w:pPr>
      <w:r w:rsidRPr="00A36E0A">
        <w:rPr>
          <w:rFonts w:ascii="Arial" w:hAnsi="Arial" w:cs="Arial"/>
          <w:noProof/>
        </w:rPr>
        <w:lastRenderedPageBreak/>
        <w:drawing>
          <wp:inline distT="0" distB="0" distL="0" distR="0" wp14:anchorId="601C6D31" wp14:editId="3D95E6F7">
            <wp:extent cx="5943600" cy="79267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E0A" w:rsidRDefault="00A36E0A" w:rsidP="00A36E0A">
      <w:pPr>
        <w:spacing w:after="0" w:line="480" w:lineRule="auto"/>
        <w:contextualSpacing/>
        <w:jc w:val="both"/>
        <w:rPr>
          <w:rFonts w:ascii="Arial" w:hAnsi="Arial" w:cs="Arial"/>
        </w:rPr>
      </w:pPr>
      <w:proofErr w:type="gramStart"/>
      <w:r w:rsidRPr="00A36E0A">
        <w:rPr>
          <w:rFonts w:ascii="Arial" w:hAnsi="Arial" w:cs="Arial" w:hint="eastAsia"/>
          <w:b/>
          <w:color w:val="0D0D0D" w:themeColor="text1" w:themeTint="F2"/>
        </w:rPr>
        <w:lastRenderedPageBreak/>
        <w:t>Supplementary</w:t>
      </w:r>
      <w:r w:rsidRPr="00A36E0A">
        <w:rPr>
          <w:rFonts w:ascii="Arial" w:hAnsi="Arial" w:cs="Arial"/>
          <w:b/>
          <w:color w:val="0D0D0D" w:themeColor="text1" w:themeTint="F2"/>
        </w:rPr>
        <w:t xml:space="preserve"> Fig</w:t>
      </w:r>
      <w:r w:rsidRPr="00A36E0A">
        <w:rPr>
          <w:rFonts w:ascii="Arial" w:hAnsi="Arial" w:cs="Arial" w:hint="eastAsia"/>
          <w:b/>
          <w:color w:val="0D0D0D" w:themeColor="text1" w:themeTint="F2"/>
        </w:rPr>
        <w:t>ure</w:t>
      </w:r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="00391565">
        <w:rPr>
          <w:rFonts w:ascii="Arial" w:hAnsi="Arial" w:cs="Arial"/>
          <w:b/>
          <w:color w:val="0D0D0D" w:themeColor="text1" w:themeTint="F2"/>
        </w:rPr>
        <w:t>2</w:t>
      </w:r>
      <w:r w:rsidRPr="00A36E0A">
        <w:rPr>
          <w:rFonts w:ascii="Arial" w:hAnsi="Arial" w:cs="Arial"/>
          <w:b/>
          <w:color w:val="0D0D0D" w:themeColor="text1" w:themeTint="F2"/>
        </w:rPr>
        <w:t>.</w:t>
      </w:r>
      <w:proofErr w:type="gramEnd"/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Characterization of AT-MSCs</w:t>
      </w:r>
      <w:r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 with knockdown or overexpression of SOD1 or/and SOD3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. 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A.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Growth curve of infant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the knockdown of SOD1, or SOD3, or SOD1 and SOD3. </w:t>
      </w:r>
      <w:r>
        <w:rPr>
          <w:rFonts w:ascii="Arial" w:hAnsi="Arial" w:cs="Arial"/>
          <w:b/>
          <w:color w:val="0D0D0D" w:themeColor="text1" w:themeTint="F2"/>
          <w:shd w:val="clear" w:color="auto" w:fill="FFFFFF"/>
        </w:rPr>
        <w:t>B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MSC marker expression of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infant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the knockdown of SOD1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or SOD3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.  </w:t>
      </w:r>
      <w:r w:rsidRPr="00A36E0A">
        <w:rPr>
          <w:rFonts w:ascii="Arial" w:hAnsi="Arial" w:cs="Arial"/>
        </w:rPr>
        <w:t xml:space="preserve">SOD1 </w:t>
      </w:r>
      <w:proofErr w:type="spellStart"/>
      <w:proofErr w:type="gramStart"/>
      <w:r w:rsidRPr="00A36E0A">
        <w:rPr>
          <w:rFonts w:ascii="Arial" w:hAnsi="Arial" w:cs="Arial"/>
        </w:rPr>
        <w:t>Kd</w:t>
      </w:r>
      <w:proofErr w:type="spellEnd"/>
      <w:proofErr w:type="gramEnd"/>
      <w:r w:rsidRPr="00A36E0A">
        <w:rPr>
          <w:rFonts w:ascii="Arial" w:hAnsi="Arial" w:cs="Arial"/>
        </w:rPr>
        <w:t xml:space="preserve">: knockdown of SOD1, SOD3 </w:t>
      </w:r>
      <w:proofErr w:type="spellStart"/>
      <w:r w:rsidRPr="00A36E0A">
        <w:rPr>
          <w:rFonts w:ascii="Arial" w:hAnsi="Arial" w:cs="Arial"/>
        </w:rPr>
        <w:t>Kd</w:t>
      </w:r>
      <w:proofErr w:type="spellEnd"/>
      <w:r w:rsidRPr="00A36E0A">
        <w:rPr>
          <w:rFonts w:ascii="Arial" w:hAnsi="Arial" w:cs="Arial"/>
        </w:rPr>
        <w:t>: knockdown of SOD3, SOD1</w:t>
      </w:r>
      <w:r w:rsidRPr="00A36E0A">
        <w:rPr>
          <w:rFonts w:ascii="Arial" w:hAnsi="Arial" w:cs="Arial" w:hint="eastAsia"/>
        </w:rPr>
        <w:t>+3Kd</w:t>
      </w:r>
      <w:r w:rsidRPr="00A36E0A">
        <w:rPr>
          <w:rFonts w:ascii="Arial" w:hAnsi="Arial" w:cs="Arial"/>
        </w:rPr>
        <w:t>: knockdown of SOD1</w:t>
      </w:r>
      <w:r w:rsidRPr="00A36E0A">
        <w:rPr>
          <w:rFonts w:ascii="Arial" w:hAnsi="Arial" w:cs="Arial" w:hint="eastAsia"/>
        </w:rPr>
        <w:t xml:space="preserve"> and SOD3</w:t>
      </w:r>
      <w:r w:rsidRPr="00A36E0A">
        <w:rPr>
          <w:rFonts w:ascii="Arial" w:hAnsi="Arial" w:cs="Arial"/>
        </w:rPr>
        <w:t>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C.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Growth curve of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elderly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the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overexpression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of SOD1, or SOD3, or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co-overexpression of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SOD1 and SOD3.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D.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MSC marker expression of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elderly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the overexpression of SOD1, or SOD3, or co-overexpression of SOD1 and SOD3.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proofErr w:type="gramStart"/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E.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mRNA expression of pro-inflammatory cytokines in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elderly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the co-overexpression of SOD1 and SOD3.</w:t>
      </w:r>
      <w:proofErr w:type="gram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b/>
          <w:color w:val="0D0D0D" w:themeColor="text1" w:themeTint="F2"/>
          <w:shd w:val="clear" w:color="auto" w:fill="FFFFFF"/>
        </w:rPr>
        <w:t>F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Tube formation assay of EPCs and ECs under the conditioned medium from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elderly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the co-overexpression of SOD1 and SOD3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 w:rsidRP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magnification x4, bar indicates 200µm. </w:t>
      </w:r>
      <w:r w:rsidR="00391565" w:rsidRPr="00391565">
        <w:rPr>
          <w:rFonts w:ascii="Arial" w:hAnsi="Arial" w:cs="Arial" w:hint="eastAsia"/>
          <w:color w:val="0D0D0D"/>
        </w:rPr>
        <w:t xml:space="preserve">In all above experiments, </w:t>
      </w:r>
      <w:r w:rsidR="00391565" w:rsidRPr="00391565">
        <w:rPr>
          <w:rFonts w:ascii="Arial" w:hAnsi="Arial" w:cs="Arial"/>
          <w:color w:val="0D0D0D"/>
        </w:rPr>
        <w:t xml:space="preserve">infant AT-MSCs or </w:t>
      </w:r>
      <w:r w:rsidR="00391565" w:rsidRPr="00391565">
        <w:rPr>
          <w:rFonts w:ascii="Arial" w:hAnsi="Arial" w:cs="Arial" w:hint="eastAsia"/>
          <w:color w:val="0D0D0D"/>
        </w:rPr>
        <w:t xml:space="preserve">elderly AT-MSCs were derived from 3 different donors (n=3). </w:t>
      </w:r>
      <w:r w:rsidR="00391565" w:rsidRPr="00391565">
        <w:rPr>
          <w:rFonts w:ascii="Arial" w:hAnsi="Arial" w:cs="Arial"/>
          <w:b/>
          <w:color w:val="0D0D0D" w:themeColor="text1" w:themeTint="F2"/>
          <w:shd w:val="clear" w:color="auto" w:fill="FFFFFF"/>
        </w:rPr>
        <w:t>G</w:t>
      </w:r>
      <w:r w:rsidRPr="00391565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391565" w:rsidRP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Protein expression of </w:t>
      </w:r>
      <w:proofErr w:type="spellStart"/>
      <w:r w:rsidR="00391565" w:rsidRPr="00391565">
        <w:rPr>
          <w:rFonts w:ascii="Arial" w:hAnsi="Arial" w:cs="Arial"/>
          <w:color w:val="0D0D0D" w:themeColor="text1" w:themeTint="F2"/>
          <w:shd w:val="clear" w:color="auto" w:fill="FFFFFF"/>
        </w:rPr>
        <w:t>angiogenic</w:t>
      </w:r>
      <w:proofErr w:type="spellEnd"/>
      <w:r w:rsidR="00391565" w:rsidRP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 factors in </w:t>
      </w:r>
      <w:proofErr w:type="spellStart"/>
      <w:r w:rsidR="00391565" w:rsidRPr="00391565">
        <w:rPr>
          <w:rFonts w:ascii="Arial" w:hAnsi="Arial" w:cs="Arial"/>
          <w:color w:val="0D0D0D" w:themeColor="text1" w:themeTint="F2"/>
          <w:shd w:val="clear" w:color="auto" w:fill="FFFFFF"/>
        </w:rPr>
        <w:t>iEVs</w:t>
      </w:r>
      <w:proofErr w:type="spellEnd"/>
      <w:r w:rsidR="00391565" w:rsidRP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 and</w:t>
      </w:r>
      <w:r w:rsid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proofErr w:type="spellStart"/>
      <w:r w:rsidR="00391565">
        <w:rPr>
          <w:rFonts w:ascii="Arial" w:hAnsi="Arial" w:cs="Arial"/>
          <w:color w:val="0D0D0D" w:themeColor="text1" w:themeTint="F2"/>
          <w:shd w:val="clear" w:color="auto" w:fill="FFFFFF"/>
        </w:rPr>
        <w:t>eEVs</w:t>
      </w:r>
      <w:proofErr w:type="spellEnd"/>
      <w:r w:rsidR="00391565">
        <w:rPr>
          <w:rFonts w:ascii="Arial" w:hAnsi="Arial" w:cs="Arial"/>
          <w:color w:val="0D0D0D" w:themeColor="text1" w:themeTint="F2"/>
          <w:shd w:val="clear" w:color="auto" w:fill="FFFFFF"/>
        </w:rPr>
        <w:t xml:space="preserve"> at the same amount of protein (10</w:t>
      </w:r>
      <w:r w:rsidR="00391565" w:rsidRPr="00A36E0A">
        <w:rPr>
          <w:rFonts w:ascii="Arial" w:hAnsi="Arial" w:cs="Arial"/>
          <w:color w:val="0D0D0D" w:themeColor="text1" w:themeTint="F2"/>
          <w:shd w:val="clear" w:color="auto" w:fill="FFFFFF"/>
        </w:rPr>
        <w:t>µ</w:t>
      </w:r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g).</w:t>
      </w:r>
      <w:r w:rsidR="00CE55E0" w:rsidRPr="00CE55E0">
        <w:rPr>
          <w:rFonts w:ascii="Arial" w:hAnsi="Arial" w:cs="Arial"/>
          <w:color w:val="0D0D0D"/>
          <w:sz w:val="24"/>
          <w:szCs w:val="24"/>
        </w:rPr>
        <w:t xml:space="preserve"> </w:t>
      </w:r>
      <w:r w:rsidR="00CE55E0" w:rsidRPr="00CE55E0">
        <w:rPr>
          <w:rFonts w:ascii="Arial" w:hAnsi="Arial" w:cs="Arial"/>
          <w:color w:val="0D0D0D"/>
        </w:rPr>
        <w:t xml:space="preserve">The data represent the mean ± SD. </w:t>
      </w:r>
      <w:r w:rsidR="00CE55E0" w:rsidRPr="00CE55E0">
        <w:rPr>
          <w:rStyle w:val="apple-converted-space"/>
          <w:rFonts w:ascii="Arial" w:hAnsi="Arial" w:cs="Arial"/>
          <w:color w:val="0D0D0D"/>
        </w:rPr>
        <w:t xml:space="preserve">**P&lt;0.01, </w:t>
      </w:r>
      <w:r w:rsidR="00CE55E0" w:rsidRPr="00CE55E0">
        <w:rPr>
          <w:rFonts w:ascii="Arial" w:hAnsi="Arial" w:cs="Arial"/>
          <w:color w:val="0D0D0D"/>
        </w:rPr>
        <w:t xml:space="preserve">*P&lt;0.05. </w:t>
      </w:r>
      <w:r w:rsidRPr="00A36E0A">
        <w:rPr>
          <w:rFonts w:ascii="Arial" w:hAnsi="Arial" w:cs="Arial"/>
        </w:rPr>
        <w:t xml:space="preserve">The experiments were performed in triplicate. </w:t>
      </w:r>
    </w:p>
    <w:p w:rsidR="00391565" w:rsidRPr="00A36E0A" w:rsidRDefault="00391565" w:rsidP="00A36E0A">
      <w:pPr>
        <w:spacing w:after="0" w:line="480" w:lineRule="auto"/>
        <w:contextualSpacing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</w:p>
    <w:p w:rsidR="00A36E0A" w:rsidRPr="00A36E0A" w:rsidRDefault="00A36E0A" w:rsidP="006C2CB3">
      <w:pPr>
        <w:spacing w:after="0" w:line="480" w:lineRule="auto"/>
        <w:contextualSpacing/>
        <w:jc w:val="both"/>
        <w:rPr>
          <w:rFonts w:ascii="Arial" w:hAnsi="Arial" w:cs="Arial"/>
        </w:rPr>
      </w:pPr>
    </w:p>
    <w:p w:rsidR="00A36E0A" w:rsidRPr="00A36E0A" w:rsidRDefault="00A36E0A" w:rsidP="006C2CB3">
      <w:pPr>
        <w:spacing w:after="0" w:line="480" w:lineRule="auto"/>
        <w:contextualSpacing/>
        <w:jc w:val="both"/>
        <w:rPr>
          <w:rFonts w:ascii="Arial" w:hAnsi="Arial" w:cs="Arial"/>
        </w:rPr>
      </w:pPr>
    </w:p>
    <w:p w:rsidR="00A2646D" w:rsidRPr="00A36E0A" w:rsidRDefault="00A2646D">
      <w:pPr>
        <w:rPr>
          <w:rFonts w:ascii="Arial" w:hAnsi="Arial" w:cs="Arial"/>
        </w:rPr>
      </w:pPr>
      <w:r w:rsidRPr="00A36E0A">
        <w:rPr>
          <w:rFonts w:ascii="Arial" w:hAnsi="Arial" w:cs="Arial"/>
        </w:rPr>
        <w:br w:type="page"/>
      </w:r>
    </w:p>
    <w:p w:rsidR="006C2CB3" w:rsidRPr="00A36E0A" w:rsidRDefault="00CE55E0" w:rsidP="006C2CB3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942172" cy="4181475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3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36"/>
                    <a:stretch/>
                  </pic:blipFill>
                  <pic:spPr bwMode="auto">
                    <a:xfrm>
                      <a:off x="0" y="0"/>
                      <a:ext cx="5943600" cy="418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46D" w:rsidRPr="00A36E0A" w:rsidRDefault="00A2646D" w:rsidP="00A2646D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proofErr w:type="gramStart"/>
      <w:r w:rsidRPr="00A36E0A">
        <w:rPr>
          <w:rFonts w:ascii="Arial" w:hAnsi="Arial" w:cs="Arial" w:hint="eastAsia"/>
          <w:b/>
          <w:color w:val="0D0D0D" w:themeColor="text1" w:themeTint="F2"/>
        </w:rPr>
        <w:t>Supplementary</w:t>
      </w:r>
      <w:r w:rsidRPr="00A36E0A">
        <w:rPr>
          <w:rFonts w:ascii="Arial" w:hAnsi="Arial" w:cs="Arial"/>
          <w:b/>
          <w:color w:val="0D0D0D" w:themeColor="text1" w:themeTint="F2"/>
        </w:rPr>
        <w:t xml:space="preserve"> Fig</w:t>
      </w:r>
      <w:r w:rsidRPr="00A36E0A">
        <w:rPr>
          <w:rFonts w:ascii="Arial" w:hAnsi="Arial" w:cs="Arial" w:hint="eastAsia"/>
          <w:b/>
          <w:color w:val="0D0D0D" w:themeColor="text1" w:themeTint="F2"/>
        </w:rPr>
        <w:t>ure</w:t>
      </w:r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="00CE55E0">
        <w:rPr>
          <w:rFonts w:ascii="Arial" w:hAnsi="Arial" w:cs="Arial"/>
          <w:b/>
          <w:color w:val="0D0D0D" w:themeColor="text1" w:themeTint="F2"/>
        </w:rPr>
        <w:t>3</w:t>
      </w:r>
      <w:r w:rsidRPr="00A36E0A">
        <w:rPr>
          <w:rFonts w:ascii="Arial" w:hAnsi="Arial" w:cs="Arial"/>
          <w:b/>
          <w:color w:val="0D0D0D" w:themeColor="text1" w:themeTint="F2"/>
        </w:rPr>
        <w:t>.</w:t>
      </w:r>
      <w:proofErr w:type="gramEnd"/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Full-length 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blots of Western blot figures shown in Figure 2. A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/>
        </w:rPr>
        <w:t>The protein expression of antioxidant enzymes in infant and elderly AT-MSCs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B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proofErr w:type="gramStart"/>
      <w:r w:rsidRPr="00A36E0A">
        <w:rPr>
          <w:rFonts w:ascii="Arial" w:hAnsi="Arial" w:cs="Arial"/>
        </w:rPr>
        <w:t>The protein expression of wild-type</w:t>
      </w:r>
      <w:r w:rsidRPr="00A36E0A">
        <w:rPr>
          <w:rFonts w:ascii="Arial" w:hAnsi="Arial" w:cs="Arial" w:hint="eastAsia"/>
        </w:rPr>
        <w:t>,</w:t>
      </w:r>
      <w:r w:rsidRPr="00A36E0A">
        <w:rPr>
          <w:rFonts w:ascii="Arial" w:hAnsi="Arial" w:cs="Arial"/>
        </w:rPr>
        <w:t xml:space="preserve"> SOD1 knockdown</w:t>
      </w:r>
      <w:r w:rsidRPr="00A36E0A">
        <w:rPr>
          <w:rFonts w:ascii="Arial" w:hAnsi="Arial" w:cs="Arial" w:hint="eastAsia"/>
        </w:rPr>
        <w:t xml:space="preserve">, and SOD3 </w:t>
      </w:r>
      <w:proofErr w:type="spellStart"/>
      <w:r w:rsidRPr="00A36E0A">
        <w:rPr>
          <w:rFonts w:ascii="Arial" w:hAnsi="Arial" w:cs="Arial" w:hint="eastAsia"/>
        </w:rPr>
        <w:t>knowckdown</w:t>
      </w:r>
      <w:proofErr w:type="spellEnd"/>
      <w:r w:rsidRPr="00A36E0A">
        <w:rPr>
          <w:rFonts w:ascii="Arial" w:hAnsi="Arial" w:cs="Arial"/>
        </w:rPr>
        <w:t xml:space="preserve"> infant AT-MSCs.</w:t>
      </w:r>
      <w:r w:rsidRPr="00A36E0A">
        <w:rPr>
          <w:rFonts w:ascii="Arial" w:hAnsi="Arial" w:cs="Arial" w:hint="eastAsia"/>
          <w:b/>
        </w:rPr>
        <w:t xml:space="preserve"> C.</w:t>
      </w:r>
      <w:proofErr w:type="gramEnd"/>
      <w:r w:rsidRPr="00A36E0A">
        <w:rPr>
          <w:rFonts w:ascii="Arial" w:hAnsi="Arial" w:cs="Arial" w:hint="eastAsia"/>
          <w:b/>
        </w:rPr>
        <w:t xml:space="preserve"> 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> </w:t>
      </w:r>
      <w:r w:rsidRPr="00A36E0A">
        <w:rPr>
          <w:rFonts w:ascii="Arial" w:hAnsi="Arial" w:cs="Arial"/>
        </w:rPr>
        <w:t>The protein expression of wild-type</w:t>
      </w:r>
      <w:r w:rsidRPr="00A36E0A">
        <w:rPr>
          <w:rFonts w:ascii="Arial" w:hAnsi="Arial" w:cs="Arial" w:hint="eastAsia"/>
        </w:rPr>
        <w:t>,</w:t>
      </w:r>
      <w:r w:rsidRPr="00A36E0A">
        <w:rPr>
          <w:rFonts w:ascii="Arial" w:hAnsi="Arial" w:cs="Arial"/>
        </w:rPr>
        <w:t xml:space="preserve"> SOD1 </w:t>
      </w:r>
      <w:r w:rsidRPr="00A36E0A">
        <w:rPr>
          <w:rFonts w:ascii="Arial" w:hAnsi="Arial" w:cs="Arial" w:hint="eastAsia"/>
        </w:rPr>
        <w:t>overexpressed-, and SOD3 overexpressed-elderly AT-MSCs</w:t>
      </w:r>
      <w:r w:rsidRPr="00A36E0A">
        <w:rPr>
          <w:rFonts w:ascii="Arial" w:hAnsi="Arial" w:cs="Arial"/>
        </w:rPr>
        <w:t>.</w:t>
      </w:r>
      <w:r w:rsidRPr="00A36E0A">
        <w:rPr>
          <w:rFonts w:ascii="Arial" w:hAnsi="Arial" w:cs="Arial" w:hint="eastAsia"/>
        </w:rPr>
        <w:t xml:space="preserve"> 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>The samples were derived from the same experiment</w:t>
      </w:r>
      <w:r w:rsidRPr="00A36E0A">
        <w:rPr>
          <w:rFonts w:ascii="Arial" w:hAnsi="Arial" w:cs="Arial" w:hint="eastAsia"/>
          <w:color w:val="0D0D0D" w:themeColor="text1" w:themeTint="F2"/>
          <w:shd w:val="clear" w:color="auto" w:fill="FFFFFF"/>
        </w:rPr>
        <w:t>s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that gels and blots were processed in parallel.</w:t>
      </w:r>
    </w:p>
    <w:p w:rsidR="00A2646D" w:rsidRPr="00A36E0A" w:rsidRDefault="00A2646D">
      <w:pPr>
        <w:rPr>
          <w:rFonts w:ascii="Arial" w:hAnsi="Arial" w:cs="Arial"/>
          <w:color w:val="0D0D0D" w:themeColor="text1" w:themeTint="F2"/>
          <w:shd w:val="clear" w:color="auto" w:fill="FFFFFF"/>
        </w:rPr>
      </w:pP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br w:type="page"/>
      </w:r>
    </w:p>
    <w:p w:rsidR="00A2646D" w:rsidRPr="00A36E0A" w:rsidRDefault="00CE55E0" w:rsidP="00A2646D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noProof/>
          <w:color w:val="0D0D0D" w:themeColor="text1" w:themeTint="F2"/>
          <w:shd w:val="clear" w:color="auto" w:fill="FFFFFF"/>
        </w:rPr>
        <w:lastRenderedPageBreak/>
        <w:drawing>
          <wp:inline distT="0" distB="0" distL="0" distR="0">
            <wp:extent cx="5942172" cy="416242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4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76"/>
                    <a:stretch/>
                  </pic:blipFill>
                  <pic:spPr bwMode="auto">
                    <a:xfrm>
                      <a:off x="0" y="0"/>
                      <a:ext cx="5943600" cy="416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46D" w:rsidRDefault="00A2646D" w:rsidP="00A2646D">
      <w:pPr>
        <w:spacing w:after="0" w:line="480" w:lineRule="auto"/>
        <w:jc w:val="both"/>
        <w:rPr>
          <w:rFonts w:ascii="Arial" w:hAnsi="Arial" w:cs="Arial"/>
        </w:rPr>
      </w:pPr>
      <w:proofErr w:type="gramStart"/>
      <w:r w:rsidRPr="00A36E0A">
        <w:rPr>
          <w:rFonts w:ascii="Arial" w:hAnsi="Arial" w:cs="Arial" w:hint="eastAsia"/>
          <w:b/>
          <w:color w:val="0D0D0D" w:themeColor="text1" w:themeTint="F2"/>
        </w:rPr>
        <w:t>Supplementary</w:t>
      </w:r>
      <w:r w:rsidRPr="00A36E0A">
        <w:rPr>
          <w:rFonts w:ascii="Arial" w:hAnsi="Arial" w:cs="Arial"/>
          <w:b/>
          <w:color w:val="0D0D0D" w:themeColor="text1" w:themeTint="F2"/>
        </w:rPr>
        <w:t xml:space="preserve"> Fig</w:t>
      </w:r>
      <w:r w:rsidRPr="00A36E0A">
        <w:rPr>
          <w:rFonts w:ascii="Arial" w:hAnsi="Arial" w:cs="Arial" w:hint="eastAsia"/>
          <w:b/>
          <w:color w:val="0D0D0D" w:themeColor="text1" w:themeTint="F2"/>
        </w:rPr>
        <w:t>ure</w:t>
      </w:r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="00CE55E0">
        <w:rPr>
          <w:rFonts w:ascii="Arial" w:hAnsi="Arial" w:cs="Arial"/>
          <w:b/>
          <w:color w:val="0D0D0D" w:themeColor="text1" w:themeTint="F2"/>
        </w:rPr>
        <w:t>4</w:t>
      </w:r>
      <w:r w:rsidRPr="00A36E0A">
        <w:rPr>
          <w:rFonts w:ascii="Arial" w:hAnsi="Arial" w:cs="Arial"/>
          <w:b/>
          <w:color w:val="0D0D0D" w:themeColor="text1" w:themeTint="F2"/>
        </w:rPr>
        <w:t>.</w:t>
      </w:r>
      <w:proofErr w:type="gramEnd"/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Full-length 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blots of Western blot figures shown in Figure 3. A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/>
        </w:rPr>
        <w:t>The protein expression of wild-type elderly AT-MSCs or with the co-overexpression of SOD1 and SOD3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B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/>
        </w:rPr>
        <w:t xml:space="preserve">The protein expression of </w:t>
      </w:r>
      <w:proofErr w:type="spellStart"/>
      <w:r w:rsidRPr="00A36E0A">
        <w:rPr>
          <w:rFonts w:ascii="Arial" w:hAnsi="Arial" w:cs="Arial"/>
        </w:rPr>
        <w:t>pERK</w:t>
      </w:r>
      <w:proofErr w:type="spellEnd"/>
      <w:r w:rsidRPr="00A36E0A">
        <w:rPr>
          <w:rFonts w:ascii="Arial" w:hAnsi="Arial" w:cs="Arial"/>
        </w:rPr>
        <w:t xml:space="preserve">/ERK in infant </w:t>
      </w:r>
      <w:r w:rsidR="0061527A" w:rsidRPr="00A36E0A">
        <w:rPr>
          <w:rFonts w:ascii="Arial" w:hAnsi="Arial" w:cs="Arial" w:hint="eastAsia"/>
        </w:rPr>
        <w:t xml:space="preserve">AT-MSC, </w:t>
      </w:r>
      <w:proofErr w:type="spellStart"/>
      <w:r w:rsidR="0061527A" w:rsidRPr="00A36E0A">
        <w:rPr>
          <w:rFonts w:ascii="Arial" w:hAnsi="Arial" w:cs="Arial" w:hint="eastAsia"/>
        </w:rPr>
        <w:t>wildtype</w:t>
      </w:r>
      <w:proofErr w:type="spellEnd"/>
      <w:r w:rsidR="0061527A" w:rsidRPr="00A36E0A">
        <w:rPr>
          <w:rFonts w:ascii="Arial" w:hAnsi="Arial" w:cs="Arial" w:hint="eastAsia"/>
        </w:rPr>
        <w:t xml:space="preserve"> </w:t>
      </w:r>
      <w:r w:rsidRPr="00A36E0A">
        <w:rPr>
          <w:rFonts w:ascii="Arial" w:hAnsi="Arial" w:cs="Arial"/>
        </w:rPr>
        <w:t>elderly AT-MSCs</w:t>
      </w:r>
      <w:r w:rsidR="0061527A" w:rsidRPr="00A36E0A">
        <w:rPr>
          <w:rFonts w:ascii="Arial" w:hAnsi="Arial" w:cs="Arial" w:hint="eastAsia"/>
        </w:rPr>
        <w:t>, elderly AT-MSCs</w:t>
      </w:r>
      <w:r w:rsidRPr="00A36E0A">
        <w:rPr>
          <w:rFonts w:ascii="Arial" w:hAnsi="Arial" w:cs="Arial"/>
        </w:rPr>
        <w:t xml:space="preserve"> with the individual overexpression of SOD1 or SOD3 or </w:t>
      </w:r>
      <w:r w:rsidR="0061527A" w:rsidRPr="00A36E0A">
        <w:rPr>
          <w:rFonts w:ascii="Arial" w:hAnsi="Arial" w:cs="Arial" w:hint="eastAsia"/>
        </w:rPr>
        <w:t>elderly AT-MSCs</w:t>
      </w:r>
      <w:r w:rsidR="0061527A" w:rsidRPr="00A36E0A">
        <w:rPr>
          <w:rFonts w:ascii="Arial" w:hAnsi="Arial" w:cs="Arial"/>
        </w:rPr>
        <w:t xml:space="preserve"> </w:t>
      </w:r>
      <w:r w:rsidR="0061527A" w:rsidRPr="00A36E0A">
        <w:rPr>
          <w:rFonts w:ascii="Arial" w:hAnsi="Arial" w:cs="Arial" w:hint="eastAsia"/>
        </w:rPr>
        <w:t xml:space="preserve">with </w:t>
      </w:r>
      <w:r w:rsidRPr="00A36E0A">
        <w:rPr>
          <w:rFonts w:ascii="Arial" w:hAnsi="Arial" w:cs="Arial"/>
        </w:rPr>
        <w:t>the co-overexpression of SOD1 and SOD3.</w:t>
      </w:r>
      <w:r w:rsidRPr="00A36E0A">
        <w:rPr>
          <w:rFonts w:ascii="Arial" w:hAnsi="Arial" w:cs="Arial" w:hint="eastAsia"/>
        </w:rPr>
        <w:t xml:space="preserve"> </w:t>
      </w:r>
      <w:r w:rsidRPr="00A36E0A">
        <w:rPr>
          <w:rFonts w:ascii="Arial" w:hAnsi="Arial" w:cs="Arial" w:hint="eastAsia"/>
          <w:b/>
        </w:rPr>
        <w:t>C.</w:t>
      </w:r>
      <w:r w:rsidRPr="00A36E0A">
        <w:rPr>
          <w:rFonts w:ascii="Arial" w:hAnsi="Arial" w:cs="Arial"/>
        </w:rPr>
        <w:t xml:space="preserve"> The protein expression of </w:t>
      </w:r>
      <w:proofErr w:type="spellStart"/>
      <w:r w:rsidRPr="00A36E0A">
        <w:rPr>
          <w:rFonts w:ascii="Arial" w:hAnsi="Arial" w:cs="Arial"/>
        </w:rPr>
        <w:t>pERK</w:t>
      </w:r>
      <w:proofErr w:type="spellEnd"/>
      <w:r w:rsidRPr="00A36E0A">
        <w:rPr>
          <w:rFonts w:ascii="Arial" w:hAnsi="Arial" w:cs="Arial"/>
        </w:rPr>
        <w:t>/ERK under the presence of a MEK inhibitor.</w:t>
      </w:r>
    </w:p>
    <w:p w:rsidR="00CE55E0" w:rsidRPr="00A36E0A" w:rsidRDefault="00CE55E0" w:rsidP="00A2646D">
      <w:pPr>
        <w:spacing w:after="0" w:line="480" w:lineRule="auto"/>
        <w:jc w:val="both"/>
        <w:rPr>
          <w:rFonts w:ascii="Arial" w:hAnsi="Arial" w:cs="Arial"/>
        </w:rPr>
      </w:pPr>
    </w:p>
    <w:p w:rsidR="00A2646D" w:rsidRPr="00A36E0A" w:rsidRDefault="00A2646D">
      <w:pPr>
        <w:rPr>
          <w:rFonts w:ascii="Arial" w:hAnsi="Arial" w:cs="Arial"/>
        </w:rPr>
      </w:pPr>
      <w:r w:rsidRPr="00A36E0A">
        <w:rPr>
          <w:rFonts w:ascii="Arial" w:hAnsi="Arial" w:cs="Arial"/>
        </w:rPr>
        <w:br w:type="page"/>
      </w:r>
    </w:p>
    <w:p w:rsidR="00A2646D" w:rsidRPr="00A36E0A" w:rsidRDefault="00CE55E0" w:rsidP="00A2646D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5942172" cy="3409950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5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971"/>
                    <a:stretch/>
                  </pic:blipFill>
                  <pic:spPr bwMode="auto">
                    <a:xfrm>
                      <a:off x="0" y="0"/>
                      <a:ext cx="5943600" cy="341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46D" w:rsidRDefault="00A2646D" w:rsidP="00A2646D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proofErr w:type="gramStart"/>
      <w:r w:rsidRPr="00A36E0A">
        <w:rPr>
          <w:rFonts w:ascii="Arial" w:hAnsi="Arial" w:cs="Arial" w:hint="eastAsia"/>
          <w:b/>
          <w:color w:val="0D0D0D" w:themeColor="text1" w:themeTint="F2"/>
        </w:rPr>
        <w:t>Supplementary</w:t>
      </w:r>
      <w:r w:rsidRPr="00A36E0A">
        <w:rPr>
          <w:rFonts w:ascii="Arial" w:hAnsi="Arial" w:cs="Arial"/>
          <w:b/>
          <w:color w:val="0D0D0D" w:themeColor="text1" w:themeTint="F2"/>
        </w:rPr>
        <w:t xml:space="preserve"> Fig</w:t>
      </w:r>
      <w:r w:rsidRPr="00A36E0A">
        <w:rPr>
          <w:rFonts w:ascii="Arial" w:hAnsi="Arial" w:cs="Arial" w:hint="eastAsia"/>
          <w:b/>
          <w:color w:val="0D0D0D" w:themeColor="text1" w:themeTint="F2"/>
        </w:rPr>
        <w:t>ure</w:t>
      </w:r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r w:rsidR="00CE55E0">
        <w:rPr>
          <w:rFonts w:ascii="Arial" w:hAnsi="Arial" w:cs="Arial"/>
          <w:b/>
          <w:color w:val="0D0D0D" w:themeColor="text1" w:themeTint="F2"/>
        </w:rPr>
        <w:t>5</w:t>
      </w:r>
      <w:r w:rsidRPr="00A36E0A">
        <w:rPr>
          <w:rFonts w:ascii="Arial" w:hAnsi="Arial" w:cs="Arial"/>
          <w:b/>
          <w:color w:val="0D0D0D" w:themeColor="text1" w:themeTint="F2"/>
        </w:rPr>
        <w:t>.</w:t>
      </w:r>
      <w:proofErr w:type="gramEnd"/>
      <w:r w:rsidRPr="00A36E0A">
        <w:rPr>
          <w:rFonts w:ascii="Arial" w:hAnsi="Arial" w:cs="Arial"/>
          <w:b/>
          <w:color w:val="0D0D0D" w:themeColor="text1" w:themeTint="F2"/>
        </w:rPr>
        <w:t xml:space="preserve"> </w:t>
      </w:r>
      <w:proofErr w:type="gramStart"/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Full-length 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blots of Western blot figures shown in Figure 4</w:t>
      </w:r>
      <w:r w:rsidR="00CE55E0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 and Supplementary Figure 2G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.</w:t>
      </w:r>
      <w:proofErr w:type="gramEnd"/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A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/>
          <w:shd w:val="clear" w:color="auto" w:fill="FFFFFF"/>
        </w:rPr>
        <w:t>The marker expression of EVs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color w:val="0D0D0D" w:themeColor="text1" w:themeTint="F2"/>
          <w:shd w:val="clear" w:color="auto" w:fill="FFFFFF"/>
        </w:rPr>
        <w:t xml:space="preserve"> 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>B</w:t>
      </w:r>
      <w:r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Pr="00A36E0A">
        <w:rPr>
          <w:rFonts w:ascii="Arial" w:hAnsi="Arial" w:cs="Arial" w:hint="eastAsia"/>
          <w:b/>
          <w:color w:val="0D0D0D" w:themeColor="text1" w:themeTint="F2"/>
          <w:shd w:val="clear" w:color="auto" w:fill="FFFFFF"/>
        </w:rPr>
        <w:t xml:space="preserve"> </w:t>
      </w:r>
      <w:proofErr w:type="gramStart"/>
      <w:r w:rsidRPr="00A36E0A">
        <w:rPr>
          <w:rFonts w:ascii="Arial" w:hAnsi="Arial" w:cs="Arial"/>
          <w:shd w:val="clear" w:color="auto" w:fill="FFFFFF"/>
        </w:rPr>
        <w:t>The</w:t>
      </w:r>
      <w:proofErr w:type="gramEnd"/>
      <w:r w:rsidRPr="00A36E0A">
        <w:rPr>
          <w:rFonts w:ascii="Arial" w:hAnsi="Arial" w:cs="Arial"/>
          <w:shd w:val="clear" w:color="auto" w:fill="FFFFFF"/>
        </w:rPr>
        <w:t xml:space="preserve"> SOD1 and SOD3 protein exp</w:t>
      </w:r>
      <w:r w:rsidR="00B35D55" w:rsidRPr="00A36E0A">
        <w:rPr>
          <w:rFonts w:ascii="Arial" w:hAnsi="Arial" w:cs="Arial"/>
          <w:shd w:val="clear" w:color="auto" w:fill="FFFFFF"/>
        </w:rPr>
        <w:t>ression of elderly AT-MSCs with</w:t>
      </w:r>
      <w:r w:rsidR="00B35D55" w:rsidRPr="00A36E0A">
        <w:rPr>
          <w:rFonts w:ascii="Arial" w:hAnsi="Arial" w:cs="Arial" w:hint="eastAsia"/>
          <w:shd w:val="clear" w:color="auto" w:fill="FFFFFF"/>
        </w:rPr>
        <w:t xml:space="preserve"> </w:t>
      </w:r>
      <w:r w:rsidRPr="00A36E0A">
        <w:rPr>
          <w:rFonts w:ascii="Arial" w:hAnsi="Arial" w:cs="Arial"/>
          <w:shd w:val="clear" w:color="auto" w:fill="FFFFFF"/>
        </w:rPr>
        <w:t>EV incorporation.</w:t>
      </w:r>
      <w:r w:rsidRPr="00A36E0A">
        <w:rPr>
          <w:rFonts w:ascii="Arial" w:hAnsi="Arial" w:cs="Arial"/>
          <w:b/>
          <w:shd w:val="clear" w:color="auto" w:fill="FFFFFF"/>
        </w:rPr>
        <w:t xml:space="preserve"> </w:t>
      </w:r>
      <w:r w:rsidR="00CE55E0">
        <w:rPr>
          <w:rFonts w:ascii="Arial" w:hAnsi="Arial" w:cs="Arial"/>
          <w:b/>
          <w:color w:val="0D0D0D" w:themeColor="text1" w:themeTint="F2"/>
          <w:shd w:val="clear" w:color="auto" w:fill="FFFFFF"/>
        </w:rPr>
        <w:t>C</w:t>
      </w:r>
      <w:r w:rsidR="00CE55E0" w:rsidRPr="00A36E0A">
        <w:rPr>
          <w:rFonts w:ascii="Arial" w:hAnsi="Arial" w:cs="Arial"/>
          <w:b/>
          <w:color w:val="0D0D0D" w:themeColor="text1" w:themeTint="F2"/>
          <w:shd w:val="clear" w:color="auto" w:fill="FFFFFF"/>
        </w:rPr>
        <w:t>.</w:t>
      </w:r>
      <w:r w:rsidR="00CE55E0">
        <w:rPr>
          <w:rFonts w:ascii="Arial" w:hAnsi="Arial" w:cs="Arial"/>
          <w:b/>
          <w:color w:val="0D0D0D" w:themeColor="text1" w:themeTint="F2"/>
          <w:shd w:val="clear" w:color="auto" w:fill="FFFFFF"/>
        </w:rPr>
        <w:t xml:space="preserve"> </w:t>
      </w:r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 xml:space="preserve">The </w:t>
      </w:r>
      <w:proofErr w:type="spellStart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angiogenic</w:t>
      </w:r>
      <w:proofErr w:type="spellEnd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 xml:space="preserve"> protein </w:t>
      </w:r>
      <w:proofErr w:type="spellStart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exression</w:t>
      </w:r>
      <w:proofErr w:type="spellEnd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 xml:space="preserve"> in </w:t>
      </w:r>
      <w:proofErr w:type="spellStart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iEVs</w:t>
      </w:r>
      <w:proofErr w:type="spellEnd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 xml:space="preserve"> and </w:t>
      </w:r>
      <w:proofErr w:type="spellStart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eEVs</w:t>
      </w:r>
      <w:proofErr w:type="spellEnd"/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at the same amount of protein (10</w:t>
      </w:r>
      <w:r w:rsidR="00CE55E0" w:rsidRPr="00A36E0A">
        <w:rPr>
          <w:rFonts w:ascii="Arial" w:hAnsi="Arial" w:cs="Arial"/>
          <w:color w:val="0D0D0D" w:themeColor="text1" w:themeTint="F2"/>
          <w:shd w:val="clear" w:color="auto" w:fill="FFFFFF"/>
        </w:rPr>
        <w:t>µ</w:t>
      </w:r>
      <w:r w:rsidR="00CE55E0">
        <w:rPr>
          <w:rFonts w:ascii="Arial" w:hAnsi="Arial" w:cs="Arial"/>
          <w:color w:val="0D0D0D" w:themeColor="text1" w:themeTint="F2"/>
          <w:shd w:val="clear" w:color="auto" w:fill="FFFFFF"/>
        </w:rPr>
        <w:t>g).</w:t>
      </w:r>
      <w:r w:rsidR="00CE55E0" w:rsidRPr="00CE55E0">
        <w:rPr>
          <w:rFonts w:ascii="Arial" w:hAnsi="Arial" w:cs="Arial"/>
          <w:color w:val="0D0D0D"/>
          <w:sz w:val="24"/>
          <w:szCs w:val="24"/>
        </w:rPr>
        <w:t xml:space="preserve"> 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>The samples were derived from the same experiment</w:t>
      </w:r>
      <w:r w:rsidRPr="00A36E0A">
        <w:rPr>
          <w:rFonts w:ascii="Arial" w:hAnsi="Arial" w:cs="Arial" w:hint="eastAsia"/>
          <w:color w:val="0D0D0D" w:themeColor="text1" w:themeTint="F2"/>
          <w:shd w:val="clear" w:color="auto" w:fill="FFFFFF"/>
        </w:rPr>
        <w:t>s</w:t>
      </w:r>
      <w:r w:rsidRPr="00A36E0A">
        <w:rPr>
          <w:rFonts w:ascii="Arial" w:hAnsi="Arial" w:cs="Arial"/>
          <w:color w:val="0D0D0D" w:themeColor="text1" w:themeTint="F2"/>
          <w:shd w:val="clear" w:color="auto" w:fill="FFFFFF"/>
        </w:rPr>
        <w:t xml:space="preserve"> that gels and blots were processed in parallel.</w:t>
      </w:r>
    </w:p>
    <w:p w:rsidR="008B34F3" w:rsidRDefault="008B34F3" w:rsidP="00A2646D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</w:p>
    <w:p w:rsidR="008B34F3" w:rsidRDefault="008B34F3" w:rsidP="00A2646D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8B34F3">
        <w:rPr>
          <w:rFonts w:ascii="Arial" w:hAnsi="Arial" w:cs="Arial"/>
          <w:b/>
          <w:color w:val="0D0D0D" w:themeColor="text1" w:themeTint="F2"/>
          <w:shd w:val="clear" w:color="auto" w:fill="FFFFFF"/>
        </w:rPr>
        <w:t>Supplementary Methods</w:t>
      </w:r>
    </w:p>
    <w:p w:rsidR="008B34F3" w:rsidRPr="008B34F3" w:rsidRDefault="008B34F3" w:rsidP="008B34F3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8B34F3">
        <w:rPr>
          <w:rFonts w:ascii="Arial" w:hAnsi="Arial" w:cs="Arial"/>
          <w:b/>
          <w:color w:val="0D0D0D" w:themeColor="text1" w:themeTint="F2"/>
          <w:shd w:val="clear" w:color="auto" w:fill="FFFFFF"/>
        </w:rPr>
        <w:t>Differentiation of AT-MSCs</w:t>
      </w:r>
    </w:p>
    <w:p w:rsidR="00D53D53" w:rsidRDefault="008B34F3" w:rsidP="00D53D53">
      <w:pPr>
        <w:spacing w:after="0" w:line="480" w:lineRule="auto"/>
        <w:ind w:firstLine="720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For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adipogenesis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 xml:space="preserve">AT-MSCs were seed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with the number of 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5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x10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  <w:vertAlign w:val="superscript"/>
        </w:rPr>
        <w:t>4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cells 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 xml:space="preserve">in the 4-well plate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and cultured in the complete culture medium until reach 90%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confluency</w:t>
      </w:r>
      <w:proofErr w:type="spellEnd"/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>. Then,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were induced to adipocytes by 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changing the medium to </w:t>
      </w:r>
      <w:proofErr w:type="spellStart"/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adipogenic</w:t>
      </w:r>
      <w:proofErr w:type="spellEnd"/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medium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containing of IMDM, 10% FBS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, 0.1 </w:t>
      </w:r>
      <w:proofErr w:type="spellStart"/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mM</w:t>
      </w:r>
      <w:proofErr w:type="spellEnd"/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dexamethasone, 2 mg/mL insulin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, 500 </w:t>
      </w:r>
      <w:proofErr w:type="spellStart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mM</w:t>
      </w:r>
      <w:proofErr w:type="spellEnd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3-isobutyl-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1-methylxanthine (IBMX)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, and 10 </w:t>
      </w:r>
      <w:proofErr w:type="spellStart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mM</w:t>
      </w:r>
      <w:proofErr w:type="spellEnd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proofErr w:type="spellStart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indomethacine</w:t>
      </w:r>
      <w:proofErr w:type="spellEnd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(Sigma-Aldrich).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A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fter 21 days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, the </w:t>
      </w:r>
      <w:proofErr w:type="gramStart"/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formation of adipocytes were</w:t>
      </w:r>
      <w:proofErr w:type="gramEnd"/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confirmed by the Oil red staining. C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ells were washed with 1x PBS and fixed with 10% paraformaldehyde, and 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rinsed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with 60%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isopropanol. Then, cells were stained with Oil red O 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lastRenderedPageBreak/>
        <w:t>(Muto Pure Chemicals, Tokyo,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J</w:t>
      </w:r>
      <w:bookmarkStart w:id="0" w:name="_GoBack"/>
      <w:bookmarkEnd w:id="0"/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apan)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,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and </w:t>
      </w:r>
      <w:r w:rsidR="00D53D53">
        <w:rPr>
          <w:rFonts w:ascii="Arial" w:hAnsi="Arial" w:cs="Arial"/>
          <w:color w:val="0D0D0D" w:themeColor="text1" w:themeTint="F2"/>
          <w:shd w:val="clear" w:color="auto" w:fill="FFFFFF"/>
        </w:rPr>
        <w:t>the observation of adipocytes was conducted under a microscopy (Olympus) at a magnification x20</w:t>
      </w:r>
      <w:r w:rsidR="00D53D53" w:rsidRPr="00D53D53">
        <w:rPr>
          <w:rFonts w:ascii="Arial" w:hAnsi="Arial" w:cs="Arial"/>
          <w:color w:val="0D0D0D" w:themeColor="text1" w:themeTint="F2"/>
          <w:shd w:val="clear" w:color="auto" w:fill="FFFFFF"/>
        </w:rPr>
        <w:t>.</w:t>
      </w:r>
    </w:p>
    <w:p w:rsidR="00D53D53" w:rsidRDefault="00D53D53" w:rsidP="00D53D53">
      <w:pPr>
        <w:spacing w:after="0" w:line="480" w:lineRule="auto"/>
        <w:ind w:firstLine="720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For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osteogenesis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 xml:space="preserve">AT-MSCs were seed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with the number of 5x10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  <w:vertAlign w:val="superscript"/>
        </w:rPr>
        <w:t>4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cells 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 xml:space="preserve">in the 4-well plate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and cultured in the complete culture medium until reach 90%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confluency</w:t>
      </w:r>
      <w:proofErr w:type="spellEnd"/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>. Then, 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were induced to osteocytes by changing the medium to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osteogenic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medium containing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IMDM, 1% FBS, 0.1 </w:t>
      </w:r>
      <w:proofErr w:type="spellStart"/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m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M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dexamethasone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, 50 </w:t>
      </w:r>
      <w:proofErr w:type="spellStart"/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μg</w:t>
      </w:r>
      <w:proofErr w:type="spellEnd"/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/mL human epidermal growth factor (</w:t>
      </w:r>
      <w:proofErr w:type="spellStart"/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hEGF</w:t>
      </w:r>
      <w:proofErr w:type="spellEnd"/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, 1 M β-glycerol-2-phosphate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and 1 M ascorbic acid (Sigma-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Aldrich). After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21 days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, cells were washed with 1x PBS, and fixed with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>10% paraformaldehyde (Wako)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for the Alizarin Red S staining (Kodak, Tokyo, Japan)</w:t>
      </w:r>
      <w:r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. Then,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the formation of osteocytes was observed under a microscopy at a magnification x4.</w:t>
      </w:r>
    </w:p>
    <w:p w:rsidR="00D53D53" w:rsidRDefault="00D53D53" w:rsidP="004C07EB">
      <w:pPr>
        <w:spacing w:after="0" w:line="480" w:lineRule="auto"/>
        <w:ind w:firstLine="720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For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chondrogenesis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 w:rsidRPr="008B34F3">
        <w:rPr>
          <w:rFonts w:ascii="Arial" w:hAnsi="Arial" w:cs="Arial"/>
          <w:color w:val="0D0D0D" w:themeColor="text1" w:themeTint="F2"/>
          <w:shd w:val="clear" w:color="auto" w:fill="FFFFFF"/>
        </w:rPr>
        <w:t xml:space="preserve">AT-MSCs were seed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with the number of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2.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5x10</w:t>
      </w:r>
      <w:r>
        <w:rPr>
          <w:rFonts w:ascii="Arial" w:hAnsi="Arial" w:cs="Arial"/>
          <w:color w:val="0D0D0D" w:themeColor="text1" w:themeTint="F2"/>
          <w:shd w:val="clear" w:color="auto" w:fill="FFFFFF"/>
          <w:vertAlign w:val="superscript"/>
        </w:rPr>
        <w:t>5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cells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/well in a 96-well plate (</w:t>
      </w:r>
      <w:r w:rsidR="004C07EB" w:rsidRPr="004C07EB">
        <w:rPr>
          <w:rFonts w:ascii="Arial" w:hAnsi="Arial" w:cs="Arial"/>
          <w:color w:val="0D0D0D" w:themeColor="text1" w:themeTint="F2"/>
          <w:shd w:val="clear" w:color="auto" w:fill="FFFFFF"/>
        </w:rPr>
        <w:t>MS-9096U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proofErr w:type="spellStart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Sumilon</w:t>
      </w:r>
      <w:proofErr w:type="spellEnd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proofErr w:type="gramStart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Wako</w:t>
      </w:r>
      <w:proofErr w:type="gramEnd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for 24 hour to form the spheroid. 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After that, medium was changed to the </w:t>
      </w:r>
      <w:proofErr w:type="spellStart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chondrogenic</w:t>
      </w:r>
      <w:proofErr w:type="spellEnd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medium containing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I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MDM medium supplemented with 1%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FBS, 0.1 </w:t>
      </w:r>
      <w:proofErr w:type="spellStart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mM</w:t>
      </w:r>
      <w:proofErr w:type="spellEnd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dexamethasone, 100 </w:t>
      </w:r>
      <w:proofErr w:type="spellStart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mM</w:t>
      </w:r>
      <w:proofErr w:type="spellEnd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sodium pyruvate (Invitrogen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), 1 M ascorbic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acid, 50 mg/mL ITS premix (BD </w:t>
      </w:r>
      <w:proofErr w:type="spellStart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Bioscences</w:t>
      </w:r>
      <w:proofErr w:type="spellEnd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), 40 </w:t>
      </w:r>
      <w:proofErr w:type="spellStart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μg</w:t>
      </w:r>
      <w:proofErr w:type="spellEnd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/mL </w:t>
      </w:r>
      <w:proofErr w:type="spellStart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proline</w:t>
      </w:r>
      <w:proofErr w:type="spellEnd"/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(Sigma-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Aldrich), 10 </w:t>
      </w:r>
      <w:proofErr w:type="spellStart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μg</w:t>
      </w:r>
      <w:proofErr w:type="spellEnd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/mL TGF-β1 (Wako), and 10 </w:t>
      </w:r>
      <w:proofErr w:type="spellStart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μg</w:t>
      </w:r>
      <w:proofErr w:type="spellEnd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/mL BMP-2 (Wako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>). After 21 days, s</w:t>
      </w:r>
      <w:r w:rsidR="008B34F3" w:rsidRPr="008B34F3">
        <w:rPr>
          <w:rFonts w:ascii="Arial" w:hAnsi="Arial" w:cs="Arial"/>
          <w:color w:val="0D0D0D" w:themeColor="text1" w:themeTint="F2"/>
          <w:shd w:val="clear" w:color="auto" w:fill="FFFFFF"/>
        </w:rPr>
        <w:t xml:space="preserve">pheroids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were collected, washe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d with 1x PBS and fixed with 4%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paraformaldehyde and embedded in O.C.T compound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. Block of O.C.T compound which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contained of spheroid samples were sectioned into 7 </w:t>
      </w:r>
      <w:proofErr w:type="spellStart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μm</w:t>
      </w:r>
      <w:proofErr w:type="spellEnd"/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 xml:space="preserve"> thick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ness of slides and stained with </w:t>
      </w:r>
      <w:r w:rsidR="004C07EB" w:rsidRPr="00D53D53">
        <w:rPr>
          <w:rFonts w:ascii="Arial" w:hAnsi="Arial" w:cs="Arial"/>
          <w:color w:val="0D0D0D" w:themeColor="text1" w:themeTint="F2"/>
          <w:shd w:val="clear" w:color="auto" w:fill="FFFFFF"/>
        </w:rPr>
        <w:t>Toluidine blue (Muto Pure Chemicals</w:t>
      </w:r>
      <w:r w:rsid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). </w:t>
      </w:r>
    </w:p>
    <w:p w:rsidR="00332AE1" w:rsidRDefault="00332AE1" w:rsidP="004C07EB">
      <w:pPr>
        <w:spacing w:after="0" w:line="480" w:lineRule="auto"/>
        <w:ind w:firstLine="720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</w:p>
    <w:p w:rsidR="004C07EB" w:rsidRDefault="004C07EB" w:rsidP="004C07EB">
      <w:pPr>
        <w:spacing w:after="0" w:line="480" w:lineRule="auto"/>
        <w:jc w:val="both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b/>
          <w:color w:val="0D0D0D" w:themeColor="text1" w:themeTint="F2"/>
          <w:shd w:val="clear" w:color="auto" w:fill="FFFFFF"/>
        </w:rPr>
        <w:t>Analysis of MSC and EPC marker expression by Fluorescent activated cell sorting (FACs)</w:t>
      </w:r>
    </w:p>
    <w:p w:rsidR="004C07EB" w:rsidRDefault="004C07EB" w:rsidP="004C07EB">
      <w:pPr>
        <w:spacing w:after="0" w:line="480" w:lineRule="auto"/>
        <w:ind w:firstLine="720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For the analysis of MSC marker expression,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AT-MSCs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were seeded in a 10-cm dish with a number at 5x10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  <w:vertAlign w:val="superscript"/>
        </w:rPr>
        <w:t>5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cells until reach 80%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confluency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>. The cells were harvested, washed with PBS and stained with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human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antibodies for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the analysis of MSC markers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including: </w:t>
      </w:r>
      <w:proofErr w:type="spellStart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phycoerythrin</w:t>
      </w:r>
      <w:proofErr w:type="spellEnd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(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PE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-labeled anti-CD73 (BD Biosciences)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Fluorescein </w:t>
      </w:r>
      <w:proofErr w:type="spellStart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isothiocyanate</w:t>
      </w:r>
      <w:proofErr w:type="spellEnd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(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FITC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-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lastRenderedPageBreak/>
        <w:t>labeled anti-CD90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(</w:t>
      </w:r>
      <w:proofErr w:type="spellStart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BioLegend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PE-labeled anti-CD105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(</w:t>
      </w:r>
      <w:proofErr w:type="spellStart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BioLegend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),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allophycocyanine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(APC)-labeled anti-CD45 (BD Biosciences)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, and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PE-labeled anti-CD31 (</w:t>
      </w:r>
      <w:proofErr w:type="spellStart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BioLegend</w:t>
      </w:r>
      <w:proofErr w:type="spellEnd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.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FITC-labeled a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nti-IgG1 (BD Biosciences), APC-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labeled anti-IgG1 (BD Biosciences), and PE-labeled anti-IgG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1 (BD Biosciences) were used as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the </w:t>
      </w:r>
      <w:proofErr w:type="spellStart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>isotype</w:t>
      </w:r>
      <w:proofErr w:type="spellEnd"/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controls.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The stained cells were analyzed by a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FACS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machine (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MoFlo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XDP; Beckman Coulter).</w:t>
      </w:r>
    </w:p>
    <w:p w:rsidR="004C07EB" w:rsidRPr="004C07EB" w:rsidRDefault="004C07EB" w:rsidP="004C07EB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>
        <w:rPr>
          <w:rFonts w:ascii="Arial" w:hAnsi="Arial" w:cs="Arial"/>
          <w:color w:val="0D0D0D" w:themeColor="text1" w:themeTint="F2"/>
          <w:shd w:val="clear" w:color="auto" w:fill="FFFFFF"/>
        </w:rPr>
        <w:tab/>
        <w:t xml:space="preserve">For the analysis of EPC marker expression analysis, EPCs were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seeded in a 10-cm dish with a number at 5x10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  <w:vertAlign w:val="superscript"/>
        </w:rPr>
        <w:t>5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 cells until reach 80% </w:t>
      </w:r>
      <w:proofErr w:type="spellStart"/>
      <w:r>
        <w:rPr>
          <w:rFonts w:ascii="Arial" w:hAnsi="Arial" w:cs="Arial"/>
          <w:color w:val="0D0D0D" w:themeColor="text1" w:themeTint="F2"/>
          <w:shd w:val="clear" w:color="auto" w:fill="FFFFFF"/>
        </w:rPr>
        <w:t>confluency</w:t>
      </w:r>
      <w:proofErr w:type="spellEnd"/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. The cells were harvested, washed with PBS and stained with 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human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 xml:space="preserve">antibodies for 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the analysis of 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EPC</w:t>
      </w: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markers</w:t>
      </w:r>
      <w:r>
        <w:rPr>
          <w:rFonts w:ascii="Arial" w:hAnsi="Arial" w:cs="Arial"/>
          <w:color w:val="0D0D0D" w:themeColor="text1" w:themeTint="F2"/>
          <w:shd w:val="clear" w:color="auto" w:fill="FFFFFF"/>
        </w:rPr>
        <w:t>, including:</w:t>
      </w:r>
      <w:r w:rsidR="00332AE1" w:rsidRP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PE-labeled anti-CD31 (</w:t>
      </w:r>
      <w:proofErr w:type="spellStart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BioLegend</w:t>
      </w:r>
      <w:proofErr w:type="spellEnd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FITC-labeled anti-CD34 (BD Biosciences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), APC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-labeled anti-CD45 (BD Biosciences)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, 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PE-labeled anti-CD14 (</w:t>
      </w:r>
      <w:proofErr w:type="spellStart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BioLegend</w:t>
      </w:r>
      <w:proofErr w:type="spellEnd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, PE-</w:t>
      </w:r>
      <w:r w:rsidR="00332AE1" w:rsidRP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labeled anti-VEGFR2, and APC-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labeled anti-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VE-Cadherin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(</w:t>
      </w:r>
      <w:proofErr w:type="spellStart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BioLegend</w:t>
      </w:r>
      <w:proofErr w:type="spellEnd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)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.</w:t>
      </w:r>
      <w:r w:rsidR="00332AE1" w:rsidRP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FITC-labeled a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nti-IgG1 (BD Biosciences), APC-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labeled anti-IgG1 (BD Biosciences), and PE-labeled anti-IgG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1 (BD Biosciences) were used as 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the </w:t>
      </w:r>
      <w:proofErr w:type="spellStart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>isotype</w:t>
      </w:r>
      <w:proofErr w:type="spellEnd"/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controls.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The stained cells were analyzed by a</w:t>
      </w:r>
      <w:r w:rsidR="00332AE1"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FACS</w:t>
      </w:r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machine (</w:t>
      </w:r>
      <w:proofErr w:type="spellStart"/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>MoFlo</w:t>
      </w:r>
      <w:proofErr w:type="spellEnd"/>
      <w:r w:rsidR="00332AE1">
        <w:rPr>
          <w:rFonts w:ascii="Arial" w:hAnsi="Arial" w:cs="Arial"/>
          <w:color w:val="0D0D0D" w:themeColor="text1" w:themeTint="F2"/>
          <w:shd w:val="clear" w:color="auto" w:fill="FFFFFF"/>
        </w:rPr>
        <w:t xml:space="preserve"> XDP; Beckman Coulter).</w:t>
      </w:r>
    </w:p>
    <w:p w:rsidR="004C07EB" w:rsidRPr="004C07EB" w:rsidRDefault="004C07EB" w:rsidP="004C07EB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</w:p>
    <w:p w:rsidR="00D53D53" w:rsidRPr="004C07EB" w:rsidRDefault="00D53D53" w:rsidP="004C07EB">
      <w:pPr>
        <w:spacing w:after="0" w:line="480" w:lineRule="auto"/>
        <w:jc w:val="both"/>
        <w:rPr>
          <w:rFonts w:ascii="Arial" w:hAnsi="Arial" w:cs="Arial"/>
          <w:color w:val="0D0D0D" w:themeColor="text1" w:themeTint="F2"/>
          <w:shd w:val="clear" w:color="auto" w:fill="FFFFFF"/>
        </w:rPr>
      </w:pPr>
      <w:r w:rsidRPr="004C07EB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</w:p>
    <w:sectPr w:rsidR="00D53D53" w:rsidRPr="004C0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3C"/>
    <w:rsid w:val="00021775"/>
    <w:rsid w:val="00332AE1"/>
    <w:rsid w:val="00384E76"/>
    <w:rsid w:val="00391565"/>
    <w:rsid w:val="003D7626"/>
    <w:rsid w:val="004C07EB"/>
    <w:rsid w:val="005E2832"/>
    <w:rsid w:val="0061527A"/>
    <w:rsid w:val="006C2CB3"/>
    <w:rsid w:val="006D62D8"/>
    <w:rsid w:val="007B453C"/>
    <w:rsid w:val="008B34F3"/>
    <w:rsid w:val="00963016"/>
    <w:rsid w:val="00987903"/>
    <w:rsid w:val="00A2646D"/>
    <w:rsid w:val="00A36E0A"/>
    <w:rsid w:val="00A63785"/>
    <w:rsid w:val="00AA490E"/>
    <w:rsid w:val="00AB2D41"/>
    <w:rsid w:val="00B16B64"/>
    <w:rsid w:val="00B35D55"/>
    <w:rsid w:val="00B611FE"/>
    <w:rsid w:val="00C60E03"/>
    <w:rsid w:val="00CE55E0"/>
    <w:rsid w:val="00D53D53"/>
    <w:rsid w:val="00E1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7B453C"/>
  </w:style>
  <w:style w:type="paragraph" w:styleId="BalloonText">
    <w:name w:val="Balloon Text"/>
    <w:basedOn w:val="Normal"/>
    <w:link w:val="BalloonTextChar"/>
    <w:uiPriority w:val="99"/>
    <w:semiHidden/>
    <w:unhideWhenUsed/>
    <w:rsid w:val="006D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7B453C"/>
  </w:style>
  <w:style w:type="paragraph" w:styleId="BalloonText">
    <w:name w:val="Balloon Text"/>
    <w:basedOn w:val="Normal"/>
    <w:link w:val="BalloonTextChar"/>
    <w:uiPriority w:val="99"/>
    <w:semiHidden/>
    <w:unhideWhenUsed/>
    <w:rsid w:val="006D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Khanh</dc:creator>
  <cp:lastModifiedBy>Khanh</cp:lastModifiedBy>
  <cp:revision>5</cp:revision>
  <cp:lastPrinted>2020-06-15T07:36:00Z</cp:lastPrinted>
  <dcterms:created xsi:type="dcterms:W3CDTF">2020-08-24T07:41:00Z</dcterms:created>
  <dcterms:modified xsi:type="dcterms:W3CDTF">2020-08-24T08:17:00Z</dcterms:modified>
</cp:coreProperties>
</file>