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2C01" w14:textId="10DF51C3" w:rsidR="00E93420" w:rsidRDefault="00E93420" w:rsidP="00D50138">
      <w:pPr>
        <w:pStyle w:val="VAFigureCaption"/>
        <w:rPr>
          <w:rFonts w:cs="Arial"/>
          <w:bCs/>
          <w:noProof/>
          <w:szCs w:val="24"/>
        </w:rPr>
      </w:pPr>
    </w:p>
    <w:p w14:paraId="04183660" w14:textId="2169D39F" w:rsidR="00E93420" w:rsidRPr="00E93420" w:rsidRDefault="00E93420" w:rsidP="00E93420">
      <w:pPr>
        <w:pStyle w:val="Heading1"/>
        <w:jc w:val="center"/>
        <w:rPr>
          <w:rStyle w:val="SubtleReference"/>
          <w:rFonts w:ascii="Arial" w:hAnsi="Arial" w:cs="Arial"/>
          <w:sz w:val="36"/>
          <w:szCs w:val="36"/>
        </w:rPr>
      </w:pPr>
      <w:r w:rsidRPr="00E93420">
        <w:rPr>
          <w:rStyle w:val="SubtleReference"/>
          <w:rFonts w:ascii="Arial" w:hAnsi="Arial" w:cs="Arial"/>
          <w:sz w:val="36"/>
          <w:szCs w:val="36"/>
        </w:rPr>
        <w:t>probing coordinated co-culture cancer related motility through differential micro-compartmentalized elastic substrates</w:t>
      </w:r>
    </w:p>
    <w:p w14:paraId="2FEAB27B" w14:textId="77777777" w:rsidR="00E93420" w:rsidRDefault="00E93420" w:rsidP="00E93420">
      <w:pPr>
        <w:pStyle w:val="PlainText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</w:tabs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</w:p>
    <w:p w14:paraId="59CDD599" w14:textId="77777777" w:rsidR="00E93420" w:rsidRDefault="00E93420" w:rsidP="00E93420">
      <w:pPr>
        <w:pStyle w:val="BBAuthorName"/>
        <w:rPr>
          <w:rFonts w:eastAsia="Arial" w:cs="Arial"/>
          <w:szCs w:val="24"/>
          <w:vertAlign w:val="superscript"/>
        </w:rPr>
      </w:pPr>
      <w:proofErr w:type="spellStart"/>
      <w:r w:rsidRPr="00874A05">
        <w:t>Szu</w:t>
      </w:r>
      <w:proofErr w:type="spellEnd"/>
      <w:r w:rsidRPr="00874A05">
        <w:t>-Yuan Chou</w:t>
      </w:r>
      <w:r w:rsidRPr="00874A05">
        <w:rPr>
          <w:vertAlign w:val="superscript"/>
        </w:rPr>
        <w:t>1</w:t>
      </w:r>
      <w:r>
        <w:t xml:space="preserve">, </w:t>
      </w:r>
      <w:r w:rsidRPr="00874A05">
        <w:t>Chang-You Lin</w:t>
      </w:r>
      <w:r w:rsidRPr="00874A05">
        <w:rPr>
          <w:vertAlign w:val="superscript"/>
        </w:rPr>
        <w:t>2</w:t>
      </w:r>
      <w:r w:rsidRPr="00874A05">
        <w:t>, Theresa Cassino</w:t>
      </w:r>
      <w:r>
        <w:rPr>
          <w:vertAlign w:val="superscript"/>
        </w:rPr>
        <w:t>1</w:t>
      </w:r>
      <w:r>
        <w:t>, Li Wan</w:t>
      </w:r>
      <w:r w:rsidRPr="00874A05">
        <w:rPr>
          <w:vertAlign w:val="superscript"/>
        </w:rPr>
        <w:t>1</w:t>
      </w:r>
      <w:r>
        <w:t xml:space="preserve">, </w:t>
      </w:r>
      <w:r w:rsidRPr="00874A05">
        <w:t>and Philip R. LeDuc</w:t>
      </w:r>
      <w:r w:rsidRPr="00874A05">
        <w:rPr>
          <w:vertAlign w:val="superscript"/>
        </w:rPr>
        <w:t>1</w:t>
      </w:r>
    </w:p>
    <w:p w14:paraId="48884245" w14:textId="77777777" w:rsidR="00E93420" w:rsidRDefault="00E93420" w:rsidP="00E93420">
      <w:pPr>
        <w:pStyle w:val="PlainText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</w:tabs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</w:p>
    <w:p w14:paraId="2E633C4A" w14:textId="77777777" w:rsidR="00E93420" w:rsidRDefault="00E93420" w:rsidP="00E93420">
      <w:pPr>
        <w:pStyle w:val="BCAuthorAddress"/>
        <w:rPr>
          <w:rFonts w:eastAsia="Arial" w:cs="Arial"/>
          <w:szCs w:val="24"/>
        </w:rPr>
      </w:pPr>
      <w:r w:rsidRPr="00874A05">
        <w:rPr>
          <w:vertAlign w:val="superscript"/>
        </w:rPr>
        <w:t>1</w:t>
      </w:r>
      <w:r w:rsidRPr="00874A05">
        <w:t xml:space="preserve"> Departments of Mechanical </w:t>
      </w:r>
      <w:r w:rsidRPr="00353E24">
        <w:rPr>
          <w:rFonts w:cs="Arial"/>
          <w:szCs w:val="24"/>
        </w:rPr>
        <w:t>Engineering,</w:t>
      </w:r>
      <w:r w:rsidRPr="00874A05">
        <w:t xml:space="preserve"> Biomedical Engineering</w:t>
      </w:r>
      <w:r w:rsidRPr="00353E24">
        <w:rPr>
          <w:rFonts w:cs="Arial"/>
          <w:szCs w:val="24"/>
        </w:rPr>
        <w:t>, Computational Biology,</w:t>
      </w:r>
      <w:r w:rsidRPr="00874A05">
        <w:t xml:space="preserve"> and Biological Sciences,</w:t>
      </w:r>
      <w:r w:rsidRPr="00353E24">
        <w:rPr>
          <w:rFonts w:eastAsia="Arial" w:cs="Arial"/>
          <w:szCs w:val="24"/>
        </w:rPr>
        <w:t xml:space="preserve"> </w:t>
      </w:r>
      <w:r w:rsidRPr="00874A05">
        <w:t>Carnegie Mellon University, Pittsburgh, PA 15213, USA</w:t>
      </w:r>
    </w:p>
    <w:p w14:paraId="300CB9F3" w14:textId="77777777" w:rsidR="00E93420" w:rsidRDefault="00E93420" w:rsidP="00E93420">
      <w:pPr>
        <w:pStyle w:val="BCAuthorAddress"/>
        <w:rPr>
          <w:rFonts w:eastAsia="Arial" w:cs="Arial"/>
          <w:szCs w:val="24"/>
        </w:rPr>
      </w:pPr>
      <w:r w:rsidRPr="00874A05">
        <w:rPr>
          <w:vertAlign w:val="superscript"/>
        </w:rPr>
        <w:t>2</w:t>
      </w:r>
      <w:r w:rsidRPr="00874A05">
        <w:t xml:space="preserve"> Departments of Physics, Carnegie Mellon University, Pittsburgh, PA 15213, USA</w:t>
      </w:r>
    </w:p>
    <w:p w14:paraId="73467BA9" w14:textId="77777777" w:rsidR="00E93420" w:rsidRPr="006D794D" w:rsidRDefault="00E93420" w:rsidP="00E93420">
      <w:pPr>
        <w:pStyle w:val="BGKeywords"/>
        <w:rPr>
          <w:rFonts w:eastAsia="Arial" w:cs="Arial"/>
          <w:szCs w:val="24"/>
        </w:rPr>
      </w:pPr>
      <w:r w:rsidRPr="006D794D">
        <w:rPr>
          <w:b/>
          <w:i/>
        </w:rPr>
        <w:t>Keywords</w:t>
      </w:r>
      <w:r w:rsidRPr="006D794D">
        <w:t xml:space="preserve">: Motility; </w:t>
      </w:r>
      <w:r w:rsidRPr="006D794D">
        <w:rPr>
          <w:rFonts w:cs="Arial"/>
          <w:szCs w:val="24"/>
        </w:rPr>
        <w:t xml:space="preserve">Localized elasticity; </w:t>
      </w:r>
      <w:r w:rsidRPr="006D794D">
        <w:t xml:space="preserve">Cell-substrate interactions; </w:t>
      </w:r>
      <w:r w:rsidRPr="006D794D">
        <w:rPr>
          <w:rFonts w:cs="Arial"/>
          <w:szCs w:val="24"/>
        </w:rPr>
        <w:t xml:space="preserve">Soft lithography; </w:t>
      </w:r>
      <w:r w:rsidRPr="006D794D">
        <w:t>Metastasis</w:t>
      </w:r>
    </w:p>
    <w:p w14:paraId="62506FCB" w14:textId="77777777" w:rsidR="00E93420" w:rsidRPr="00E93420" w:rsidRDefault="00E93420" w:rsidP="00E93420">
      <w:pPr>
        <w:rPr>
          <w:lang w:eastAsia="en-US"/>
        </w:rPr>
      </w:pPr>
    </w:p>
    <w:p w14:paraId="67A90D9B" w14:textId="77777777" w:rsidR="00E93420" w:rsidRDefault="00E93420" w:rsidP="00D50138">
      <w:pPr>
        <w:pStyle w:val="VAFigureCaption"/>
        <w:rPr>
          <w:rFonts w:cs="Arial"/>
          <w:bCs/>
          <w:noProof/>
          <w:szCs w:val="24"/>
        </w:rPr>
      </w:pPr>
    </w:p>
    <w:p w14:paraId="5CAD5370" w14:textId="743D3FD3" w:rsidR="00D072DB" w:rsidRDefault="00D072DB" w:rsidP="00D072DB">
      <w:pPr>
        <w:pStyle w:val="VAFigureCaption"/>
        <w:rPr>
          <w:rFonts w:eastAsia="Arial" w:cs="Arial"/>
          <w:szCs w:val="24"/>
        </w:rPr>
      </w:pPr>
      <w:r>
        <w:rPr>
          <w:rFonts w:cs="Arial"/>
          <w:bCs/>
          <w:noProof/>
          <w:szCs w:val="24"/>
        </w:rPr>
        <w:lastRenderedPageBreak/>
        <w:drawing>
          <wp:inline distT="0" distB="0" distL="0" distR="0" wp14:anchorId="4B746653" wp14:editId="4BA2F38E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72DB">
        <w:rPr>
          <w:rFonts w:cs="Arial"/>
          <w:bCs/>
          <w:szCs w:val="24"/>
        </w:rPr>
        <w:t xml:space="preserve"> </w:t>
      </w:r>
      <w:r>
        <w:rPr>
          <w:rFonts w:cs="Arial"/>
          <w:bCs/>
          <w:szCs w:val="24"/>
        </w:rPr>
        <w:t xml:space="preserve">Figure </w:t>
      </w:r>
      <w:r>
        <w:rPr>
          <w:rFonts w:cs="Arial"/>
          <w:bCs/>
          <w:szCs w:val="24"/>
        </w:rPr>
        <w:t>S1</w:t>
      </w:r>
      <w:r w:rsidRPr="00353E24">
        <w:rPr>
          <w:rFonts w:cs="Arial"/>
          <w:bCs/>
          <w:szCs w:val="24"/>
        </w:rPr>
        <w:t xml:space="preserve">. </w:t>
      </w:r>
      <w:r w:rsidRPr="00353E24">
        <w:rPr>
          <w:rFonts w:cs="Arial"/>
          <w:szCs w:val="24"/>
        </w:rPr>
        <w:t xml:space="preserve">The motility of </w:t>
      </w:r>
      <w:r w:rsidRPr="00874A05">
        <w:t xml:space="preserve">A549 epithelial cells on </w:t>
      </w:r>
      <w:r>
        <w:t>collagen</w:t>
      </w:r>
      <w:r w:rsidRPr="00874A05">
        <w:t xml:space="preserve"> coated PDMS substrates with different stiffnesses. (A) A diagram to </w:t>
      </w:r>
      <w:r>
        <w:rPr>
          <w:rFonts w:cs="Arial"/>
          <w:szCs w:val="24"/>
        </w:rPr>
        <w:t>indicate</w:t>
      </w:r>
      <w:r>
        <w:t xml:space="preserve"> collagen</w:t>
      </w:r>
      <w:r w:rsidRPr="00874A05">
        <w:t xml:space="preserve"> coated PDMS subs</w:t>
      </w:r>
      <w:r>
        <w:t xml:space="preserve">trates with different stiffnesses. </w:t>
      </w:r>
      <w:r>
        <w:rPr>
          <w:rFonts w:cs="Arial"/>
          <w:szCs w:val="24"/>
        </w:rPr>
        <w:t>I</w:t>
      </w:r>
      <w:r w:rsidRPr="00353E24">
        <w:rPr>
          <w:rFonts w:cs="Arial"/>
          <w:szCs w:val="24"/>
        </w:rPr>
        <w:t xml:space="preserve">mages </w:t>
      </w:r>
      <w:r>
        <w:rPr>
          <w:rFonts w:cs="Arial"/>
          <w:szCs w:val="24"/>
        </w:rPr>
        <w:t xml:space="preserve">and quantitation, respectively, </w:t>
      </w:r>
      <w:r w:rsidRPr="00353E24">
        <w:rPr>
          <w:rFonts w:cs="Arial"/>
          <w:szCs w:val="24"/>
        </w:rPr>
        <w:t xml:space="preserve">of </w:t>
      </w:r>
      <w:r>
        <w:rPr>
          <w:rFonts w:cs="Arial"/>
          <w:szCs w:val="24"/>
        </w:rPr>
        <w:t>the movement</w:t>
      </w:r>
      <w:r w:rsidRPr="00874A05">
        <w:t xml:space="preserve"> of A549 epithelial cells attached on PDMS substrates with stiffnesses </w:t>
      </w:r>
      <w:r>
        <w:rPr>
          <w:rFonts w:cs="Arial"/>
          <w:szCs w:val="24"/>
        </w:rPr>
        <w:t>including</w:t>
      </w:r>
      <w:r w:rsidRPr="00874A05">
        <w:t xml:space="preserve"> (B</w:t>
      </w:r>
      <w:r>
        <w:rPr>
          <w:rFonts w:cs="Arial"/>
          <w:szCs w:val="24"/>
        </w:rPr>
        <w:t>, C</w:t>
      </w:r>
      <w:r w:rsidRPr="00874A05">
        <w:t>) glass</w:t>
      </w:r>
      <w:r>
        <w:t xml:space="preserve"> and </w:t>
      </w:r>
      <w:r w:rsidRPr="00874A05">
        <w:t>(D</w:t>
      </w:r>
      <w:r>
        <w:rPr>
          <w:rFonts w:cs="Arial"/>
          <w:szCs w:val="24"/>
        </w:rPr>
        <w:t>, E</w:t>
      </w:r>
      <w:r w:rsidRPr="00874A05">
        <w:t xml:space="preserve">) 10 kPa at </w:t>
      </w:r>
      <w:r>
        <w:rPr>
          <w:rFonts w:cs="Arial"/>
          <w:szCs w:val="24"/>
        </w:rPr>
        <w:t>0 hours and 48 hours after they were released</w:t>
      </w:r>
      <w:r w:rsidRPr="00353E24">
        <w:rPr>
          <w:rFonts w:cs="Arial"/>
          <w:szCs w:val="24"/>
        </w:rPr>
        <w:t xml:space="preserve">. Data </w:t>
      </w:r>
      <w:r>
        <w:rPr>
          <w:rFonts w:cs="Arial"/>
          <w:szCs w:val="24"/>
        </w:rPr>
        <w:t>are</w:t>
      </w:r>
      <w:r w:rsidRPr="00353E24">
        <w:rPr>
          <w:rFonts w:cs="Arial"/>
          <w:szCs w:val="24"/>
        </w:rPr>
        <w:t xml:space="preserve"> </w:t>
      </w:r>
      <w:r w:rsidRPr="00874A05">
        <w:t>standard deviation</w:t>
      </w:r>
      <w:r>
        <w:rPr>
          <w:rFonts w:cs="Arial"/>
          <w:szCs w:val="24"/>
        </w:rPr>
        <w:t xml:space="preserve"> with total</w:t>
      </w:r>
      <w:r w:rsidRPr="00874A05">
        <w:t xml:space="preserve"> cell counts =</w:t>
      </w:r>
      <w:r w:rsidRPr="00353E24">
        <w:rPr>
          <w:rFonts w:cs="Arial"/>
          <w:szCs w:val="24"/>
        </w:rPr>
        <w:t>4379</w:t>
      </w:r>
      <w:r>
        <w:rPr>
          <w:rFonts w:cs="Arial"/>
          <w:szCs w:val="24"/>
        </w:rPr>
        <w:t xml:space="preserve"> and n=</w:t>
      </w:r>
      <w:r w:rsidRPr="00874A05">
        <w:t>3.</w:t>
      </w:r>
    </w:p>
    <w:p w14:paraId="1390A16A" w14:textId="29788831" w:rsidR="00D072DB" w:rsidRPr="00874A05" w:rsidRDefault="00D072DB" w:rsidP="00D072DB">
      <w:pPr>
        <w:pStyle w:val="VAFigureCaption"/>
      </w:pPr>
      <w:r>
        <w:rPr>
          <w:rFonts w:cs="Arial"/>
          <w:bCs/>
          <w:noProof/>
          <w:szCs w:val="24"/>
        </w:rPr>
        <w:lastRenderedPageBreak/>
        <w:drawing>
          <wp:inline distT="0" distB="0" distL="0" distR="0" wp14:anchorId="06B238E6" wp14:editId="7E3D928A">
            <wp:extent cx="5934075" cy="4191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72DB">
        <w:t xml:space="preserve"> </w:t>
      </w:r>
      <w:r w:rsidRPr="00874A05">
        <w:t xml:space="preserve">Figure </w:t>
      </w:r>
      <w:r>
        <w:t>S2</w:t>
      </w:r>
      <w:r w:rsidRPr="00874A05">
        <w:t xml:space="preserve">. The motility of WI-38 </w:t>
      </w:r>
      <w:r>
        <w:rPr>
          <w:rFonts w:cs="Arial"/>
          <w:szCs w:val="24"/>
        </w:rPr>
        <w:t xml:space="preserve">fibroblast </w:t>
      </w:r>
      <w:r w:rsidRPr="00353E24">
        <w:rPr>
          <w:rFonts w:cs="Arial"/>
          <w:szCs w:val="24"/>
        </w:rPr>
        <w:t>cells</w:t>
      </w:r>
      <w:r w:rsidRPr="00874A05">
        <w:t xml:space="preserve"> on fibronectin coated PDMS substrates with different stiffnesses. (A) A diagram to </w:t>
      </w:r>
      <w:r>
        <w:rPr>
          <w:rFonts w:cs="Arial"/>
          <w:szCs w:val="24"/>
        </w:rPr>
        <w:t>indicate</w:t>
      </w:r>
      <w:r w:rsidRPr="00874A05">
        <w:t xml:space="preserve"> </w:t>
      </w:r>
      <w:r>
        <w:t xml:space="preserve">“major cell </w:t>
      </w:r>
      <w:r w:rsidRPr="00874A05">
        <w:t>population movement</w:t>
      </w:r>
      <w:r>
        <w:t xml:space="preserve">” and “leading cell distance”. </w:t>
      </w:r>
      <w:r>
        <w:rPr>
          <w:rFonts w:cs="Arial"/>
          <w:szCs w:val="24"/>
        </w:rPr>
        <w:t>I</w:t>
      </w:r>
      <w:r w:rsidRPr="00353E24">
        <w:rPr>
          <w:rFonts w:cs="Arial"/>
          <w:szCs w:val="24"/>
        </w:rPr>
        <w:t>mages</w:t>
      </w:r>
      <w:r w:rsidRPr="00874A05">
        <w:t xml:space="preserve"> and </w:t>
      </w:r>
      <w:r>
        <w:rPr>
          <w:rFonts w:cs="Arial"/>
          <w:szCs w:val="24"/>
        </w:rPr>
        <w:t xml:space="preserve">quantitation, respectively, </w:t>
      </w:r>
      <w:r w:rsidRPr="00353E24">
        <w:rPr>
          <w:rFonts w:cs="Arial"/>
          <w:szCs w:val="24"/>
        </w:rPr>
        <w:t xml:space="preserve">of </w:t>
      </w:r>
      <w:r w:rsidRPr="00874A05">
        <w:t xml:space="preserve">the </w:t>
      </w:r>
      <w:r>
        <w:rPr>
          <w:rFonts w:cs="Arial"/>
          <w:szCs w:val="24"/>
        </w:rPr>
        <w:t xml:space="preserve">movement of </w:t>
      </w:r>
      <w:r w:rsidRPr="00353E24">
        <w:rPr>
          <w:rFonts w:cs="Arial"/>
          <w:szCs w:val="24"/>
        </w:rPr>
        <w:t>A549 epithelial</w:t>
      </w:r>
      <w:r w:rsidRPr="00874A05">
        <w:t xml:space="preserve"> cells attached on fibronectin coated PDMS substrates with stiffnesses </w:t>
      </w:r>
      <w:r>
        <w:rPr>
          <w:rFonts w:cs="Arial"/>
          <w:szCs w:val="24"/>
        </w:rPr>
        <w:t>including</w:t>
      </w:r>
      <w:r w:rsidRPr="00353E24">
        <w:rPr>
          <w:rFonts w:cs="Arial"/>
          <w:szCs w:val="24"/>
        </w:rPr>
        <w:t xml:space="preserve"> (B</w:t>
      </w:r>
      <w:r>
        <w:rPr>
          <w:rFonts w:cs="Arial"/>
          <w:szCs w:val="24"/>
        </w:rPr>
        <w:t xml:space="preserve">, </w:t>
      </w:r>
      <w:r w:rsidRPr="00874A05">
        <w:t>C) glass</w:t>
      </w:r>
      <w:r>
        <w:t xml:space="preserve"> and</w:t>
      </w:r>
      <w:r w:rsidRPr="00874A05">
        <w:t xml:space="preserve"> (</w:t>
      </w:r>
      <w:r w:rsidRPr="00353E24">
        <w:rPr>
          <w:rFonts w:cs="Arial"/>
          <w:szCs w:val="24"/>
        </w:rPr>
        <w:t>D</w:t>
      </w:r>
      <w:r>
        <w:rPr>
          <w:rFonts w:cs="Arial"/>
          <w:szCs w:val="24"/>
        </w:rPr>
        <w:t xml:space="preserve">, </w:t>
      </w:r>
      <w:r w:rsidRPr="00874A05">
        <w:t>E) 10 kPa</w:t>
      </w:r>
      <w:r w:rsidRPr="00353E24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at 0 hours and 48 hours after they were released</w:t>
      </w:r>
      <w:r w:rsidRPr="00874A05">
        <w:t xml:space="preserve">. Data </w:t>
      </w:r>
      <w:r>
        <w:rPr>
          <w:rFonts w:cs="Arial"/>
          <w:szCs w:val="24"/>
        </w:rPr>
        <w:t>are</w:t>
      </w:r>
      <w:r w:rsidRPr="00874A05">
        <w:t xml:space="preserve"> standard deviation</w:t>
      </w:r>
      <w:r>
        <w:rPr>
          <w:rFonts w:cs="Arial"/>
          <w:szCs w:val="24"/>
        </w:rPr>
        <w:t xml:space="preserve"> with total</w:t>
      </w:r>
      <w:r w:rsidRPr="00874A05">
        <w:t xml:space="preserve"> cell counts =1470</w:t>
      </w:r>
      <w:r>
        <w:rPr>
          <w:rFonts w:cs="Arial"/>
          <w:szCs w:val="24"/>
        </w:rPr>
        <w:t xml:space="preserve"> and n=</w:t>
      </w:r>
      <w:r w:rsidRPr="00874A05">
        <w:t>3.</w:t>
      </w:r>
    </w:p>
    <w:p w14:paraId="387F90B5" w14:textId="2E8D2CC3" w:rsidR="00E93420" w:rsidRDefault="00E93420" w:rsidP="00D50138">
      <w:pPr>
        <w:pStyle w:val="VAFigureCaption"/>
        <w:rPr>
          <w:rFonts w:cs="Arial"/>
          <w:bCs/>
          <w:noProof/>
          <w:szCs w:val="24"/>
        </w:rPr>
      </w:pPr>
    </w:p>
    <w:p w14:paraId="7A41BECF" w14:textId="63263257" w:rsidR="00D50138" w:rsidRPr="00EC31B8" w:rsidRDefault="00D072DB" w:rsidP="00D50138">
      <w:pPr>
        <w:pStyle w:val="VAFigureCaption"/>
        <w:rPr>
          <w:rFonts w:cs="Arial"/>
          <w:bCs/>
          <w:szCs w:val="24"/>
        </w:rPr>
      </w:pPr>
      <w:r>
        <w:rPr>
          <w:rFonts w:cs="Arial"/>
          <w:bCs/>
          <w:noProof/>
          <w:szCs w:val="24"/>
        </w:rPr>
        <w:lastRenderedPageBreak/>
        <w:drawing>
          <wp:inline distT="0" distB="0" distL="0" distR="0" wp14:anchorId="17EB8840" wp14:editId="59851FEA">
            <wp:extent cx="5934075" cy="4448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20C27" w14:textId="6BD57149" w:rsidR="00D50138" w:rsidRDefault="00D50138" w:rsidP="00D50138">
      <w:pPr>
        <w:pStyle w:val="VAFigureCaption"/>
        <w:rPr>
          <w:rFonts w:eastAsia="Arial" w:cs="Arial"/>
          <w:szCs w:val="24"/>
        </w:rPr>
      </w:pPr>
      <w:r w:rsidRPr="00874A05">
        <w:t xml:space="preserve">Figure </w:t>
      </w:r>
      <w:r w:rsidR="00D072DB">
        <w:t>S3</w:t>
      </w:r>
      <w:r w:rsidRPr="00874A05">
        <w:t xml:space="preserve">. The motility of A549 epithelial cells on </w:t>
      </w:r>
      <w:r w:rsidRPr="00353E24">
        <w:rPr>
          <w:rFonts w:cs="Arial"/>
          <w:szCs w:val="24"/>
        </w:rPr>
        <w:t>fibronectin</w:t>
      </w:r>
      <w:r w:rsidRPr="00874A05">
        <w:t xml:space="preserve"> coated PDMS substrates with different stiffnesses. (A) A diagram to </w:t>
      </w:r>
      <w:r>
        <w:rPr>
          <w:rFonts w:cs="Arial"/>
          <w:szCs w:val="24"/>
        </w:rPr>
        <w:t>indicate</w:t>
      </w:r>
      <w:r>
        <w:t xml:space="preserve"> </w:t>
      </w:r>
      <w:r w:rsidRPr="00874A05">
        <w:t>PDMS substrates with different stiffnesses. (A) A diagr</w:t>
      </w:r>
      <w:r>
        <w:t>am, i</w:t>
      </w:r>
      <w:r w:rsidRPr="00353E24">
        <w:rPr>
          <w:rFonts w:cs="Arial"/>
          <w:szCs w:val="24"/>
        </w:rPr>
        <w:t xml:space="preserve">mages </w:t>
      </w:r>
      <w:r>
        <w:rPr>
          <w:rFonts w:cs="Arial"/>
          <w:szCs w:val="24"/>
        </w:rPr>
        <w:t xml:space="preserve">and quantitation, respectively, </w:t>
      </w:r>
      <w:r w:rsidRPr="00353E24">
        <w:rPr>
          <w:rFonts w:cs="Arial"/>
          <w:szCs w:val="24"/>
        </w:rPr>
        <w:t xml:space="preserve">of </w:t>
      </w:r>
      <w:r>
        <w:rPr>
          <w:rFonts w:cs="Arial"/>
          <w:szCs w:val="24"/>
        </w:rPr>
        <w:t>the movement</w:t>
      </w:r>
      <w:r w:rsidRPr="00874A05">
        <w:t xml:space="preserve"> of A549 epithelial cells attached on fibronectin coated PDMS substrates with stiffnesses </w:t>
      </w:r>
      <w:r>
        <w:rPr>
          <w:rFonts w:cs="Arial"/>
          <w:szCs w:val="24"/>
        </w:rPr>
        <w:t>including</w:t>
      </w:r>
      <w:r w:rsidRPr="00353E24">
        <w:rPr>
          <w:rFonts w:cs="Arial"/>
          <w:szCs w:val="24"/>
        </w:rPr>
        <w:t xml:space="preserve"> (B</w:t>
      </w:r>
      <w:r>
        <w:rPr>
          <w:rFonts w:cs="Arial"/>
          <w:szCs w:val="24"/>
        </w:rPr>
        <w:t xml:space="preserve">, </w:t>
      </w:r>
      <w:r w:rsidRPr="00874A05">
        <w:t>C) glass, (</w:t>
      </w:r>
      <w:r w:rsidRPr="00353E24">
        <w:rPr>
          <w:rFonts w:cs="Arial"/>
          <w:szCs w:val="24"/>
        </w:rPr>
        <w:t>D</w:t>
      </w:r>
      <w:r>
        <w:rPr>
          <w:rFonts w:cs="Arial"/>
          <w:szCs w:val="24"/>
        </w:rPr>
        <w:t xml:space="preserve">, </w:t>
      </w:r>
      <w:r w:rsidRPr="00874A05">
        <w:t>E) 800 kPa, (</w:t>
      </w:r>
      <w:r w:rsidRPr="00353E24">
        <w:rPr>
          <w:rFonts w:cs="Arial"/>
          <w:szCs w:val="24"/>
        </w:rPr>
        <w:t>F</w:t>
      </w:r>
      <w:r>
        <w:rPr>
          <w:rFonts w:cs="Arial"/>
          <w:szCs w:val="24"/>
        </w:rPr>
        <w:t xml:space="preserve">, </w:t>
      </w:r>
      <w:r w:rsidRPr="00874A05">
        <w:t>G) 200 kPa and (</w:t>
      </w:r>
      <w:r w:rsidRPr="00353E24">
        <w:rPr>
          <w:rFonts w:cs="Arial"/>
          <w:szCs w:val="24"/>
        </w:rPr>
        <w:t>H</w:t>
      </w:r>
      <w:r>
        <w:rPr>
          <w:rFonts w:cs="Arial"/>
          <w:szCs w:val="24"/>
        </w:rPr>
        <w:t xml:space="preserve">, </w:t>
      </w:r>
      <w:r w:rsidRPr="00874A05">
        <w:t>I) 10 kPa</w:t>
      </w:r>
      <w:r w:rsidRPr="00353E24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at 0 hours and 48 hours after they were released</w:t>
      </w:r>
      <w:r w:rsidRPr="00353E24">
        <w:rPr>
          <w:rFonts w:cs="Arial"/>
          <w:szCs w:val="24"/>
        </w:rPr>
        <w:t>.</w:t>
      </w:r>
      <w:r w:rsidRPr="00874A05">
        <w:t xml:space="preserve"> Data </w:t>
      </w:r>
      <w:r>
        <w:rPr>
          <w:rFonts w:cs="Arial"/>
          <w:szCs w:val="24"/>
        </w:rPr>
        <w:t>are</w:t>
      </w:r>
      <w:r w:rsidRPr="00874A05">
        <w:t xml:space="preserve"> standard deviation</w:t>
      </w:r>
      <w:r>
        <w:rPr>
          <w:rFonts w:cs="Arial"/>
          <w:szCs w:val="24"/>
        </w:rPr>
        <w:t xml:space="preserve"> with total</w:t>
      </w:r>
      <w:r w:rsidRPr="00874A05">
        <w:t xml:space="preserve"> cell counts =</w:t>
      </w:r>
      <w:r>
        <w:rPr>
          <w:rFonts w:cs="Arial"/>
          <w:szCs w:val="24"/>
        </w:rPr>
        <w:t>4372 and n=</w:t>
      </w:r>
      <w:r w:rsidRPr="00353E24">
        <w:rPr>
          <w:rFonts w:cs="Arial"/>
          <w:szCs w:val="24"/>
        </w:rPr>
        <w:t>3</w:t>
      </w:r>
      <w:r w:rsidRPr="00874A05">
        <w:t>.</w:t>
      </w:r>
    </w:p>
    <w:p w14:paraId="4BD8FEDF" w14:textId="77777777" w:rsidR="00FF3AAD" w:rsidRDefault="00114DB6"/>
    <w:sectPr w:rsidR="00FF3AAD" w:rsidSect="00FF27BF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05407" w14:textId="77777777" w:rsidR="00114DB6" w:rsidRDefault="00114DB6" w:rsidP="00D072DB">
      <w:r>
        <w:separator/>
      </w:r>
    </w:p>
  </w:endnote>
  <w:endnote w:type="continuationSeparator" w:id="0">
    <w:p w14:paraId="76AA5203" w14:textId="77777777" w:rsidR="00114DB6" w:rsidRDefault="00114DB6" w:rsidP="00D0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21C3E" w14:textId="77777777" w:rsidR="00114DB6" w:rsidRDefault="00114DB6" w:rsidP="00D072DB">
      <w:r>
        <w:separator/>
      </w:r>
    </w:p>
  </w:footnote>
  <w:footnote w:type="continuationSeparator" w:id="0">
    <w:p w14:paraId="452D2FE8" w14:textId="77777777" w:rsidR="00114DB6" w:rsidRDefault="00114DB6" w:rsidP="00D07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38"/>
    <w:rsid w:val="000118C5"/>
    <w:rsid w:val="00027AA5"/>
    <w:rsid w:val="0003431B"/>
    <w:rsid w:val="00062D29"/>
    <w:rsid w:val="00094F29"/>
    <w:rsid w:val="00114DB6"/>
    <w:rsid w:val="001258A3"/>
    <w:rsid w:val="00163C24"/>
    <w:rsid w:val="00170AB3"/>
    <w:rsid w:val="001C657A"/>
    <w:rsid w:val="001D035E"/>
    <w:rsid w:val="001D47D6"/>
    <w:rsid w:val="0021048C"/>
    <w:rsid w:val="002178A4"/>
    <w:rsid w:val="0024138F"/>
    <w:rsid w:val="002561C4"/>
    <w:rsid w:val="002611FB"/>
    <w:rsid w:val="00273D2A"/>
    <w:rsid w:val="002A3EDC"/>
    <w:rsid w:val="00322843"/>
    <w:rsid w:val="00334CAF"/>
    <w:rsid w:val="003F0985"/>
    <w:rsid w:val="00400D93"/>
    <w:rsid w:val="004233FF"/>
    <w:rsid w:val="004F04E5"/>
    <w:rsid w:val="004F596B"/>
    <w:rsid w:val="0050526C"/>
    <w:rsid w:val="00532C06"/>
    <w:rsid w:val="00533F16"/>
    <w:rsid w:val="005421EF"/>
    <w:rsid w:val="005462B3"/>
    <w:rsid w:val="00553784"/>
    <w:rsid w:val="005B3843"/>
    <w:rsid w:val="005F3290"/>
    <w:rsid w:val="0062134A"/>
    <w:rsid w:val="00631BC8"/>
    <w:rsid w:val="006817D4"/>
    <w:rsid w:val="00685457"/>
    <w:rsid w:val="006B2B83"/>
    <w:rsid w:val="006B4EFA"/>
    <w:rsid w:val="006C456E"/>
    <w:rsid w:val="006D3886"/>
    <w:rsid w:val="006F008F"/>
    <w:rsid w:val="00702FE1"/>
    <w:rsid w:val="007130C7"/>
    <w:rsid w:val="007277AC"/>
    <w:rsid w:val="007324F0"/>
    <w:rsid w:val="0075294F"/>
    <w:rsid w:val="00775171"/>
    <w:rsid w:val="00787E2B"/>
    <w:rsid w:val="007B6532"/>
    <w:rsid w:val="00817029"/>
    <w:rsid w:val="00852065"/>
    <w:rsid w:val="008629CB"/>
    <w:rsid w:val="008C13D3"/>
    <w:rsid w:val="008E2185"/>
    <w:rsid w:val="008F002A"/>
    <w:rsid w:val="008F47F5"/>
    <w:rsid w:val="00932309"/>
    <w:rsid w:val="009433EA"/>
    <w:rsid w:val="009D46DF"/>
    <w:rsid w:val="009F0F03"/>
    <w:rsid w:val="00A7589F"/>
    <w:rsid w:val="00AB3D0B"/>
    <w:rsid w:val="00AC1643"/>
    <w:rsid w:val="00B40F86"/>
    <w:rsid w:val="00B57946"/>
    <w:rsid w:val="00B67F3A"/>
    <w:rsid w:val="00B8277F"/>
    <w:rsid w:val="00B82950"/>
    <w:rsid w:val="00BA5CC0"/>
    <w:rsid w:val="00BF202C"/>
    <w:rsid w:val="00CA380B"/>
    <w:rsid w:val="00CD2727"/>
    <w:rsid w:val="00D072DB"/>
    <w:rsid w:val="00D141D5"/>
    <w:rsid w:val="00D42865"/>
    <w:rsid w:val="00D50138"/>
    <w:rsid w:val="00DC21B2"/>
    <w:rsid w:val="00E23F48"/>
    <w:rsid w:val="00E37FE6"/>
    <w:rsid w:val="00E82B33"/>
    <w:rsid w:val="00E8338C"/>
    <w:rsid w:val="00E84F13"/>
    <w:rsid w:val="00E93420"/>
    <w:rsid w:val="00ED62F0"/>
    <w:rsid w:val="00F05E20"/>
    <w:rsid w:val="00F94391"/>
    <w:rsid w:val="00FA2F81"/>
    <w:rsid w:val="00FD4C38"/>
    <w:rsid w:val="00FF27BF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67888"/>
  <w14:defaultImageDpi w14:val="32767"/>
  <w15:chartTrackingRefBased/>
  <w15:docId w15:val="{81DE913D-A4F9-954A-B1B7-EFE3FAE7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AFigureCaption">
    <w:name w:val="VA_Figure_Caption"/>
    <w:basedOn w:val="Normal"/>
    <w:next w:val="Normal"/>
    <w:rsid w:val="00D50138"/>
    <w:pPr>
      <w:spacing w:after="200" w:line="480" w:lineRule="auto"/>
      <w:jc w:val="both"/>
    </w:pPr>
    <w:rPr>
      <w:rFonts w:ascii="Times" w:eastAsia="Times New Roman" w:hAnsi="Times" w:cs="Times New Roman"/>
      <w:szCs w:val="20"/>
      <w:lang w:eastAsia="en-US"/>
    </w:rPr>
  </w:style>
  <w:style w:type="paragraph" w:styleId="PlainText">
    <w:name w:val="Plain Text"/>
    <w:link w:val="PlainTextChar"/>
    <w:rsid w:val="00E934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Courier New" w:hAnsi="Courier New" w:cs="Courier New"/>
      <w:color w:val="000000"/>
      <w:sz w:val="20"/>
      <w:szCs w:val="20"/>
      <w:bdr w:val="nil"/>
      <w:lang w:eastAsia="en-US"/>
    </w:rPr>
  </w:style>
  <w:style w:type="character" w:customStyle="1" w:styleId="PlainTextChar">
    <w:name w:val="Plain Text Char"/>
    <w:basedOn w:val="DefaultParagraphFont"/>
    <w:link w:val="PlainText"/>
    <w:rsid w:val="00E93420"/>
    <w:rPr>
      <w:rFonts w:ascii="Courier New" w:eastAsia="Courier New" w:hAnsi="Courier New" w:cs="Courier New"/>
      <w:color w:val="000000"/>
      <w:sz w:val="20"/>
      <w:szCs w:val="20"/>
      <w:bdr w:val="nil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420"/>
    <w:rPr>
      <w:smallCaps/>
      <w:color w:val="5A5A5A" w:themeColor="text1" w:themeTint="A5"/>
    </w:rPr>
  </w:style>
  <w:style w:type="paragraph" w:customStyle="1" w:styleId="BATitle">
    <w:name w:val="BA_Title"/>
    <w:basedOn w:val="Normal"/>
    <w:next w:val="BBAuthorName"/>
    <w:rsid w:val="00E93420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E93420"/>
    <w:pPr>
      <w:spacing w:after="240" w:line="480" w:lineRule="auto"/>
      <w:jc w:val="center"/>
    </w:pPr>
    <w:rPr>
      <w:rFonts w:ascii="Times" w:eastAsia="Times New Roman" w:hAnsi="Times" w:cs="Times New Roman"/>
      <w:i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E93420"/>
    <w:pPr>
      <w:spacing w:after="240" w:line="480" w:lineRule="auto"/>
      <w:jc w:val="center"/>
    </w:pPr>
    <w:rPr>
      <w:rFonts w:ascii="Times" w:eastAsia="Times New Roman" w:hAnsi="Times" w:cs="Times New Roman"/>
      <w:szCs w:val="20"/>
      <w:lang w:eastAsia="en-US"/>
    </w:rPr>
  </w:style>
  <w:style w:type="paragraph" w:customStyle="1" w:styleId="BGKeywords">
    <w:name w:val="BG_Keywords"/>
    <w:basedOn w:val="Normal"/>
    <w:rsid w:val="00E93420"/>
    <w:pPr>
      <w:spacing w:after="200" w:line="480" w:lineRule="auto"/>
      <w:jc w:val="both"/>
    </w:pPr>
    <w:rPr>
      <w:rFonts w:ascii="Times" w:eastAsia="Times New Roman" w:hAnsi="Times" w:cs="Times New Roman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93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072D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2DB"/>
  </w:style>
  <w:style w:type="paragraph" w:styleId="Footer">
    <w:name w:val="footer"/>
    <w:basedOn w:val="Normal"/>
    <w:link w:val="FooterChar"/>
    <w:uiPriority w:val="99"/>
    <w:unhideWhenUsed/>
    <w:rsid w:val="00D072D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Li Wan</dc:creator>
  <cp:keywords/>
  <dc:description/>
  <cp:lastModifiedBy>Wan, Li</cp:lastModifiedBy>
  <cp:revision>3</cp:revision>
  <dcterms:created xsi:type="dcterms:W3CDTF">2019-11-06T20:28:00Z</dcterms:created>
  <dcterms:modified xsi:type="dcterms:W3CDTF">2020-08-23T18:36:00Z</dcterms:modified>
</cp:coreProperties>
</file>