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1E4" w:rsidRDefault="00964F94">
      <w:pPr>
        <w:rPr>
          <w:b/>
        </w:rPr>
      </w:pPr>
      <w:r w:rsidRPr="00964F94">
        <w:rPr>
          <w:b/>
        </w:rPr>
        <w:t>SUPPLEMENTARY INFORMATION</w:t>
      </w:r>
    </w:p>
    <w:p w:rsidR="008F31E4" w:rsidRDefault="008F31E4">
      <w:pPr>
        <w:rPr>
          <w:b/>
        </w:rPr>
      </w:pPr>
    </w:p>
    <w:p w:rsidR="008F31E4" w:rsidRPr="00CC493B" w:rsidRDefault="008F31E4" w:rsidP="008F31E4">
      <w:pPr>
        <w:spacing w:line="480" w:lineRule="auto"/>
        <w:rPr>
          <w:rFonts w:ascii="Arial" w:hAnsi="Arial" w:cs="Arial"/>
        </w:rPr>
      </w:pPr>
      <w:r w:rsidRPr="00CC493B">
        <w:rPr>
          <w:rFonts w:ascii="Arial" w:hAnsi="Arial" w:cs="Arial"/>
        </w:rPr>
        <w:t>Behavioral and neurophysiological taste responses to sweet and salt are diminished in a model of subclinical intestinal inflammation</w:t>
      </w:r>
    </w:p>
    <w:p w:rsidR="008F31E4" w:rsidRPr="00CC493B" w:rsidRDefault="008F31E4" w:rsidP="008F31E4">
      <w:pPr>
        <w:spacing w:line="480" w:lineRule="auto"/>
        <w:rPr>
          <w:rFonts w:ascii="Arial" w:hAnsi="Arial" w:cs="Arial"/>
        </w:rPr>
      </w:pPr>
    </w:p>
    <w:p w:rsidR="008F31E4" w:rsidRPr="00CC493B" w:rsidRDefault="008F31E4" w:rsidP="008F31E4">
      <w:pPr>
        <w:spacing w:line="480" w:lineRule="auto"/>
        <w:rPr>
          <w:rFonts w:ascii="Arial" w:hAnsi="Arial" w:cs="Arial"/>
        </w:rPr>
      </w:pPr>
      <w:r w:rsidRPr="00CC493B">
        <w:rPr>
          <w:rFonts w:ascii="Arial" w:hAnsi="Arial" w:cs="Arial"/>
        </w:rPr>
        <w:t>David W. Pittman</w:t>
      </w:r>
      <w:r w:rsidRPr="00CC493B">
        <w:rPr>
          <w:rFonts w:ascii="Arial" w:hAnsi="Arial" w:cs="Arial"/>
          <w:vertAlign w:val="superscript"/>
        </w:rPr>
        <w:t>1</w:t>
      </w:r>
      <w:r w:rsidRPr="00CC493B">
        <w:rPr>
          <w:rFonts w:ascii="Arial" w:hAnsi="Arial" w:cs="Arial"/>
        </w:rPr>
        <w:t xml:space="preserve">, </w:t>
      </w:r>
      <w:proofErr w:type="spellStart"/>
      <w:r w:rsidRPr="00CC493B">
        <w:rPr>
          <w:rFonts w:ascii="Arial" w:hAnsi="Arial" w:cs="Arial"/>
        </w:rPr>
        <w:t>Guangkuo</w:t>
      </w:r>
      <w:proofErr w:type="spellEnd"/>
      <w:r w:rsidRPr="00CC493B">
        <w:rPr>
          <w:rFonts w:ascii="Arial" w:hAnsi="Arial" w:cs="Arial"/>
        </w:rPr>
        <w:t xml:space="preserve"> Dong</w:t>
      </w:r>
      <w:r w:rsidRPr="00CC493B">
        <w:rPr>
          <w:rFonts w:ascii="Arial" w:hAnsi="Arial" w:cs="Arial"/>
          <w:vertAlign w:val="superscript"/>
        </w:rPr>
        <w:t>2</w:t>
      </w:r>
      <w:r w:rsidRPr="00CC493B">
        <w:rPr>
          <w:rFonts w:ascii="Arial" w:hAnsi="Arial" w:cs="Arial"/>
        </w:rPr>
        <w:t>, Alexandra M. Brantly</w:t>
      </w:r>
      <w:r w:rsidRPr="00CC493B">
        <w:rPr>
          <w:rFonts w:ascii="Arial" w:hAnsi="Arial" w:cs="Arial"/>
          <w:vertAlign w:val="superscript"/>
        </w:rPr>
        <w:t>1</w:t>
      </w:r>
      <w:r w:rsidRPr="00CC493B">
        <w:t xml:space="preserve">, </w:t>
      </w:r>
      <w:proofErr w:type="spellStart"/>
      <w:r w:rsidRPr="00CC493B">
        <w:rPr>
          <w:rFonts w:ascii="Arial" w:hAnsi="Arial" w:cs="Arial"/>
        </w:rPr>
        <w:t>Lianying</w:t>
      </w:r>
      <w:proofErr w:type="spellEnd"/>
      <w:r w:rsidRPr="00CC493B">
        <w:rPr>
          <w:rFonts w:ascii="Arial" w:hAnsi="Arial" w:cs="Arial"/>
        </w:rPr>
        <w:t xml:space="preserve"> He</w:t>
      </w:r>
      <w:r w:rsidRPr="00CC493B">
        <w:rPr>
          <w:rFonts w:ascii="Arial" w:hAnsi="Arial" w:cs="Arial"/>
          <w:vertAlign w:val="superscript"/>
        </w:rPr>
        <w:t>3</w:t>
      </w:r>
      <w:r w:rsidRPr="00CC493B">
        <w:rPr>
          <w:rFonts w:ascii="Arial" w:hAnsi="Arial" w:cs="Arial"/>
        </w:rPr>
        <w:t>, Tyler S. Nelson</w:t>
      </w:r>
      <w:r w:rsidRPr="00CC493B">
        <w:rPr>
          <w:rFonts w:ascii="Arial" w:hAnsi="Arial" w:cs="Arial"/>
          <w:vertAlign w:val="superscript"/>
        </w:rPr>
        <w:t>1</w:t>
      </w:r>
      <w:r w:rsidRPr="00CC493B">
        <w:rPr>
          <w:rFonts w:ascii="Arial" w:hAnsi="Arial" w:cs="Arial"/>
        </w:rPr>
        <w:t>, Schuyler Kogan</w:t>
      </w:r>
      <w:r w:rsidRPr="00CC493B">
        <w:rPr>
          <w:rFonts w:ascii="Arial" w:hAnsi="Arial" w:cs="Arial"/>
          <w:vertAlign w:val="superscript"/>
        </w:rPr>
        <w:t>2</w:t>
      </w:r>
      <w:r w:rsidRPr="00CC493B">
        <w:rPr>
          <w:rFonts w:ascii="Arial" w:hAnsi="Arial" w:cs="Arial"/>
        </w:rPr>
        <w:t>, Julia Powell</w:t>
      </w:r>
      <w:r w:rsidRPr="00CC493B">
        <w:rPr>
          <w:rFonts w:ascii="Arial" w:hAnsi="Arial" w:cs="Arial"/>
          <w:vertAlign w:val="superscript"/>
        </w:rPr>
        <w:t>2</w:t>
      </w:r>
      <w:r w:rsidRPr="00CC493B">
        <w:rPr>
          <w:rFonts w:ascii="Arial" w:hAnsi="Arial" w:cs="Arial"/>
        </w:rPr>
        <w:t xml:space="preserve"> and **Lynnette Phillips McCluskey</w:t>
      </w:r>
      <w:r w:rsidRPr="00CC493B">
        <w:rPr>
          <w:rFonts w:ascii="Arial" w:hAnsi="Arial" w:cs="Arial"/>
          <w:vertAlign w:val="superscript"/>
        </w:rPr>
        <w:t>2</w:t>
      </w:r>
    </w:p>
    <w:p w:rsidR="00925A86" w:rsidRDefault="00925A86">
      <w:pPr>
        <w:rPr>
          <w:b/>
        </w:rPr>
      </w:pPr>
    </w:p>
    <w:p w:rsidR="00925A86" w:rsidRPr="00CC493B" w:rsidRDefault="00925A86" w:rsidP="00925A86">
      <w:pPr>
        <w:tabs>
          <w:tab w:val="left" w:pos="4500"/>
        </w:tabs>
        <w:spacing w:line="480" w:lineRule="auto"/>
        <w:ind w:left="-90"/>
        <w:jc w:val="left"/>
        <w:rPr>
          <w:rFonts w:ascii="Arial" w:hAnsi="Arial" w:cs="Arial"/>
        </w:rPr>
      </w:pPr>
      <w:r w:rsidRPr="00CC493B">
        <w:rPr>
          <w:rFonts w:ascii="Arial" w:hAnsi="Arial" w:cs="Arial"/>
          <w:u w:val="single"/>
        </w:rPr>
        <w:t>Figure S1.</w:t>
      </w:r>
      <w:r w:rsidRPr="00CC493B">
        <w:rPr>
          <w:rFonts w:ascii="Arial" w:hAnsi="Arial" w:cs="Arial"/>
        </w:rPr>
        <w:t xml:space="preserve"> Average standardized lick ratios (± S.E.M.) during bri</w:t>
      </w:r>
      <w:r>
        <w:rPr>
          <w:rFonts w:ascii="Arial" w:hAnsi="Arial" w:cs="Arial"/>
        </w:rPr>
        <w:t xml:space="preserve">ef-access (30 s) trials for MSG </w:t>
      </w:r>
      <w:r w:rsidRPr="00CC493B">
        <w:rPr>
          <w:rFonts w:ascii="Arial" w:hAnsi="Arial" w:cs="Arial"/>
        </w:rPr>
        <w:t xml:space="preserve">(A rats n = 13 / group; B mice n = 8 / group), quinine (C rats; D mice) and </w:t>
      </w:r>
      <w:proofErr w:type="spellStart"/>
      <w:r w:rsidRPr="00CC493B">
        <w:rPr>
          <w:rFonts w:ascii="Arial" w:hAnsi="Arial" w:cs="Arial"/>
        </w:rPr>
        <w:t>NaCl</w:t>
      </w:r>
      <w:proofErr w:type="spellEnd"/>
      <w:r w:rsidRPr="00CC493B">
        <w:rPr>
          <w:rFonts w:ascii="Arial" w:hAnsi="Arial" w:cs="Arial"/>
        </w:rPr>
        <w:t xml:space="preserve"> (E rats).  </w:t>
      </w:r>
    </w:p>
    <w:p w:rsidR="00925A86" w:rsidRPr="00CC493B" w:rsidRDefault="00925A86" w:rsidP="00925A86">
      <w:pPr>
        <w:spacing w:line="480" w:lineRule="auto"/>
        <w:ind w:left="-90"/>
        <w:jc w:val="left"/>
        <w:rPr>
          <w:rFonts w:ascii="Arial" w:hAnsi="Arial" w:cs="Arial"/>
        </w:rPr>
      </w:pPr>
      <w:r w:rsidRPr="00CC493B">
        <w:rPr>
          <w:rFonts w:ascii="Arial" w:hAnsi="Arial" w:cs="Arial"/>
          <w:u w:val="single"/>
        </w:rPr>
        <w:t>Figure S2</w:t>
      </w:r>
      <w:r w:rsidRPr="00CC493B">
        <w:rPr>
          <w:rFonts w:ascii="Arial" w:hAnsi="Arial" w:cs="Arial"/>
        </w:rPr>
        <w:t xml:space="preserve">. Body weight and food intake over time following enteral treatment. There were no significant differences in (A) body weight or (B) food intake in mice </w:t>
      </w:r>
      <w:proofErr w:type="spellStart"/>
      <w:r w:rsidRPr="00CC493B">
        <w:rPr>
          <w:rFonts w:ascii="Arial" w:hAnsi="Arial" w:cs="Arial"/>
        </w:rPr>
        <w:t>gavaged</w:t>
      </w:r>
      <w:proofErr w:type="spellEnd"/>
      <w:r w:rsidRPr="00CC493B">
        <w:rPr>
          <w:rFonts w:ascii="Arial" w:hAnsi="Arial" w:cs="Arial"/>
        </w:rPr>
        <w:t xml:space="preserve"> weekly with LPS (n = 6) compared to water (n = 6), though there was a significant effect of time on body weight in both groups as described in the text. Arrows indicate days on which mice were </w:t>
      </w:r>
      <w:proofErr w:type="spellStart"/>
      <w:r w:rsidRPr="00CC493B">
        <w:rPr>
          <w:rFonts w:ascii="Arial" w:hAnsi="Arial" w:cs="Arial"/>
        </w:rPr>
        <w:t>gavaged</w:t>
      </w:r>
      <w:proofErr w:type="spellEnd"/>
      <w:r w:rsidRPr="00CC493B">
        <w:rPr>
          <w:rFonts w:ascii="Arial" w:hAnsi="Arial" w:cs="Arial"/>
        </w:rPr>
        <w:t>.</w:t>
      </w:r>
    </w:p>
    <w:p w:rsidR="00925A86" w:rsidRPr="00964F94" w:rsidRDefault="00925A86" w:rsidP="00925A86">
      <w:pPr>
        <w:jc w:val="left"/>
        <w:rPr>
          <w:b/>
        </w:rPr>
      </w:pPr>
      <w:bookmarkStart w:id="0" w:name="_GoBack"/>
      <w:bookmarkEnd w:id="0"/>
    </w:p>
    <w:sectPr w:rsidR="00925A86" w:rsidRPr="00964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F94"/>
    <w:rsid w:val="0001680D"/>
    <w:rsid w:val="00606A97"/>
    <w:rsid w:val="008F31E4"/>
    <w:rsid w:val="00925A86"/>
    <w:rsid w:val="0096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3A40D5-41BB-419B-8557-12A1EBD8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5A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Augusta University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McCluskey, Lynnette</dc:creator>
  <cp:keywords/>
  <dc:description/>
  <cp:lastModifiedBy>McCluskey, Lynnette</cp:lastModifiedBy>
  <cp:revision>4</cp:revision>
  <dcterms:created xsi:type="dcterms:W3CDTF">2020-09-10T11:43:00Z</dcterms:created>
  <dcterms:modified xsi:type="dcterms:W3CDTF">2020-09-10T13:08:00Z</dcterms:modified>
</cp:coreProperties>
</file>