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FF65B" w14:textId="77777777" w:rsidR="00686502" w:rsidRPr="00771175" w:rsidRDefault="00686502" w:rsidP="00686502">
      <w:pPr>
        <w:rPr>
          <w:sz w:val="32"/>
          <w:szCs w:val="32"/>
        </w:rPr>
      </w:pPr>
      <w:r w:rsidRPr="00771175">
        <w:rPr>
          <w:sz w:val="32"/>
          <w:szCs w:val="32"/>
        </w:rPr>
        <w:t xml:space="preserve">Disruption of </w:t>
      </w:r>
      <w:r>
        <w:rPr>
          <w:sz w:val="32"/>
          <w:szCs w:val="32"/>
        </w:rPr>
        <w:t xml:space="preserve">Tip60 HAT </w:t>
      </w:r>
      <w:r w:rsidRPr="00771175">
        <w:rPr>
          <w:sz w:val="32"/>
          <w:szCs w:val="32"/>
        </w:rPr>
        <w:t>mediated neural histone acetylation homeostasis is an early common event in neurodegenerative disease</w:t>
      </w:r>
      <w:r>
        <w:rPr>
          <w:sz w:val="32"/>
          <w:szCs w:val="32"/>
        </w:rPr>
        <w:t>s</w:t>
      </w:r>
    </w:p>
    <w:p w14:paraId="6CEADF17" w14:textId="77777777" w:rsidR="00686502" w:rsidRDefault="00686502" w:rsidP="00686502">
      <w:pPr>
        <w:spacing w:line="480" w:lineRule="auto"/>
        <w:ind w:right="-720" w:firstLine="720"/>
        <w:rPr>
          <w:rFonts w:cs="Arial"/>
          <w:color w:val="000000" w:themeColor="text1"/>
          <w:sz w:val="28"/>
          <w:szCs w:val="28"/>
        </w:rPr>
      </w:pPr>
    </w:p>
    <w:p w14:paraId="097D73FD" w14:textId="2CD7637D" w:rsidR="00686502" w:rsidRDefault="00686502" w:rsidP="00686502">
      <w:pPr>
        <w:ind w:right="-720"/>
        <w:rPr>
          <w:color w:val="000000" w:themeColor="text1"/>
          <w:sz w:val="28"/>
          <w:szCs w:val="28"/>
          <w:vertAlign w:val="superscript"/>
        </w:rPr>
      </w:pPr>
      <w:r>
        <w:rPr>
          <w:rFonts w:cs="Arial"/>
          <w:color w:val="000000" w:themeColor="text1"/>
          <w:sz w:val="28"/>
          <w:szCs w:val="28"/>
        </w:rPr>
        <w:t>Mariah Beaver</w:t>
      </w:r>
      <w:r>
        <w:rPr>
          <w:rFonts w:cs="Arial"/>
          <w:color w:val="000000" w:themeColor="text1"/>
          <w:sz w:val="28"/>
          <w:szCs w:val="28"/>
          <w:vertAlign w:val="superscript"/>
        </w:rPr>
        <w:t>1,+</w:t>
      </w:r>
      <w:r>
        <w:rPr>
          <w:rFonts w:cs="Arial"/>
          <w:color w:val="000000" w:themeColor="text1"/>
          <w:sz w:val="28"/>
          <w:szCs w:val="28"/>
        </w:rPr>
        <w:t xml:space="preserve"> and Akanksha Bhatnagar</w:t>
      </w:r>
      <w:r>
        <w:rPr>
          <w:rFonts w:cs="Arial"/>
          <w:color w:val="000000" w:themeColor="text1"/>
          <w:sz w:val="28"/>
          <w:szCs w:val="28"/>
          <w:vertAlign w:val="superscript"/>
        </w:rPr>
        <w:t>1,</w:t>
      </w:r>
      <w:r w:rsidRPr="00A246A9">
        <w:rPr>
          <w:rFonts w:cs="Arial"/>
          <w:color w:val="000000" w:themeColor="text1"/>
          <w:sz w:val="28"/>
          <w:szCs w:val="28"/>
          <w:vertAlign w:val="superscript"/>
        </w:rPr>
        <w:t>+</w:t>
      </w:r>
      <w:r>
        <w:rPr>
          <w:rFonts w:cs="Arial"/>
          <w:color w:val="000000" w:themeColor="text1"/>
          <w:sz w:val="28"/>
          <w:szCs w:val="28"/>
        </w:rPr>
        <w:t xml:space="preserve">, </w:t>
      </w:r>
      <w:proofErr w:type="spellStart"/>
      <w:r w:rsidRPr="009A2CFA">
        <w:rPr>
          <w:rFonts w:cs="Arial"/>
          <w:color w:val="000000" w:themeColor="text1"/>
          <w:sz w:val="28"/>
          <w:szCs w:val="28"/>
        </w:rPr>
        <w:t>Priyalakshmi</w:t>
      </w:r>
      <w:proofErr w:type="spellEnd"/>
      <w:r w:rsidRPr="009A2CFA">
        <w:rPr>
          <w:rFonts w:cs="Arial"/>
          <w:color w:val="000000" w:themeColor="text1"/>
          <w:sz w:val="28"/>
          <w:szCs w:val="28"/>
        </w:rPr>
        <w:t xml:space="preserve"> </w:t>
      </w:r>
      <w:r w:rsidRPr="009A2CFA">
        <w:rPr>
          <w:rFonts w:cs="Arial"/>
          <w:color w:val="000000" w:themeColor="text1"/>
          <w:sz w:val="28"/>
          <w:szCs w:val="28"/>
          <w:shd w:val="clear" w:color="auto" w:fill="FFFFFF"/>
        </w:rPr>
        <w:t>Panikker</w:t>
      </w:r>
      <w:r>
        <w:rPr>
          <w:rFonts w:cs="Arial"/>
          <w:color w:val="000000" w:themeColor="text1"/>
          <w:sz w:val="28"/>
          <w:szCs w:val="28"/>
          <w:vertAlign w:val="superscript"/>
        </w:rPr>
        <w:t>1,</w:t>
      </w:r>
      <w:r w:rsidRPr="009A2CFA">
        <w:rPr>
          <w:rFonts w:ascii="Cambria" w:hAnsi="Cambria"/>
          <w:color w:val="000000" w:themeColor="text1"/>
          <w:sz w:val="28"/>
          <w:szCs w:val="28"/>
          <w:vertAlign w:val="superscript"/>
        </w:rPr>
        <w:t>¶</w:t>
      </w:r>
      <w:r w:rsidRPr="009A2CFA">
        <w:rPr>
          <w:color w:val="000000" w:themeColor="text1"/>
          <w:sz w:val="28"/>
          <w:szCs w:val="28"/>
        </w:rPr>
        <w:t xml:space="preserve">, </w:t>
      </w:r>
      <w:proofErr w:type="spellStart"/>
      <w:r w:rsidRPr="009A2CFA">
        <w:rPr>
          <w:color w:val="000000" w:themeColor="text1"/>
          <w:sz w:val="28"/>
          <w:szCs w:val="28"/>
        </w:rPr>
        <w:t>Haolin</w:t>
      </w:r>
      <w:proofErr w:type="spellEnd"/>
      <w:r w:rsidRPr="009A2CFA">
        <w:rPr>
          <w:color w:val="000000" w:themeColor="text1"/>
          <w:sz w:val="28"/>
          <w:szCs w:val="28"/>
        </w:rPr>
        <w:t xml:space="preserve"> Zhang</w:t>
      </w:r>
      <w:r>
        <w:rPr>
          <w:rFonts w:cs="Arial"/>
          <w:color w:val="000000" w:themeColor="text1"/>
          <w:sz w:val="28"/>
          <w:szCs w:val="28"/>
          <w:vertAlign w:val="superscript"/>
        </w:rPr>
        <w:t>1,</w:t>
      </w:r>
      <w:r w:rsidRPr="009A2CFA">
        <w:rPr>
          <w:rFonts w:ascii="Cambria" w:hAnsi="Cambria"/>
          <w:color w:val="000000" w:themeColor="text1"/>
          <w:sz w:val="28"/>
          <w:szCs w:val="28"/>
          <w:vertAlign w:val="superscript"/>
        </w:rPr>
        <w:t>¶</w:t>
      </w:r>
      <w:r w:rsidRPr="009A2CFA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Renee Snook</w:t>
      </w:r>
      <w:r>
        <w:rPr>
          <w:rFonts w:cs="Arial"/>
          <w:color w:val="000000" w:themeColor="text1"/>
          <w:sz w:val="28"/>
          <w:szCs w:val="28"/>
          <w:vertAlign w:val="superscript"/>
        </w:rPr>
        <w:t>1</w:t>
      </w:r>
      <w:r>
        <w:rPr>
          <w:color w:val="000000" w:themeColor="text1"/>
          <w:sz w:val="28"/>
          <w:szCs w:val="28"/>
        </w:rPr>
        <w:t xml:space="preserve">, </w:t>
      </w:r>
      <w:r w:rsidRPr="009A2CFA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Visha</w:t>
      </w:r>
      <w:proofErr w:type="spellEnd"/>
      <w:r>
        <w:rPr>
          <w:color w:val="000000" w:themeColor="text1"/>
          <w:sz w:val="28"/>
          <w:szCs w:val="28"/>
        </w:rPr>
        <w:t xml:space="preserve"> Parmar</w:t>
      </w:r>
      <w:r>
        <w:rPr>
          <w:rFonts w:cs="Arial"/>
          <w:color w:val="000000" w:themeColor="text1"/>
          <w:sz w:val="28"/>
          <w:szCs w:val="28"/>
          <w:vertAlign w:val="superscript"/>
        </w:rPr>
        <w:t>1</w:t>
      </w:r>
      <w:r>
        <w:rPr>
          <w:color w:val="000000" w:themeColor="text1"/>
          <w:sz w:val="28"/>
          <w:szCs w:val="28"/>
        </w:rPr>
        <w:t>, Gayathri Vijayakumar</w:t>
      </w:r>
      <w:r>
        <w:rPr>
          <w:rFonts w:cs="Arial"/>
          <w:color w:val="000000" w:themeColor="text1"/>
          <w:sz w:val="28"/>
          <w:szCs w:val="28"/>
          <w:vertAlign w:val="superscript"/>
        </w:rPr>
        <w:t>1</w:t>
      </w:r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Nitheesha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Pr="00A246A9">
        <w:rPr>
          <w:sz w:val="28"/>
          <w:szCs w:val="28"/>
        </w:rPr>
        <w:t>Betini</w:t>
      </w:r>
      <w:r>
        <w:rPr>
          <w:rFonts w:cs="Arial"/>
          <w:color w:val="000000" w:themeColor="text1"/>
          <w:sz w:val="28"/>
          <w:szCs w:val="28"/>
          <w:vertAlign w:val="superscript"/>
        </w:rPr>
        <w:t>1</w:t>
      </w:r>
      <w:r w:rsidRPr="00A246A9">
        <w:rPr>
          <w:sz w:val="28"/>
          <w:szCs w:val="28"/>
        </w:rPr>
        <w:t xml:space="preserve">, </w:t>
      </w:r>
      <w:proofErr w:type="spellStart"/>
      <w:r w:rsidRPr="00A246A9">
        <w:rPr>
          <w:sz w:val="28"/>
          <w:szCs w:val="28"/>
        </w:rPr>
        <w:t>Sunya</w:t>
      </w:r>
      <w:proofErr w:type="spellEnd"/>
      <w:r w:rsidRPr="00A246A9">
        <w:rPr>
          <w:sz w:val="28"/>
          <w:szCs w:val="28"/>
        </w:rPr>
        <w:t xml:space="preserve"> Akhter</w:t>
      </w:r>
      <w:r>
        <w:rPr>
          <w:rFonts w:cs="Arial"/>
          <w:color w:val="000000" w:themeColor="text1"/>
          <w:sz w:val="28"/>
          <w:szCs w:val="28"/>
          <w:vertAlign w:val="superscript"/>
        </w:rPr>
        <w:t>1</w:t>
      </w:r>
      <w:r w:rsidRPr="009A2CFA">
        <w:rPr>
          <w:color w:val="000000" w:themeColor="text1"/>
          <w:sz w:val="28"/>
          <w:szCs w:val="28"/>
        </w:rPr>
        <w:t xml:space="preserve"> and Felice Elefant</w:t>
      </w:r>
      <w:r>
        <w:rPr>
          <w:rFonts w:cs="Arial"/>
          <w:color w:val="000000" w:themeColor="text1"/>
          <w:sz w:val="28"/>
          <w:szCs w:val="28"/>
          <w:vertAlign w:val="superscript"/>
        </w:rPr>
        <w:t>1,</w:t>
      </w:r>
      <w:r w:rsidRPr="009A2CFA">
        <w:rPr>
          <w:color w:val="000000" w:themeColor="text1"/>
          <w:sz w:val="28"/>
          <w:szCs w:val="28"/>
          <w:vertAlign w:val="superscript"/>
        </w:rPr>
        <w:t>*</w:t>
      </w:r>
    </w:p>
    <w:p w14:paraId="5E107D30" w14:textId="399F7EEB" w:rsidR="00686502" w:rsidRDefault="00686502" w:rsidP="00686502">
      <w:pPr>
        <w:ind w:right="-720"/>
        <w:rPr>
          <w:color w:val="000000" w:themeColor="text1"/>
          <w:sz w:val="28"/>
          <w:szCs w:val="28"/>
          <w:vertAlign w:val="superscript"/>
        </w:rPr>
      </w:pPr>
    </w:p>
    <w:p w14:paraId="36D4C71A" w14:textId="77777777" w:rsidR="00686502" w:rsidRPr="00A246A9" w:rsidRDefault="00686502" w:rsidP="00686502">
      <w:pPr>
        <w:ind w:right="-720"/>
        <w:rPr>
          <w:color w:val="000000" w:themeColor="text1"/>
          <w:sz w:val="28"/>
          <w:szCs w:val="28"/>
        </w:rPr>
      </w:pPr>
    </w:p>
    <w:p w14:paraId="701D0217" w14:textId="77777777" w:rsidR="0041429E" w:rsidRDefault="0041429E" w:rsidP="0041429E">
      <w:pPr>
        <w:jc w:val="both"/>
        <w:rPr>
          <w:b/>
          <w:bCs/>
          <w:color w:val="000000" w:themeColor="text1"/>
          <w:sz w:val="28"/>
          <w:szCs w:val="28"/>
        </w:rPr>
      </w:pPr>
      <w:r w:rsidRPr="0082704E">
        <w:rPr>
          <w:b/>
          <w:bCs/>
          <w:color w:val="000000" w:themeColor="text1"/>
          <w:sz w:val="28"/>
          <w:szCs w:val="28"/>
        </w:rPr>
        <w:t xml:space="preserve">Supplementary </w:t>
      </w:r>
      <w:r>
        <w:rPr>
          <w:b/>
          <w:bCs/>
          <w:color w:val="000000" w:themeColor="text1"/>
          <w:sz w:val="28"/>
          <w:szCs w:val="28"/>
        </w:rPr>
        <w:t>Data</w:t>
      </w:r>
    </w:p>
    <w:p w14:paraId="23E61961" w14:textId="77777777" w:rsidR="0041429E" w:rsidRDefault="0041429E" w:rsidP="0041429E">
      <w:pPr>
        <w:jc w:val="both"/>
        <w:rPr>
          <w:color w:val="000000" w:themeColor="text1"/>
        </w:rPr>
      </w:pPr>
    </w:p>
    <w:p w14:paraId="4D685CCE" w14:textId="77777777" w:rsidR="0041429E" w:rsidRDefault="0041429E" w:rsidP="0041429E">
      <w:pPr>
        <w:jc w:val="both"/>
        <w:rPr>
          <w:rFonts w:ascii="TimesNewRomanPS" w:hAnsi="TimesNewRomanP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2999"/>
        <w:gridCol w:w="3235"/>
      </w:tblGrid>
      <w:tr w:rsidR="0041429E" w14:paraId="5ABC28B6" w14:textId="77777777" w:rsidTr="00C2593A">
        <w:tc>
          <w:tcPr>
            <w:tcW w:w="3116" w:type="dxa"/>
            <w:vAlign w:val="center"/>
          </w:tcPr>
          <w:p w14:paraId="37BD1803" w14:textId="77777777" w:rsidR="0041429E" w:rsidRDefault="0041429E" w:rsidP="00C2593A">
            <w:pPr>
              <w:jc w:val="center"/>
              <w:rPr>
                <w:b/>
                <w:bCs/>
                <w:color w:val="000000" w:themeColor="text1"/>
              </w:rPr>
            </w:pPr>
            <w:r w:rsidRPr="0082704E">
              <w:rPr>
                <w:color w:val="000000" w:themeColor="text1"/>
              </w:rPr>
              <w:t>Genotype</w:t>
            </w:r>
          </w:p>
        </w:tc>
        <w:tc>
          <w:tcPr>
            <w:tcW w:w="2999" w:type="dxa"/>
            <w:vAlign w:val="center"/>
          </w:tcPr>
          <w:p w14:paraId="6C4F0860" w14:textId="77777777" w:rsidR="0041429E" w:rsidRPr="0082704E" w:rsidRDefault="0041429E" w:rsidP="00C2593A">
            <w:pPr>
              <w:jc w:val="center"/>
              <w:rPr>
                <w:color w:val="000000" w:themeColor="text1"/>
              </w:rPr>
            </w:pPr>
            <w:r w:rsidRPr="0082704E">
              <w:rPr>
                <w:color w:val="000000" w:themeColor="text1"/>
              </w:rPr>
              <w:fldChar w:fldCharType="begin"/>
            </w:r>
            <w:r w:rsidRPr="0082704E">
              <w:rPr>
                <w:color w:val="000000" w:themeColor="text1"/>
              </w:rPr>
              <w:instrText xml:space="preserve"> INCLUDEPICTURE "/var/folders/57/2qgn13p92mbbfjwvy6_wsh340000gn/T/com.microsoft.Word/WebArchiveCopyPasteTempFiles/page120image58234496" \* MERGEFORMATINET </w:instrText>
            </w:r>
            <w:r w:rsidRPr="0082704E">
              <w:rPr>
                <w:color w:val="000000" w:themeColor="text1"/>
              </w:rPr>
              <w:fldChar w:fldCharType="separate"/>
            </w:r>
            <w:r w:rsidRPr="0082704E">
              <w:rPr>
                <w:noProof/>
                <w:color w:val="000000" w:themeColor="text1"/>
              </w:rPr>
              <w:drawing>
                <wp:inline distT="0" distB="0" distL="0" distR="0" wp14:anchorId="5D800134" wp14:editId="12BB1E81">
                  <wp:extent cx="12065" cy="12065"/>
                  <wp:effectExtent l="0" t="0" r="0" b="0"/>
                  <wp:docPr id="22" name="Picture 22" descr="page120image58234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20image58234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704E">
              <w:rPr>
                <w:color w:val="000000" w:themeColor="text1"/>
              </w:rPr>
              <w:fldChar w:fldCharType="end"/>
            </w:r>
            <w:r w:rsidRPr="0082704E">
              <w:rPr>
                <w:color w:val="000000" w:themeColor="text1"/>
              </w:rPr>
              <w:t>Olfactory response (LIN)</w:t>
            </w:r>
          </w:p>
        </w:tc>
        <w:tc>
          <w:tcPr>
            <w:tcW w:w="3235" w:type="dxa"/>
            <w:vAlign w:val="center"/>
          </w:tcPr>
          <w:p w14:paraId="2F012A2F" w14:textId="77777777" w:rsidR="0041429E" w:rsidRPr="0082704E" w:rsidRDefault="0041429E" w:rsidP="00C2593A">
            <w:pPr>
              <w:rPr>
                <w:color w:val="000000" w:themeColor="text1"/>
              </w:rPr>
            </w:pPr>
            <w:r w:rsidRPr="0082704E">
              <w:rPr>
                <w:color w:val="000000" w:themeColor="text1"/>
              </w:rPr>
              <w:t>Gustatory response (1M</w:t>
            </w:r>
            <w:r>
              <w:rPr>
                <w:color w:val="000000" w:themeColor="text1"/>
              </w:rPr>
              <w:t xml:space="preserve"> </w:t>
            </w:r>
            <w:r w:rsidRPr="0082704E">
              <w:rPr>
                <w:color w:val="000000" w:themeColor="text1"/>
              </w:rPr>
              <w:t>SUC)</w:t>
            </w:r>
            <w:r w:rsidRPr="0082704E">
              <w:rPr>
                <w:color w:val="000000" w:themeColor="text1"/>
              </w:rPr>
              <w:fldChar w:fldCharType="begin"/>
            </w:r>
            <w:r w:rsidRPr="0082704E">
              <w:rPr>
                <w:color w:val="000000" w:themeColor="text1"/>
              </w:rPr>
              <w:instrText xml:space="preserve"> INCLUDEPICTURE "/var/folders/57/2qgn13p92mbbfjwvy6_wsh340000gn/T/com.microsoft.Word/WebArchiveCopyPasteTempFiles/page120image58241408" \* MERGEFORMATINET </w:instrText>
            </w:r>
            <w:r w:rsidRPr="0082704E">
              <w:rPr>
                <w:color w:val="000000" w:themeColor="text1"/>
              </w:rPr>
              <w:fldChar w:fldCharType="separate"/>
            </w:r>
            <w:r w:rsidRPr="0082704E">
              <w:rPr>
                <w:noProof/>
                <w:color w:val="000000" w:themeColor="text1"/>
              </w:rPr>
              <w:drawing>
                <wp:inline distT="0" distB="0" distL="0" distR="0" wp14:anchorId="2F8E02F2" wp14:editId="7613CDB6">
                  <wp:extent cx="12065" cy="12065"/>
                  <wp:effectExtent l="0" t="0" r="0" b="0"/>
                  <wp:docPr id="19" name="Picture 19" descr="page120image5824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ge120image582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704E">
              <w:rPr>
                <w:color w:val="000000" w:themeColor="text1"/>
              </w:rPr>
              <w:fldChar w:fldCharType="end"/>
            </w:r>
          </w:p>
        </w:tc>
      </w:tr>
      <w:tr w:rsidR="0041429E" w14:paraId="48EF4A8A" w14:textId="77777777" w:rsidTr="00C2593A">
        <w:tc>
          <w:tcPr>
            <w:tcW w:w="3116" w:type="dxa"/>
            <w:vAlign w:val="center"/>
          </w:tcPr>
          <w:p w14:paraId="7F72AD93" w14:textId="460F614B" w:rsidR="0041429E" w:rsidRDefault="00825488" w:rsidP="00C2593A">
            <w:pPr>
              <w:jc w:val="both"/>
              <w:rPr>
                <w:b/>
                <w:bCs/>
                <w:color w:val="000000" w:themeColor="text1"/>
              </w:rPr>
            </w:pPr>
            <w:r>
              <w:rPr>
                <w:rFonts w:ascii="TimesNewRomanPSMT" w:hAnsi="TimesNewRomanPSMT"/>
                <w:position w:val="-10"/>
                <w:sz w:val="22"/>
                <w:szCs w:val="22"/>
              </w:rPr>
              <w:t>Control</w:t>
            </w:r>
          </w:p>
        </w:tc>
        <w:tc>
          <w:tcPr>
            <w:tcW w:w="2999" w:type="dxa"/>
            <w:vAlign w:val="center"/>
          </w:tcPr>
          <w:p w14:paraId="6D79C9F9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0.35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0.08 </w:t>
            </w:r>
          </w:p>
        </w:tc>
        <w:tc>
          <w:tcPr>
            <w:tcW w:w="3235" w:type="dxa"/>
            <w:vAlign w:val="center"/>
          </w:tcPr>
          <w:p w14:paraId="7446531C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0.67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0.17 </w:t>
            </w:r>
          </w:p>
        </w:tc>
      </w:tr>
      <w:tr w:rsidR="0041429E" w14:paraId="3797A337" w14:textId="77777777" w:rsidTr="00C2593A">
        <w:tc>
          <w:tcPr>
            <w:tcW w:w="3116" w:type="dxa"/>
            <w:vAlign w:val="center"/>
          </w:tcPr>
          <w:p w14:paraId="1F0B633B" w14:textId="1B53CBA4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Tip60 </w:t>
            </w:r>
          </w:p>
        </w:tc>
        <w:tc>
          <w:tcPr>
            <w:tcW w:w="2999" w:type="dxa"/>
            <w:vAlign w:val="center"/>
          </w:tcPr>
          <w:p w14:paraId="12EA92C5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0.23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>0.09</w:t>
            </w:r>
          </w:p>
        </w:tc>
        <w:tc>
          <w:tcPr>
            <w:tcW w:w="3235" w:type="dxa"/>
            <w:vAlign w:val="center"/>
          </w:tcPr>
          <w:p w14:paraId="4C0D5C38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0.55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0.06 </w:t>
            </w:r>
          </w:p>
        </w:tc>
      </w:tr>
      <w:tr w:rsidR="0041429E" w14:paraId="6590EAC0" w14:textId="77777777" w:rsidTr="00C2593A">
        <w:tc>
          <w:tcPr>
            <w:tcW w:w="3116" w:type="dxa"/>
            <w:vAlign w:val="center"/>
          </w:tcPr>
          <w:p w14:paraId="4F5D4AC6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Htt(128Q) </w:t>
            </w:r>
          </w:p>
        </w:tc>
        <w:tc>
          <w:tcPr>
            <w:tcW w:w="2999" w:type="dxa"/>
            <w:vAlign w:val="center"/>
          </w:tcPr>
          <w:p w14:paraId="490A66F2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0.27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0.18 </w:t>
            </w:r>
          </w:p>
        </w:tc>
        <w:tc>
          <w:tcPr>
            <w:tcW w:w="3235" w:type="dxa"/>
            <w:vAlign w:val="center"/>
          </w:tcPr>
          <w:p w14:paraId="2F1C23AA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0.53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0.05 </w:t>
            </w:r>
          </w:p>
        </w:tc>
      </w:tr>
      <w:tr w:rsidR="0041429E" w14:paraId="5D9BF8DC" w14:textId="77777777" w:rsidTr="00C2593A">
        <w:tc>
          <w:tcPr>
            <w:tcW w:w="3116" w:type="dxa"/>
            <w:vAlign w:val="center"/>
          </w:tcPr>
          <w:p w14:paraId="038AB839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Htt(128Q)/Tip60 </w:t>
            </w:r>
          </w:p>
        </w:tc>
        <w:tc>
          <w:tcPr>
            <w:tcW w:w="2999" w:type="dxa"/>
            <w:vAlign w:val="center"/>
          </w:tcPr>
          <w:p w14:paraId="7BCA0878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0.41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>0.15</w:t>
            </w:r>
          </w:p>
        </w:tc>
        <w:tc>
          <w:tcPr>
            <w:tcW w:w="3235" w:type="dxa"/>
            <w:vAlign w:val="center"/>
          </w:tcPr>
          <w:p w14:paraId="10B3D26A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0.58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0.02 </w:t>
            </w:r>
          </w:p>
        </w:tc>
      </w:tr>
      <w:tr w:rsidR="0041429E" w14:paraId="79CBDDF0" w14:textId="77777777" w:rsidTr="00C2593A">
        <w:tc>
          <w:tcPr>
            <w:tcW w:w="3116" w:type="dxa"/>
            <w:vAlign w:val="center"/>
          </w:tcPr>
          <w:p w14:paraId="43A6ED48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position w:val="-4"/>
                <w:sz w:val="22"/>
                <w:szCs w:val="22"/>
              </w:rPr>
              <w:t>SNCA</w:t>
            </w:r>
            <w:r w:rsidRPr="0082704E">
              <w:rPr>
                <w:rFonts w:ascii="TimesNewRomanPSMT" w:hAnsi="TimesNewRomanPSMT"/>
                <w:position w:val="4"/>
                <w:sz w:val="14"/>
                <w:szCs w:val="14"/>
              </w:rPr>
              <w:t xml:space="preserve">A30P </w:t>
            </w:r>
          </w:p>
        </w:tc>
        <w:tc>
          <w:tcPr>
            <w:tcW w:w="2999" w:type="dxa"/>
            <w:vAlign w:val="center"/>
          </w:tcPr>
          <w:p w14:paraId="75E9C96E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0.2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0.09 </w:t>
            </w:r>
          </w:p>
        </w:tc>
        <w:tc>
          <w:tcPr>
            <w:tcW w:w="3235" w:type="dxa"/>
            <w:vAlign w:val="center"/>
          </w:tcPr>
          <w:p w14:paraId="24E17ED8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0.57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0.27 </w:t>
            </w:r>
          </w:p>
        </w:tc>
      </w:tr>
      <w:tr w:rsidR="0041429E" w14:paraId="29B21A92" w14:textId="77777777" w:rsidTr="00C2593A">
        <w:tc>
          <w:tcPr>
            <w:tcW w:w="3116" w:type="dxa"/>
            <w:vAlign w:val="center"/>
          </w:tcPr>
          <w:p w14:paraId="1D0E263E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>SNCA</w:t>
            </w:r>
            <w:r w:rsidRPr="0082704E">
              <w:rPr>
                <w:rFonts w:ascii="TimesNewRomanPSMT" w:hAnsi="TimesNewRomanPSMT"/>
                <w:position w:val="10"/>
                <w:sz w:val="14"/>
                <w:szCs w:val="14"/>
              </w:rPr>
              <w:t>A30P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/Tip60 </w:t>
            </w:r>
          </w:p>
        </w:tc>
        <w:tc>
          <w:tcPr>
            <w:tcW w:w="2999" w:type="dxa"/>
            <w:vAlign w:val="center"/>
          </w:tcPr>
          <w:p w14:paraId="42DDDB49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0.26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0.07 </w:t>
            </w:r>
          </w:p>
        </w:tc>
        <w:tc>
          <w:tcPr>
            <w:tcW w:w="3235" w:type="dxa"/>
            <w:vAlign w:val="center"/>
          </w:tcPr>
          <w:p w14:paraId="5432534A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0.59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0.03 </w:t>
            </w:r>
          </w:p>
        </w:tc>
      </w:tr>
      <w:tr w:rsidR="0041429E" w14:paraId="79C513C0" w14:textId="77777777" w:rsidTr="00C2593A">
        <w:tc>
          <w:tcPr>
            <w:tcW w:w="3116" w:type="dxa"/>
            <w:vAlign w:val="center"/>
          </w:tcPr>
          <w:p w14:paraId="30B220F7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V ap-33-1 </w:t>
            </w:r>
          </w:p>
        </w:tc>
        <w:tc>
          <w:tcPr>
            <w:tcW w:w="2999" w:type="dxa"/>
            <w:vAlign w:val="center"/>
          </w:tcPr>
          <w:p w14:paraId="3CA779F9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fldChar w:fldCharType="begin"/>
            </w:r>
            <w:r w:rsidRPr="0082704E">
              <w:instrText xml:space="preserve"> INCLUDEPICTURE "/var/folders/57/2qgn13p92mbbfjwvy6_wsh340000gn/T/com.microsoft.Word/WebArchiveCopyPasteTempFiles/page120image58281728" \* MERGEFORMATINET </w:instrText>
            </w:r>
            <w:r w:rsidRPr="0082704E">
              <w:fldChar w:fldCharType="separate"/>
            </w:r>
            <w:r w:rsidRPr="0082704E">
              <w:rPr>
                <w:noProof/>
              </w:rPr>
              <w:drawing>
                <wp:inline distT="0" distB="0" distL="0" distR="0" wp14:anchorId="70C7AA1D" wp14:editId="36D60310">
                  <wp:extent cx="12065" cy="12065"/>
                  <wp:effectExtent l="0" t="0" r="0" b="0"/>
                  <wp:docPr id="23" name="Picture 23" descr="page120image58281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ge120image58281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704E">
              <w:fldChar w:fldCharType="end"/>
            </w: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0.30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>0.09</w:t>
            </w:r>
          </w:p>
        </w:tc>
        <w:tc>
          <w:tcPr>
            <w:tcW w:w="3235" w:type="dxa"/>
            <w:vAlign w:val="center"/>
          </w:tcPr>
          <w:p w14:paraId="7FFF21EA" w14:textId="77777777" w:rsidR="0041429E" w:rsidRDefault="0041429E" w:rsidP="00C2593A">
            <w:pPr>
              <w:jc w:val="both"/>
              <w:rPr>
                <w:b/>
                <w:bCs/>
                <w:color w:val="000000" w:themeColor="text1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 xml:space="preserve">0.60 </w:t>
            </w:r>
            <w:r w:rsidRPr="0082704E">
              <w:rPr>
                <w:rFonts w:ascii="SymbolMT" w:hAnsi="SymbolMT"/>
                <w:sz w:val="22"/>
                <w:szCs w:val="22"/>
              </w:rPr>
              <w:t xml:space="preserve">± </w:t>
            </w:r>
            <w:r w:rsidRPr="0082704E">
              <w:rPr>
                <w:rFonts w:ascii="TimesNewRomanPSMT" w:hAnsi="TimesNewRomanPSMT"/>
                <w:sz w:val="22"/>
                <w:szCs w:val="22"/>
              </w:rPr>
              <w:t>0.03</w:t>
            </w:r>
          </w:p>
        </w:tc>
      </w:tr>
      <w:tr w:rsidR="0041429E" w14:paraId="20BD9E2F" w14:textId="77777777" w:rsidTr="00C2593A">
        <w:tc>
          <w:tcPr>
            <w:tcW w:w="3116" w:type="dxa"/>
            <w:vAlign w:val="center"/>
          </w:tcPr>
          <w:p w14:paraId="1893B5CC" w14:textId="77777777" w:rsidR="0041429E" w:rsidRPr="0082704E" w:rsidRDefault="0041429E" w:rsidP="00C2593A">
            <w:pPr>
              <w:jc w:val="both"/>
              <w:rPr>
                <w:rFonts w:ascii="TimesNewRomanPSMT" w:hAnsi="TimesNewRomanPSMT"/>
                <w:sz w:val="22"/>
                <w:szCs w:val="22"/>
              </w:rPr>
            </w:pPr>
            <w:r w:rsidRPr="0082704E">
              <w:rPr>
                <w:rFonts w:ascii="TimesNewRomanPSMT" w:hAnsi="TimesNewRomanPSMT"/>
                <w:sz w:val="22"/>
                <w:szCs w:val="22"/>
              </w:rPr>
              <w:t>Vap-33-1/Tip60</w:t>
            </w:r>
          </w:p>
        </w:tc>
        <w:tc>
          <w:tcPr>
            <w:tcW w:w="2999" w:type="dxa"/>
            <w:vAlign w:val="center"/>
          </w:tcPr>
          <w:p w14:paraId="75B20F20" w14:textId="77777777" w:rsidR="0041429E" w:rsidRPr="0082704E" w:rsidRDefault="0041429E" w:rsidP="00C2593A">
            <w:pPr>
              <w:jc w:val="both"/>
            </w:pPr>
            <w:r>
              <w:t xml:space="preserve">0.37 </w:t>
            </w:r>
            <w:r w:rsidRPr="0082704E">
              <w:rPr>
                <w:rFonts w:ascii="SymbolMT" w:hAnsi="SymbolMT"/>
                <w:sz w:val="22"/>
                <w:szCs w:val="22"/>
              </w:rPr>
              <w:t>±</w:t>
            </w:r>
            <w:r>
              <w:rPr>
                <w:rFonts w:ascii="SymbolMT" w:hAnsi="SymbolMT"/>
                <w:sz w:val="22"/>
                <w:szCs w:val="22"/>
              </w:rPr>
              <w:t xml:space="preserve"> 0.12</w:t>
            </w:r>
          </w:p>
        </w:tc>
        <w:tc>
          <w:tcPr>
            <w:tcW w:w="3235" w:type="dxa"/>
            <w:vAlign w:val="center"/>
          </w:tcPr>
          <w:p w14:paraId="4AFB2B6C" w14:textId="77777777" w:rsidR="0041429E" w:rsidRPr="0082704E" w:rsidRDefault="0041429E" w:rsidP="00C2593A">
            <w:pPr>
              <w:jc w:val="both"/>
              <w:rPr>
                <w:rFonts w:ascii="TimesNewRomanPSMT" w:hAnsi="TimesNewRomanPSMT"/>
                <w:sz w:val="22"/>
                <w:szCs w:val="22"/>
              </w:rPr>
            </w:pPr>
            <w:r>
              <w:rPr>
                <w:rFonts w:ascii="TimesNewRomanPSMT" w:hAnsi="TimesNewRomanPSMT"/>
                <w:sz w:val="22"/>
                <w:szCs w:val="22"/>
              </w:rPr>
              <w:t xml:space="preserve">0.52 </w:t>
            </w:r>
            <w:r w:rsidRPr="0082704E">
              <w:rPr>
                <w:rFonts w:ascii="SymbolMT" w:hAnsi="SymbolMT"/>
                <w:sz w:val="22"/>
                <w:szCs w:val="22"/>
              </w:rPr>
              <w:t>±</w:t>
            </w:r>
            <w:r>
              <w:rPr>
                <w:rFonts w:ascii="SymbolMT" w:hAnsi="SymbolMT"/>
                <w:sz w:val="22"/>
                <w:szCs w:val="22"/>
              </w:rPr>
              <w:t xml:space="preserve"> 0.09</w:t>
            </w:r>
          </w:p>
        </w:tc>
      </w:tr>
    </w:tbl>
    <w:p w14:paraId="256A43A6" w14:textId="77777777" w:rsidR="0041429E" w:rsidRPr="0082704E" w:rsidRDefault="0041429E" w:rsidP="0041429E">
      <w:pPr>
        <w:jc w:val="both"/>
        <w:rPr>
          <w:b/>
          <w:bCs/>
          <w:color w:val="000000" w:themeColor="text1"/>
        </w:rPr>
      </w:pPr>
    </w:p>
    <w:p w14:paraId="78B1F139" w14:textId="77777777" w:rsidR="0041429E" w:rsidRPr="00EA081A" w:rsidRDefault="0041429E" w:rsidP="0041429E">
      <w:pPr>
        <w:spacing w:before="100" w:beforeAutospacing="1" w:after="100" w:afterAutospacing="1"/>
      </w:pPr>
      <w:r w:rsidRPr="0082704E">
        <w:rPr>
          <w:b/>
          <w:bCs/>
        </w:rPr>
        <w:t xml:space="preserve">Supplementary Table 1: </w:t>
      </w:r>
      <w:r w:rsidRPr="0082704E">
        <w:rPr>
          <w:rFonts w:ascii="TimesNewRomanPS" w:hAnsi="TimesNewRomanPS"/>
          <w:b/>
          <w:bCs/>
        </w:rPr>
        <w:t>Sensory acuities</w:t>
      </w:r>
      <w:r>
        <w:rPr>
          <w:rFonts w:ascii="TimesNewRomanPS" w:hAnsi="TimesNewRomanPS"/>
          <w:b/>
          <w:bCs/>
        </w:rPr>
        <w:t>.</w:t>
      </w:r>
      <w:r>
        <w:t xml:space="preserve"> </w:t>
      </w:r>
      <w:r w:rsidRPr="0082704E">
        <w:rPr>
          <w:rFonts w:ascii="TimesNewRomanPSMT" w:hAnsi="TimesNewRomanPSMT"/>
          <w:sz w:val="22"/>
          <w:szCs w:val="22"/>
        </w:rPr>
        <w:t xml:space="preserve">Olfactory and gustatory responses were examined as described in materials and methods. Data was obtained from at least 4 independent experiments (n=50/experiment). No significant difference between olfactory or gustatory response was observed between all genotypes. Errors represent SEM. </w:t>
      </w:r>
    </w:p>
    <w:p w14:paraId="5DE743D8" w14:textId="76907DFC" w:rsidR="00E707B5" w:rsidRDefault="00E707B5">
      <w:r>
        <w:br w:type="page"/>
      </w:r>
    </w:p>
    <w:p w14:paraId="203E2D47" w14:textId="0C5BB2AB" w:rsidR="00292D53" w:rsidRDefault="00825488"/>
    <w:p w14:paraId="69C09830" w14:textId="77777777" w:rsidR="00E707B5" w:rsidRDefault="00E707B5">
      <w:pPr>
        <w:rPr>
          <w:b/>
          <w:bCs/>
        </w:rPr>
      </w:pPr>
    </w:p>
    <w:tbl>
      <w:tblPr>
        <w:tblStyle w:val="TableGrid"/>
        <w:tblpPr w:leftFromText="180" w:rightFromText="180" w:vertAnchor="page" w:horzAnchor="page" w:tblpX="1630" w:tblpY="1985"/>
        <w:tblW w:w="0" w:type="auto"/>
        <w:tblLook w:val="04A0" w:firstRow="1" w:lastRow="0" w:firstColumn="1" w:lastColumn="0" w:noHBand="0" w:noVBand="1"/>
      </w:tblPr>
      <w:tblGrid>
        <w:gridCol w:w="1525"/>
        <w:gridCol w:w="3651"/>
        <w:gridCol w:w="3690"/>
      </w:tblGrid>
      <w:tr w:rsidR="00E707B5" w:rsidRPr="0036702C" w14:paraId="4BD3964B" w14:textId="77777777" w:rsidTr="00E707B5">
        <w:tc>
          <w:tcPr>
            <w:tcW w:w="1525" w:type="dxa"/>
          </w:tcPr>
          <w:p w14:paraId="51ED2983" w14:textId="3A91F6F9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color w:val="000000" w:themeColor="text1"/>
                <w:sz w:val="22"/>
                <w:szCs w:val="22"/>
              </w:rPr>
              <w:t>T</w:t>
            </w:r>
            <w:r>
              <w:rPr>
                <w:color w:val="000000" w:themeColor="text1"/>
                <w:sz w:val="22"/>
                <w:szCs w:val="22"/>
              </w:rPr>
              <w:t>ip</w:t>
            </w:r>
            <w:r w:rsidRPr="0036702C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3651" w:type="dxa"/>
          </w:tcPr>
          <w:p w14:paraId="125E6C0C" w14:textId="0CBC836E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CTCGGCCTGAGGCTTGTAAC</w:t>
            </w:r>
          </w:p>
        </w:tc>
        <w:tc>
          <w:tcPr>
            <w:tcW w:w="3690" w:type="dxa"/>
          </w:tcPr>
          <w:p w14:paraId="4B63B996" w14:textId="370AC5B0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CCTTCCACGACCTGAACTCC</w:t>
            </w:r>
          </w:p>
        </w:tc>
      </w:tr>
      <w:tr w:rsidR="00E707B5" w:rsidRPr="0036702C" w14:paraId="011461E7" w14:textId="77777777" w:rsidTr="00E707B5">
        <w:tc>
          <w:tcPr>
            <w:tcW w:w="1525" w:type="dxa"/>
          </w:tcPr>
          <w:p w14:paraId="21B19482" w14:textId="334EC9A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HDAC2</w:t>
            </w:r>
          </w:p>
        </w:tc>
        <w:tc>
          <w:tcPr>
            <w:tcW w:w="3651" w:type="dxa"/>
          </w:tcPr>
          <w:p w14:paraId="349B01FD" w14:textId="709AE7E7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CGGCAAGTGCGTGGAGTTCG</w:t>
            </w:r>
          </w:p>
        </w:tc>
        <w:tc>
          <w:tcPr>
            <w:tcW w:w="3690" w:type="dxa"/>
          </w:tcPr>
          <w:p w14:paraId="39A81AAE" w14:textId="01BF79C4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CTCATAGGTCCAGCAGCGGG</w:t>
            </w:r>
          </w:p>
        </w:tc>
      </w:tr>
      <w:tr w:rsidR="00E707B5" w:rsidRPr="0036702C" w14:paraId="43ECF9A9" w14:textId="77777777" w:rsidTr="00E707B5">
        <w:tc>
          <w:tcPr>
            <w:tcW w:w="1525" w:type="dxa"/>
          </w:tcPr>
          <w:p w14:paraId="6B03F678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color w:val="000000" w:themeColor="text1"/>
                <w:sz w:val="22"/>
                <w:szCs w:val="22"/>
              </w:rPr>
              <w:t>sh</w:t>
            </w:r>
          </w:p>
        </w:tc>
        <w:tc>
          <w:tcPr>
            <w:tcW w:w="3651" w:type="dxa"/>
          </w:tcPr>
          <w:p w14:paraId="12134F02" w14:textId="77777777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GGTGGCATGGCCGCCGTTGC</w:t>
            </w:r>
          </w:p>
        </w:tc>
        <w:tc>
          <w:tcPr>
            <w:tcW w:w="3690" w:type="dxa"/>
          </w:tcPr>
          <w:p w14:paraId="09CACB7C" w14:textId="77777777" w:rsidR="00E707B5" w:rsidRPr="0036702C" w:rsidRDefault="00E707B5" w:rsidP="00E707B5">
            <w:pPr>
              <w:spacing w:line="48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CTCGAGCTGCTCCTTCTGGTG</w:t>
            </w:r>
          </w:p>
        </w:tc>
      </w:tr>
      <w:tr w:rsidR="00E707B5" w:rsidRPr="0036702C" w14:paraId="6C62B9D4" w14:textId="77777777" w:rsidTr="00E707B5">
        <w:tc>
          <w:tcPr>
            <w:tcW w:w="1525" w:type="dxa"/>
          </w:tcPr>
          <w:p w14:paraId="7532A946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color w:val="000000" w:themeColor="text1"/>
                <w:sz w:val="22"/>
                <w:szCs w:val="22"/>
              </w:rPr>
              <w:t>futsch</w:t>
            </w:r>
          </w:p>
        </w:tc>
        <w:tc>
          <w:tcPr>
            <w:tcW w:w="3651" w:type="dxa"/>
          </w:tcPr>
          <w:p w14:paraId="3394DD50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CCGCGGCTGAGCAATCCGCCC</w:t>
            </w:r>
          </w:p>
        </w:tc>
        <w:tc>
          <w:tcPr>
            <w:tcW w:w="3690" w:type="dxa"/>
          </w:tcPr>
          <w:p w14:paraId="70FB1BB4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GGCGCTTCAGTTTTCCCGGCGCA</w:t>
            </w:r>
          </w:p>
        </w:tc>
      </w:tr>
      <w:tr w:rsidR="00E707B5" w:rsidRPr="0036702C" w14:paraId="55C88965" w14:textId="77777777" w:rsidTr="00E707B5">
        <w:tc>
          <w:tcPr>
            <w:tcW w:w="1525" w:type="dxa"/>
          </w:tcPr>
          <w:p w14:paraId="227FFA85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color w:val="000000" w:themeColor="text1"/>
                <w:sz w:val="22"/>
                <w:szCs w:val="22"/>
              </w:rPr>
              <w:t>dlg</w:t>
            </w:r>
          </w:p>
        </w:tc>
        <w:tc>
          <w:tcPr>
            <w:tcW w:w="3651" w:type="dxa"/>
          </w:tcPr>
          <w:p w14:paraId="22BA8793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TATTTGCCACCGAACAGGCGTTG</w:t>
            </w:r>
          </w:p>
        </w:tc>
        <w:tc>
          <w:tcPr>
            <w:tcW w:w="3690" w:type="dxa"/>
          </w:tcPr>
          <w:p w14:paraId="68EFE246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ACCCAAATGGTTGGTCCCGACT</w:t>
            </w:r>
          </w:p>
        </w:tc>
      </w:tr>
      <w:tr w:rsidR="00E707B5" w:rsidRPr="0036702C" w14:paraId="67FA6FD8" w14:textId="77777777" w:rsidTr="00E707B5">
        <w:tc>
          <w:tcPr>
            <w:tcW w:w="1525" w:type="dxa"/>
          </w:tcPr>
          <w:p w14:paraId="094BCC19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color w:val="000000" w:themeColor="text1"/>
                <w:sz w:val="22"/>
                <w:szCs w:val="22"/>
              </w:rPr>
              <w:t>dsh</w:t>
            </w:r>
          </w:p>
        </w:tc>
        <w:tc>
          <w:tcPr>
            <w:tcW w:w="3651" w:type="dxa"/>
          </w:tcPr>
          <w:p w14:paraId="3BE19DD8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ACCCAGCCGCAACGAGTCAA</w:t>
            </w:r>
          </w:p>
        </w:tc>
        <w:tc>
          <w:tcPr>
            <w:tcW w:w="3690" w:type="dxa"/>
          </w:tcPr>
          <w:p w14:paraId="59713B3D" w14:textId="77777777" w:rsidR="00E707B5" w:rsidRPr="0036702C" w:rsidRDefault="00E707B5" w:rsidP="00E707B5">
            <w:pPr>
              <w:spacing w:line="480" w:lineRule="auto"/>
              <w:rPr>
                <w:color w:val="000000" w:themeColor="text1"/>
                <w:sz w:val="22"/>
                <w:szCs w:val="22"/>
              </w:rPr>
            </w:pPr>
            <w:r w:rsidRPr="0036702C">
              <w:rPr>
                <w:rFonts w:cs="Arial"/>
                <w:color w:val="000000" w:themeColor="text1"/>
                <w:sz w:val="22"/>
                <w:szCs w:val="22"/>
              </w:rPr>
              <w:t>AACCGATTGCTGCCGGACAC</w:t>
            </w:r>
          </w:p>
        </w:tc>
      </w:tr>
    </w:tbl>
    <w:p w14:paraId="40EF5920" w14:textId="77777777" w:rsidR="005D0809" w:rsidRDefault="00E707B5">
      <w:r w:rsidRPr="0082704E">
        <w:rPr>
          <w:b/>
          <w:bCs/>
        </w:rPr>
        <w:t xml:space="preserve">Supplementary Table </w:t>
      </w:r>
      <w:r>
        <w:rPr>
          <w:b/>
          <w:bCs/>
        </w:rPr>
        <w:t>2</w:t>
      </w:r>
      <w:r w:rsidRPr="0082704E">
        <w:rPr>
          <w:b/>
          <w:bCs/>
        </w:rPr>
        <w:t xml:space="preserve">: </w:t>
      </w:r>
      <w:r>
        <w:rPr>
          <w:rFonts w:ascii="TimesNewRomanPS" w:hAnsi="TimesNewRomanPS"/>
          <w:b/>
          <w:bCs/>
        </w:rPr>
        <w:t>Primer sequences for RT-qPCR.</w:t>
      </w:r>
      <w:r>
        <w:t xml:space="preserve"> </w:t>
      </w:r>
      <w:r w:rsidR="0008747C">
        <w:t xml:space="preserve">These forward and reverse primer sequences were used for mRNA quantification of the respective genes using RT-qPCR as </w:t>
      </w:r>
    </w:p>
    <w:p w14:paraId="34E2149A" w14:textId="426C2A05" w:rsidR="00E707B5" w:rsidRDefault="0008747C">
      <w:r>
        <w:t xml:space="preserve">described in the methods section. </w:t>
      </w:r>
    </w:p>
    <w:p w14:paraId="4A94D31D" w14:textId="4A73DC72" w:rsidR="005D0809" w:rsidRDefault="005D0809"/>
    <w:p w14:paraId="59DCE43E" w14:textId="0A2D0EC5" w:rsidR="005D0809" w:rsidRDefault="005D0809"/>
    <w:p w14:paraId="7D9C52C9" w14:textId="7120E433" w:rsidR="005D0809" w:rsidRDefault="005D0809"/>
    <w:p w14:paraId="15DF6A0C" w14:textId="36F40907" w:rsidR="005D0809" w:rsidRDefault="005D0809"/>
    <w:p w14:paraId="4B0B3400" w14:textId="07D6B168" w:rsidR="005D0809" w:rsidRDefault="005D0809"/>
    <w:p w14:paraId="5260883F" w14:textId="5C57ABD5" w:rsidR="005D0809" w:rsidRDefault="005D0809"/>
    <w:p w14:paraId="2A67E724" w14:textId="6F1B24F8" w:rsidR="005D0809" w:rsidRDefault="005D0809"/>
    <w:p w14:paraId="7F663693" w14:textId="0F48A89B" w:rsidR="005D0809" w:rsidRDefault="005D0809"/>
    <w:p w14:paraId="7178F7E1" w14:textId="48CA6E12" w:rsidR="005D0809" w:rsidRDefault="005D0809"/>
    <w:p w14:paraId="18ED81C8" w14:textId="6A9895F1" w:rsidR="005D0809" w:rsidRDefault="005D0809"/>
    <w:p w14:paraId="7ABD38E8" w14:textId="483D0DDF" w:rsidR="005D0809" w:rsidRDefault="005D0809"/>
    <w:p w14:paraId="694A0BEF" w14:textId="58B8CD8D" w:rsidR="005D0809" w:rsidRDefault="005D0809"/>
    <w:p w14:paraId="44B2927C" w14:textId="11AA66FB" w:rsidR="005D0809" w:rsidRDefault="005D0809"/>
    <w:p w14:paraId="513D6D0B" w14:textId="3C8D323D" w:rsidR="005D0809" w:rsidRDefault="005D0809"/>
    <w:p w14:paraId="0FCD0F93" w14:textId="48DB43D5" w:rsidR="005D0809" w:rsidRDefault="005D0809"/>
    <w:p w14:paraId="1EC61C85" w14:textId="3140E180" w:rsidR="005D0809" w:rsidRDefault="005D0809"/>
    <w:p w14:paraId="2117B468" w14:textId="2570C982" w:rsidR="005D0809" w:rsidRDefault="005D0809"/>
    <w:p w14:paraId="72EF3DE4" w14:textId="5F264079" w:rsidR="005D0809" w:rsidRDefault="005D0809"/>
    <w:p w14:paraId="59844A7B" w14:textId="432A396F" w:rsidR="005D0809" w:rsidRDefault="005D0809"/>
    <w:p w14:paraId="45EA2E9E" w14:textId="440B2E54" w:rsidR="005D0809" w:rsidRDefault="005D0809"/>
    <w:p w14:paraId="7BFD1891" w14:textId="37A45A87" w:rsidR="005D0809" w:rsidRDefault="005D0809"/>
    <w:p w14:paraId="3731BD97" w14:textId="0A432DD0" w:rsidR="005D0809" w:rsidRDefault="005D0809"/>
    <w:p w14:paraId="4E4143E0" w14:textId="38D5D4DF" w:rsidR="005D0809" w:rsidRDefault="005D0809"/>
    <w:p w14:paraId="7E544972" w14:textId="0292A3D6" w:rsidR="005D0809" w:rsidRDefault="005D0809"/>
    <w:p w14:paraId="4EA40150" w14:textId="04D3393A" w:rsidR="005D0809" w:rsidRDefault="005D0809"/>
    <w:p w14:paraId="36472469" w14:textId="624CAEC7" w:rsidR="005D0809" w:rsidRDefault="005D0809"/>
    <w:p w14:paraId="32D9F1F1" w14:textId="6E2388BC" w:rsidR="005D0809" w:rsidRDefault="005D0809"/>
    <w:p w14:paraId="64417A7F" w14:textId="3F05510C" w:rsidR="005D0809" w:rsidRDefault="005D0809"/>
    <w:p w14:paraId="74886BBD" w14:textId="77777777" w:rsidR="005D0809" w:rsidRDefault="005D0809" w:rsidP="005D0809">
      <w:pPr>
        <w:rPr>
          <w:rFonts w:ascii="Calibri" w:hAnsi="Calibri" w:cs="Calibri"/>
          <w:color w:val="000000"/>
          <w:sz w:val="22"/>
          <w:szCs w:val="22"/>
          <w:u w:val="single"/>
        </w:rPr>
      </w:pPr>
    </w:p>
    <w:p w14:paraId="309A1E28" w14:textId="77777777" w:rsidR="005D0809" w:rsidRDefault="005D0809" w:rsidP="005D0809">
      <w:pPr>
        <w:rPr>
          <w:rFonts w:ascii="Calibri" w:hAnsi="Calibri" w:cs="Calibri"/>
          <w:color w:val="000000"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2"/>
        <w:gridCol w:w="2334"/>
        <w:gridCol w:w="2152"/>
        <w:gridCol w:w="2242"/>
      </w:tblGrid>
      <w:tr w:rsidR="005D0809" w:rsidRPr="00E9656E" w14:paraId="18C1ED7A" w14:textId="77777777" w:rsidTr="00F20F44">
        <w:trPr>
          <w:trHeight w:val="889"/>
        </w:trPr>
        <w:tc>
          <w:tcPr>
            <w:tcW w:w="2622" w:type="dxa"/>
            <w:shd w:val="clear" w:color="auto" w:fill="D9D9D9" w:themeFill="background1" w:themeFillShade="D9"/>
            <w:vAlign w:val="center"/>
          </w:tcPr>
          <w:p w14:paraId="2383BEF9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Disease Phenotype</w:t>
            </w:r>
          </w:p>
        </w:tc>
        <w:tc>
          <w:tcPr>
            <w:tcW w:w="2334" w:type="dxa"/>
            <w:shd w:val="clear" w:color="auto" w:fill="D9D9D9" w:themeFill="background1" w:themeFillShade="D9"/>
            <w:vAlign w:val="center"/>
          </w:tcPr>
          <w:p w14:paraId="10421327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Huntington’s Disease</w:t>
            </w:r>
          </w:p>
          <w:p w14:paraId="51E57797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Htt(128Q)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6B29AD13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Parkinson’s Disease</w:t>
            </w:r>
          </w:p>
          <w:p w14:paraId="38E1AE36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SNCA</w:t>
            </w:r>
            <w:r w:rsidRPr="00E9656E">
              <w:rPr>
                <w:rFonts w:ascii="Times" w:hAnsi="Times" w:cs="Calibri"/>
                <w:color w:val="000000"/>
                <w:vertAlign w:val="superscript"/>
              </w:rPr>
              <w:t>A30P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44E50E48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Amyotrophic Lateral Sclerosis (ALS)</w:t>
            </w:r>
          </w:p>
          <w:p w14:paraId="2261B0A2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VAP-33-1</w:t>
            </w:r>
          </w:p>
        </w:tc>
      </w:tr>
      <w:tr w:rsidR="005D0809" w:rsidRPr="00E9656E" w14:paraId="3CB02DE5" w14:textId="77777777" w:rsidTr="00F20F44">
        <w:tc>
          <w:tcPr>
            <w:tcW w:w="2622" w:type="dxa"/>
            <w:vAlign w:val="center"/>
          </w:tcPr>
          <w:p w14:paraId="62C024C1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Synaptic plasticity gene expression (RT-qPCR)</w:t>
            </w:r>
          </w:p>
        </w:tc>
        <w:tc>
          <w:tcPr>
            <w:tcW w:w="2334" w:type="dxa"/>
            <w:vAlign w:val="center"/>
          </w:tcPr>
          <w:p w14:paraId="004EEC3D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6EC997C1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152" w:type="dxa"/>
            <w:vAlign w:val="center"/>
          </w:tcPr>
          <w:p w14:paraId="46CFBEC6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</w:p>
          <w:p w14:paraId="2AD69D4E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242" w:type="dxa"/>
            <w:vAlign w:val="center"/>
          </w:tcPr>
          <w:p w14:paraId="4AD085F7" w14:textId="7DA146B3" w:rsidR="005D0809" w:rsidRPr="00E9656E" w:rsidRDefault="005D0809" w:rsidP="00E9656E">
            <w:pPr>
              <w:jc w:val="center"/>
              <w:rPr>
                <w:rFonts w:ascii="Times" w:hAnsi="Times"/>
              </w:rPr>
            </w:pPr>
            <w:r w:rsidRPr="004E3987">
              <w:t>↓</w:t>
            </w:r>
            <w:r w:rsidRPr="004E3987">
              <w:rPr>
                <w:rFonts w:ascii="Times" w:hAnsi="Times"/>
              </w:rPr>
              <w:t xml:space="preserve"> futsch, </w:t>
            </w:r>
            <w:r w:rsidRPr="004E3987">
              <w:t>↓</w:t>
            </w:r>
            <w:r w:rsidRPr="004E3987">
              <w:rPr>
                <w:rFonts w:ascii="Times" w:hAnsi="Times"/>
              </w:rPr>
              <w:t xml:space="preserve"> dsh</w:t>
            </w:r>
          </w:p>
        </w:tc>
      </w:tr>
      <w:tr w:rsidR="005D0809" w:rsidRPr="00E9656E" w14:paraId="1C4DF003" w14:textId="77777777" w:rsidTr="00F20F44">
        <w:tc>
          <w:tcPr>
            <w:tcW w:w="2622" w:type="dxa"/>
            <w:vAlign w:val="center"/>
          </w:tcPr>
          <w:p w14:paraId="4DDD89E0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Tip60 HAT/HDAC balance (RT-qPCR)</w:t>
            </w:r>
          </w:p>
        </w:tc>
        <w:tc>
          <w:tcPr>
            <w:tcW w:w="2334" w:type="dxa"/>
            <w:vAlign w:val="center"/>
          </w:tcPr>
          <w:p w14:paraId="46FF2E7E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Tip60,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HDAC2</w:t>
            </w:r>
          </w:p>
        </w:tc>
        <w:tc>
          <w:tcPr>
            <w:tcW w:w="2152" w:type="dxa"/>
            <w:vAlign w:val="center"/>
          </w:tcPr>
          <w:p w14:paraId="46A762A0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HDAC2</w:t>
            </w:r>
          </w:p>
        </w:tc>
        <w:tc>
          <w:tcPr>
            <w:tcW w:w="2242" w:type="dxa"/>
            <w:vAlign w:val="center"/>
          </w:tcPr>
          <w:p w14:paraId="1E7F7F93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 w:cs="Calibri"/>
                <w:color w:val="000000"/>
              </w:rPr>
              <w:t xml:space="preserve"> Tip60</w:t>
            </w:r>
            <w:r w:rsidRPr="00E9656E">
              <w:rPr>
                <w:rFonts w:ascii="Times" w:hAnsi="Times"/>
              </w:rPr>
              <w:t xml:space="preserve">,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HDAC2</w:t>
            </w:r>
          </w:p>
        </w:tc>
      </w:tr>
      <w:tr w:rsidR="005D0809" w:rsidRPr="00E9656E" w14:paraId="27284EBF" w14:textId="77777777" w:rsidTr="00F20F44">
        <w:tc>
          <w:tcPr>
            <w:tcW w:w="2622" w:type="dxa"/>
            <w:vAlign w:val="center"/>
          </w:tcPr>
          <w:p w14:paraId="74FD731C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Tip60 enrichment </w:t>
            </w:r>
          </w:p>
          <w:p w14:paraId="3A35F913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(ChIP-qPCR)</w:t>
            </w:r>
          </w:p>
        </w:tc>
        <w:tc>
          <w:tcPr>
            <w:tcW w:w="2334" w:type="dxa"/>
            <w:vAlign w:val="center"/>
          </w:tcPr>
          <w:p w14:paraId="43A12A24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</w:p>
          <w:p w14:paraId="18DA718F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152" w:type="dxa"/>
            <w:vAlign w:val="center"/>
          </w:tcPr>
          <w:p w14:paraId="0F43438F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228378CD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242" w:type="dxa"/>
            <w:vAlign w:val="center"/>
          </w:tcPr>
          <w:p w14:paraId="28BE1EA0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20A9A4E9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</w:tr>
      <w:tr w:rsidR="005D0809" w:rsidRPr="00E9656E" w14:paraId="0E8AD847" w14:textId="77777777" w:rsidTr="00F20F44">
        <w:tc>
          <w:tcPr>
            <w:tcW w:w="2622" w:type="dxa"/>
            <w:vAlign w:val="center"/>
          </w:tcPr>
          <w:p w14:paraId="5061AF88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HDAC2 enrichment </w:t>
            </w:r>
          </w:p>
          <w:p w14:paraId="4E97CC72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(ChIP-qPCR)</w:t>
            </w:r>
          </w:p>
        </w:tc>
        <w:tc>
          <w:tcPr>
            <w:tcW w:w="2334" w:type="dxa"/>
            <w:vAlign w:val="center"/>
          </w:tcPr>
          <w:p w14:paraId="308B1BAA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152" w:type="dxa"/>
            <w:vAlign w:val="center"/>
          </w:tcPr>
          <w:p w14:paraId="63B111F6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 xml:space="preserve"> sh</w:t>
            </w:r>
          </w:p>
        </w:tc>
        <w:tc>
          <w:tcPr>
            <w:tcW w:w="2242" w:type="dxa"/>
            <w:vAlign w:val="center"/>
          </w:tcPr>
          <w:p w14:paraId="1B0AF5F7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 xml:space="preserve"> sh</w:t>
            </w:r>
          </w:p>
        </w:tc>
      </w:tr>
      <w:tr w:rsidR="005D0809" w:rsidRPr="00E9656E" w14:paraId="68F011A4" w14:textId="77777777" w:rsidTr="00F20F44">
        <w:tc>
          <w:tcPr>
            <w:tcW w:w="2622" w:type="dxa"/>
            <w:vAlign w:val="center"/>
          </w:tcPr>
          <w:p w14:paraId="7F97E392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H4K16 enrichment </w:t>
            </w:r>
          </w:p>
          <w:p w14:paraId="010258B2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(ChIP-qPCR)</w:t>
            </w:r>
          </w:p>
        </w:tc>
        <w:tc>
          <w:tcPr>
            <w:tcW w:w="2334" w:type="dxa"/>
            <w:vAlign w:val="center"/>
          </w:tcPr>
          <w:p w14:paraId="5211537E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7DBCF6C4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152" w:type="dxa"/>
            <w:vAlign w:val="center"/>
          </w:tcPr>
          <w:p w14:paraId="5553BB62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084873F3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242" w:type="dxa"/>
            <w:vAlign w:val="center"/>
          </w:tcPr>
          <w:p w14:paraId="5E94E07B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sh,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</w:p>
          <w:p w14:paraId="1074B929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dlg,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</w:tr>
      <w:tr w:rsidR="005D0809" w:rsidRPr="00E9656E" w14:paraId="26BF17D1" w14:textId="77777777" w:rsidTr="00F20F44">
        <w:tc>
          <w:tcPr>
            <w:tcW w:w="2622" w:type="dxa"/>
            <w:vAlign w:val="center"/>
          </w:tcPr>
          <w:p w14:paraId="5CE19FCF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H4K12 enrichment </w:t>
            </w:r>
          </w:p>
          <w:p w14:paraId="56BCC33B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(ChIP-qPCR)</w:t>
            </w:r>
          </w:p>
        </w:tc>
        <w:tc>
          <w:tcPr>
            <w:tcW w:w="2334" w:type="dxa"/>
            <w:vAlign w:val="center"/>
          </w:tcPr>
          <w:p w14:paraId="229A9204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152" w:type="dxa"/>
            <w:vAlign w:val="center"/>
          </w:tcPr>
          <w:p w14:paraId="1EE0664B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  <w:tc>
          <w:tcPr>
            <w:tcW w:w="2242" w:type="dxa"/>
            <w:vAlign w:val="center"/>
          </w:tcPr>
          <w:p w14:paraId="21C0FFA0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futsch, </w:t>
            </w:r>
            <w:r w:rsidRPr="00E9656E">
              <w:t>↓</w:t>
            </w:r>
            <w:r w:rsidRPr="00E9656E">
              <w:rPr>
                <w:rFonts w:ascii="Times" w:hAnsi="Times"/>
              </w:rPr>
              <w:t xml:space="preserve"> dlg,</w:t>
            </w:r>
          </w:p>
          <w:p w14:paraId="041B4F55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dsh</w:t>
            </w:r>
          </w:p>
        </w:tc>
      </w:tr>
      <w:tr w:rsidR="005D0809" w:rsidRPr="00E9656E" w14:paraId="1C9922B7" w14:textId="77777777" w:rsidTr="00F20F44">
        <w:tc>
          <w:tcPr>
            <w:tcW w:w="2622" w:type="dxa"/>
            <w:vAlign w:val="center"/>
          </w:tcPr>
          <w:p w14:paraId="0C017FA6" w14:textId="28B60049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Synaptic </w:t>
            </w:r>
            <w:r w:rsidR="00E9656E" w:rsidRPr="004E3987">
              <w:rPr>
                <w:rFonts w:ascii="Times" w:hAnsi="Times" w:cs="Calibri"/>
                <w:color w:val="000000"/>
              </w:rPr>
              <w:t>morphology</w:t>
            </w:r>
            <w:r w:rsidR="00E9656E" w:rsidRPr="00E9656E">
              <w:rPr>
                <w:rFonts w:ascii="Times" w:hAnsi="Times" w:cs="Calibri"/>
                <w:color w:val="000000"/>
              </w:rPr>
              <w:t xml:space="preserve"> </w:t>
            </w:r>
            <w:r w:rsidRPr="00E9656E">
              <w:rPr>
                <w:rFonts w:ascii="Times" w:hAnsi="Times" w:cs="Calibri"/>
                <w:color w:val="000000"/>
              </w:rPr>
              <w:t>abnormalities (immunohistochemistry)</w:t>
            </w:r>
          </w:p>
        </w:tc>
        <w:tc>
          <w:tcPr>
            <w:tcW w:w="2334" w:type="dxa"/>
            <w:vAlign w:val="center"/>
          </w:tcPr>
          <w:p w14:paraId="308ACB2A" w14:textId="30D1A2C3" w:rsidR="005D0809" w:rsidRPr="00E9656E" w:rsidRDefault="00E9656E" w:rsidP="00F20F44">
            <w:pPr>
              <w:jc w:val="center"/>
              <w:rPr>
                <w:rFonts w:ascii="Times" w:hAnsi="Times"/>
              </w:rPr>
            </w:pPr>
            <w:r w:rsidRPr="004E3987">
              <w:rPr>
                <w:rFonts w:ascii="Times" w:hAnsi="Times"/>
              </w:rPr>
              <w:t>--</w:t>
            </w:r>
          </w:p>
        </w:tc>
        <w:tc>
          <w:tcPr>
            <w:tcW w:w="2152" w:type="dxa"/>
            <w:vAlign w:val="center"/>
          </w:tcPr>
          <w:p w14:paraId="57A0C526" w14:textId="2C7D3D10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Satellite boutons</w:t>
            </w:r>
          </w:p>
          <w:p w14:paraId="4DB83A2A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NMJ Area/ muscle area</w:t>
            </w:r>
          </w:p>
        </w:tc>
        <w:tc>
          <w:tcPr>
            <w:tcW w:w="2242" w:type="dxa"/>
            <w:vAlign w:val="center"/>
          </w:tcPr>
          <w:p w14:paraId="2F9C44A9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Total boutons, </w:t>
            </w:r>
          </w:p>
          <w:p w14:paraId="1902D459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Type Ib boutons,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Type Is boutons,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 w:cs="Calibri"/>
                <w:color w:val="000000"/>
              </w:rPr>
              <w:t xml:space="preserve"> Satellite boutons</w:t>
            </w:r>
          </w:p>
        </w:tc>
      </w:tr>
      <w:tr w:rsidR="005D0809" w:rsidRPr="00E9656E" w14:paraId="79288D33" w14:textId="77777777" w:rsidTr="00F20F44">
        <w:tc>
          <w:tcPr>
            <w:tcW w:w="2622" w:type="dxa"/>
            <w:vAlign w:val="center"/>
          </w:tcPr>
          <w:p w14:paraId="39D58BCA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 xml:space="preserve">Larval locomotion </w:t>
            </w:r>
          </w:p>
          <w:p w14:paraId="50609EE5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(line crossing assay)</w:t>
            </w:r>
          </w:p>
        </w:tc>
        <w:tc>
          <w:tcPr>
            <w:tcW w:w="2334" w:type="dxa"/>
            <w:vAlign w:val="center"/>
          </w:tcPr>
          <w:p w14:paraId="25BCA138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Locomotion, rescued by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>Tip60</w:t>
            </w:r>
          </w:p>
        </w:tc>
        <w:tc>
          <w:tcPr>
            <w:tcW w:w="2152" w:type="dxa"/>
            <w:vAlign w:val="center"/>
          </w:tcPr>
          <w:p w14:paraId="508195A5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Locomotion,</w:t>
            </w:r>
          </w:p>
          <w:p w14:paraId="1656AC8B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rFonts w:ascii="Times" w:hAnsi="Times"/>
              </w:rPr>
              <w:t xml:space="preserve">rescued by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>Tip60</w:t>
            </w:r>
          </w:p>
        </w:tc>
        <w:tc>
          <w:tcPr>
            <w:tcW w:w="2242" w:type="dxa"/>
            <w:vAlign w:val="center"/>
          </w:tcPr>
          <w:p w14:paraId="1625FC8F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Locomotion,</w:t>
            </w:r>
          </w:p>
          <w:p w14:paraId="4A56A5EF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rFonts w:ascii="Times" w:hAnsi="Times"/>
              </w:rPr>
              <w:t xml:space="preserve">rescued by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>Tip60</w:t>
            </w:r>
          </w:p>
        </w:tc>
      </w:tr>
      <w:tr w:rsidR="005D0809" w:rsidRPr="00E9656E" w14:paraId="4004C8A6" w14:textId="77777777" w:rsidTr="00F20F44">
        <w:tc>
          <w:tcPr>
            <w:tcW w:w="2622" w:type="dxa"/>
            <w:vAlign w:val="center"/>
          </w:tcPr>
          <w:p w14:paraId="23BDD364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Larval olfactory learning assay</w:t>
            </w:r>
          </w:p>
        </w:tc>
        <w:tc>
          <w:tcPr>
            <w:tcW w:w="2334" w:type="dxa"/>
            <w:vAlign w:val="center"/>
          </w:tcPr>
          <w:p w14:paraId="44637287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Learning</w:t>
            </w:r>
          </w:p>
        </w:tc>
        <w:tc>
          <w:tcPr>
            <w:tcW w:w="2152" w:type="dxa"/>
            <w:vAlign w:val="center"/>
          </w:tcPr>
          <w:p w14:paraId="362D7EA8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rFonts w:ascii="Times" w:hAnsi="Times"/>
              </w:rPr>
              <w:t>--</w:t>
            </w:r>
          </w:p>
        </w:tc>
        <w:tc>
          <w:tcPr>
            <w:tcW w:w="2242" w:type="dxa"/>
            <w:vAlign w:val="center"/>
          </w:tcPr>
          <w:p w14:paraId="0A60D62A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rFonts w:ascii="Times" w:hAnsi="Times"/>
              </w:rPr>
              <w:t>--</w:t>
            </w:r>
          </w:p>
        </w:tc>
      </w:tr>
      <w:tr w:rsidR="005D0809" w:rsidRPr="00E9656E" w14:paraId="17A44D2E" w14:textId="77777777" w:rsidTr="00F20F44">
        <w:tc>
          <w:tcPr>
            <w:tcW w:w="2622" w:type="dxa"/>
            <w:vAlign w:val="center"/>
          </w:tcPr>
          <w:p w14:paraId="12925569" w14:textId="77777777" w:rsidR="005D0809" w:rsidRPr="00E9656E" w:rsidRDefault="005D0809" w:rsidP="00F20F44">
            <w:pPr>
              <w:jc w:val="center"/>
              <w:rPr>
                <w:rFonts w:ascii="Times" w:hAnsi="Times" w:cs="Calibri"/>
                <w:color w:val="000000"/>
              </w:rPr>
            </w:pPr>
            <w:r w:rsidRPr="00E9656E">
              <w:rPr>
                <w:rFonts w:ascii="Times" w:hAnsi="Times" w:cs="Calibri"/>
                <w:color w:val="000000"/>
              </w:rPr>
              <w:t>Larval memory assay</w:t>
            </w:r>
          </w:p>
        </w:tc>
        <w:tc>
          <w:tcPr>
            <w:tcW w:w="2334" w:type="dxa"/>
            <w:vAlign w:val="center"/>
          </w:tcPr>
          <w:p w14:paraId="12E34D1A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Short term memory</w:t>
            </w:r>
          </w:p>
        </w:tc>
        <w:tc>
          <w:tcPr>
            <w:tcW w:w="2152" w:type="dxa"/>
            <w:vAlign w:val="center"/>
          </w:tcPr>
          <w:p w14:paraId="35119B83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t>↓</w:t>
            </w:r>
            <w:r w:rsidRPr="00E9656E">
              <w:rPr>
                <w:rFonts w:ascii="Times" w:hAnsi="Times"/>
              </w:rPr>
              <w:t xml:space="preserve"> Short term memory, rescued by </w:t>
            </w:r>
            <w:r w:rsidRPr="00E9656E">
              <w:rPr>
                <w:color w:val="000000"/>
              </w:rPr>
              <w:t>↑</w:t>
            </w:r>
            <w:r w:rsidRPr="00E9656E">
              <w:rPr>
                <w:rFonts w:ascii="Times" w:hAnsi="Times"/>
              </w:rPr>
              <w:t>Tip60</w:t>
            </w:r>
          </w:p>
        </w:tc>
        <w:tc>
          <w:tcPr>
            <w:tcW w:w="2242" w:type="dxa"/>
            <w:vAlign w:val="center"/>
          </w:tcPr>
          <w:p w14:paraId="7F87CBD9" w14:textId="77777777" w:rsidR="005D0809" w:rsidRPr="00E9656E" w:rsidRDefault="005D0809" w:rsidP="00F20F44">
            <w:pPr>
              <w:jc w:val="center"/>
              <w:rPr>
                <w:rFonts w:ascii="Times" w:hAnsi="Times"/>
              </w:rPr>
            </w:pPr>
            <w:r w:rsidRPr="00E9656E">
              <w:rPr>
                <w:rFonts w:ascii="Times" w:hAnsi="Times"/>
              </w:rPr>
              <w:t>--</w:t>
            </w:r>
          </w:p>
        </w:tc>
      </w:tr>
    </w:tbl>
    <w:p w14:paraId="15318F3E" w14:textId="77777777" w:rsidR="005D0809" w:rsidRPr="00145BED" w:rsidRDefault="005D0809" w:rsidP="005D0809">
      <w:pPr>
        <w:rPr>
          <w:rFonts w:ascii="Calibri" w:hAnsi="Calibri" w:cs="Calibri"/>
          <w:color w:val="000000"/>
          <w:sz w:val="22"/>
          <w:szCs w:val="22"/>
        </w:rPr>
      </w:pPr>
    </w:p>
    <w:p w14:paraId="2950F379" w14:textId="0CF6AF6B" w:rsidR="005D0809" w:rsidRPr="003C1C78" w:rsidRDefault="005D0809" w:rsidP="005D0809">
      <w:pPr>
        <w:rPr>
          <w:color w:val="000000"/>
        </w:rPr>
      </w:pPr>
      <w:r w:rsidRPr="003C1C78">
        <w:rPr>
          <w:b/>
          <w:bCs/>
          <w:color w:val="000000"/>
        </w:rPr>
        <w:t xml:space="preserve">Supplemental Table 3. </w:t>
      </w:r>
      <w:r w:rsidRPr="003C1C78">
        <w:rPr>
          <w:color w:val="000000"/>
        </w:rPr>
        <w:t xml:space="preserve"> </w:t>
      </w:r>
      <w:r w:rsidRPr="003C1C78">
        <w:rPr>
          <w:b/>
          <w:bCs/>
          <w:color w:val="000000"/>
        </w:rPr>
        <w:t xml:space="preserve">Comparison </w:t>
      </w:r>
      <w:r w:rsidR="001F5E0E" w:rsidRPr="003C1C78">
        <w:rPr>
          <w:b/>
          <w:bCs/>
          <w:color w:val="000000"/>
        </w:rPr>
        <w:t xml:space="preserve">summary </w:t>
      </w:r>
      <w:r w:rsidRPr="003C1C78">
        <w:rPr>
          <w:b/>
          <w:bCs/>
          <w:color w:val="000000"/>
        </w:rPr>
        <w:t xml:space="preserve">of  </w:t>
      </w:r>
      <w:r w:rsidR="00F04595">
        <w:rPr>
          <w:b/>
          <w:bCs/>
          <w:color w:val="000000"/>
        </w:rPr>
        <w:t>epigenetic</w:t>
      </w:r>
      <w:r w:rsidRPr="003C1C78">
        <w:rPr>
          <w:b/>
          <w:bCs/>
          <w:color w:val="000000"/>
        </w:rPr>
        <w:t>, morphological and behavioral phenotypes for three disease models: Huntington’s Disease (Htt(128Q)), Parkinson’s Disease (SNCA</w:t>
      </w:r>
      <w:r w:rsidRPr="003C1C78">
        <w:rPr>
          <w:b/>
          <w:bCs/>
          <w:color w:val="000000"/>
          <w:vertAlign w:val="superscript"/>
        </w:rPr>
        <w:t>A30P</w:t>
      </w:r>
      <w:r w:rsidRPr="003C1C78">
        <w:rPr>
          <w:b/>
          <w:bCs/>
          <w:color w:val="000000"/>
        </w:rPr>
        <w:t xml:space="preserve">) and Amyotrophic Lateral Sclerosis (VAP-33-1).  </w:t>
      </w:r>
      <w:r w:rsidRPr="003C1C78">
        <w:rPr>
          <w:color w:val="000000"/>
        </w:rPr>
        <w:t xml:space="preserve">Only statistically significant results are included. Abbreviations: shaker (sh), Discs large 5 (dlg), dishevelled (dsh), neuromuscular junction (NMJ). </w:t>
      </w:r>
    </w:p>
    <w:p w14:paraId="4A031D50" w14:textId="77777777" w:rsidR="005D0809" w:rsidRPr="003C1C78" w:rsidRDefault="005D0809">
      <w:pPr>
        <w:rPr>
          <w:b/>
          <w:bCs/>
        </w:rPr>
      </w:pPr>
    </w:p>
    <w:sectPr w:rsidR="005D0809" w:rsidRPr="003C1C78" w:rsidSect="003B33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206030504050203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29E"/>
    <w:rsid w:val="000068AA"/>
    <w:rsid w:val="00020611"/>
    <w:rsid w:val="0008747C"/>
    <w:rsid w:val="0013724B"/>
    <w:rsid w:val="00141A95"/>
    <w:rsid w:val="001641A8"/>
    <w:rsid w:val="00173F10"/>
    <w:rsid w:val="00192B99"/>
    <w:rsid w:val="001955FE"/>
    <w:rsid w:val="001C1DF0"/>
    <w:rsid w:val="001F5E0E"/>
    <w:rsid w:val="00281730"/>
    <w:rsid w:val="002D0399"/>
    <w:rsid w:val="003221AA"/>
    <w:rsid w:val="003A37A5"/>
    <w:rsid w:val="003B3306"/>
    <w:rsid w:val="003C1C78"/>
    <w:rsid w:val="003C6C75"/>
    <w:rsid w:val="003F31A3"/>
    <w:rsid w:val="00412195"/>
    <w:rsid w:val="0041429E"/>
    <w:rsid w:val="004371C9"/>
    <w:rsid w:val="004739EB"/>
    <w:rsid w:val="004B1173"/>
    <w:rsid w:val="004E3987"/>
    <w:rsid w:val="00594ED8"/>
    <w:rsid w:val="005D028B"/>
    <w:rsid w:val="005D0809"/>
    <w:rsid w:val="00666C2C"/>
    <w:rsid w:val="0068027D"/>
    <w:rsid w:val="00686502"/>
    <w:rsid w:val="006C41B0"/>
    <w:rsid w:val="006E5D59"/>
    <w:rsid w:val="007377F8"/>
    <w:rsid w:val="007E5FE8"/>
    <w:rsid w:val="007F1DD9"/>
    <w:rsid w:val="00811432"/>
    <w:rsid w:val="00825488"/>
    <w:rsid w:val="008521BE"/>
    <w:rsid w:val="008706D1"/>
    <w:rsid w:val="00871970"/>
    <w:rsid w:val="009C2ECF"/>
    <w:rsid w:val="00A634B4"/>
    <w:rsid w:val="00AF37DA"/>
    <w:rsid w:val="00B63B0F"/>
    <w:rsid w:val="00B75E64"/>
    <w:rsid w:val="00B83C55"/>
    <w:rsid w:val="00BD2495"/>
    <w:rsid w:val="00BD39E6"/>
    <w:rsid w:val="00C014E4"/>
    <w:rsid w:val="00C05957"/>
    <w:rsid w:val="00C667C6"/>
    <w:rsid w:val="00CB63FB"/>
    <w:rsid w:val="00CD5725"/>
    <w:rsid w:val="00D75C67"/>
    <w:rsid w:val="00D9456D"/>
    <w:rsid w:val="00E31799"/>
    <w:rsid w:val="00E558DA"/>
    <w:rsid w:val="00E707B5"/>
    <w:rsid w:val="00E87C9D"/>
    <w:rsid w:val="00E9656E"/>
    <w:rsid w:val="00EB76AB"/>
    <w:rsid w:val="00F01A47"/>
    <w:rsid w:val="00F04595"/>
    <w:rsid w:val="00F974C1"/>
    <w:rsid w:val="00FB4F79"/>
    <w:rsid w:val="00FD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D1E500"/>
  <w15:docId w15:val="{840C3B1E-13F6-9543-BA87-BF86DAF1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2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595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Bhatnagar,Akanksha</dc:creator>
  <cp:keywords/>
  <dc:description/>
  <cp:lastModifiedBy>Felice Elefant</cp:lastModifiedBy>
  <cp:revision>2</cp:revision>
  <dcterms:created xsi:type="dcterms:W3CDTF">2020-09-25T16:48:00Z</dcterms:created>
  <dcterms:modified xsi:type="dcterms:W3CDTF">2020-09-25T16:48:00Z</dcterms:modified>
</cp:coreProperties>
</file>