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F3A" w:rsidRDefault="00E47F3A">
      <w:pPr>
        <w:rPr>
          <w:lang w:val="en-GB"/>
        </w:rPr>
      </w:pPr>
    </w:p>
    <w:p w:rsidR="00063D50" w:rsidRPr="00063D50" w:rsidRDefault="00063D50" w:rsidP="0006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de-DE"/>
        </w:rPr>
      </w:pPr>
      <w:r w:rsidRPr="00063D5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de-DE"/>
        </w:rPr>
        <w:t xml:space="preserve">The association between </w:t>
      </w:r>
      <w:proofErr w:type="gramStart"/>
      <w:r w:rsidRPr="00063D5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de-DE"/>
        </w:rPr>
        <w:t>thyroid</w:t>
      </w:r>
      <w:proofErr w:type="gramEnd"/>
      <w:r w:rsidRPr="00063D5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de-DE"/>
        </w:rPr>
        <w:t xml:space="preserve"> function biomarkers and attention deficit hyperactivity disorder</w:t>
      </w:r>
    </w:p>
    <w:p w:rsidR="00063D50" w:rsidRPr="00063D50" w:rsidRDefault="00063D50" w:rsidP="0006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</w:p>
    <w:p w:rsidR="00063D50" w:rsidRPr="00063D50" w:rsidRDefault="00063D50" w:rsidP="00063D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de-DE"/>
        </w:rPr>
      </w:pPr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>Diana Albrecht</w:t>
      </w:r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de-DE"/>
        </w:rPr>
        <w:t>1</w:t>
      </w:r>
      <w:proofErr w:type="gramStart"/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de-DE"/>
        </w:rPr>
        <w:t>,2</w:t>
      </w:r>
      <w:proofErr w:type="gramEnd"/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>*, MPA, Till Ittermann</w:t>
      </w:r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de-DE"/>
        </w:rPr>
        <w:t>1, 3</w:t>
      </w:r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 xml:space="preserve">, PhD, Michael </w:t>
      </w:r>
      <w:proofErr w:type="spellStart"/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>Thamm</w:t>
      </w:r>
      <w:proofErr w:type="spellEnd"/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 xml:space="preserve"> </w:t>
      </w:r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de-DE"/>
        </w:rPr>
        <w:t>4</w:t>
      </w:r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>,</w:t>
      </w:r>
    </w:p>
    <w:p w:rsidR="00063D50" w:rsidRPr="00063D50" w:rsidRDefault="00063D50" w:rsidP="00063D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de-DE"/>
        </w:rPr>
      </w:pPr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>Hans-</w:t>
      </w:r>
      <w:proofErr w:type="spellStart"/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>Jörgen</w:t>
      </w:r>
      <w:proofErr w:type="spellEnd"/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 xml:space="preserve"> </w:t>
      </w:r>
      <w:proofErr w:type="spellStart"/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>Grabe</w:t>
      </w:r>
      <w:proofErr w:type="spellEnd"/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de-DE"/>
        </w:rPr>
        <w:t xml:space="preserve"> 5, 6</w:t>
      </w:r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 xml:space="preserve">, MD, PhD, Martin </w:t>
      </w:r>
      <w:proofErr w:type="spellStart"/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>Bahls</w:t>
      </w:r>
      <w:proofErr w:type="spellEnd"/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 xml:space="preserve"> </w:t>
      </w:r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de-DE"/>
        </w:rPr>
        <w:t>3, 7</w:t>
      </w:r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>, PhD, Henry Völzke</w:t>
      </w:r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de-DE"/>
        </w:rPr>
        <w:t>1, 3</w:t>
      </w:r>
      <w:r w:rsidRPr="00063D50">
        <w:rPr>
          <w:rFonts w:ascii="Times New Roman" w:eastAsia="Calibri" w:hAnsi="Times New Roman" w:cs="Times New Roman"/>
          <w:sz w:val="24"/>
          <w:szCs w:val="24"/>
          <w:lang w:val="en-US" w:eastAsia="de-DE"/>
        </w:rPr>
        <w:t>, MD, PhD</w:t>
      </w:r>
    </w:p>
    <w:p w:rsidR="00063D50" w:rsidRPr="00063D50" w:rsidRDefault="00063D50" w:rsidP="00063D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de-DE"/>
        </w:rPr>
      </w:pPr>
    </w:p>
    <w:p w:rsidR="00063D50" w:rsidRPr="00063D50" w:rsidRDefault="00063D50" w:rsidP="00063D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3D50">
        <w:rPr>
          <w:rFonts w:ascii="Times New Roman" w:eastAsia="Calibri" w:hAnsi="Times New Roman" w:cs="Times New Roman"/>
          <w:b/>
          <w:sz w:val="24"/>
          <w:szCs w:val="24"/>
          <w:lang w:val="en-US"/>
        </w:rPr>
        <w:t>Affiliations</w:t>
      </w:r>
      <w:r w:rsidRPr="00063D50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063D50" w:rsidRPr="00063D50" w:rsidRDefault="00063D50" w:rsidP="00063D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gramStart"/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proofErr w:type="gramEnd"/>
      <w:r w:rsidRPr="00063D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Institute for Community Medicine, University Medicine Greifswald, 17475 Greifswald, Germany</w:t>
      </w:r>
    </w:p>
    <w:p w:rsidR="00063D50" w:rsidRPr="00063D50" w:rsidRDefault="00063D50" w:rsidP="00063D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3D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063D50">
        <w:rPr>
          <w:rFonts w:ascii="Times New Roman" w:eastAsia="Calibri" w:hAnsi="Times New Roman" w:cs="Times New Roman"/>
          <w:sz w:val="24"/>
          <w:szCs w:val="24"/>
          <w:lang w:val="en-US"/>
        </w:rPr>
        <w:t>Leibniz Institute for Plasma Science and Technology (INP), 17489 Greifswald, Germany</w:t>
      </w:r>
    </w:p>
    <w:p w:rsidR="00063D50" w:rsidRPr="00063D50" w:rsidRDefault="00063D50" w:rsidP="00063D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3D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3</w:t>
      </w:r>
      <w:proofErr w:type="gramEnd"/>
      <w:r w:rsidRPr="00063D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German Centre for Cardiovascular Research (DZHK), partner-site Greifswald, 17475 Greifswald, Germany</w:t>
      </w:r>
    </w:p>
    <w:p w:rsidR="00063D50" w:rsidRPr="00063D50" w:rsidRDefault="00063D50" w:rsidP="00063D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  <w:proofErr w:type="gramEnd"/>
      <w:r w:rsidRPr="00063D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Robert Koch Institute, Berlin, Germany</w:t>
      </w:r>
    </w:p>
    <w:p w:rsidR="00063D50" w:rsidRPr="00063D50" w:rsidRDefault="00063D50" w:rsidP="00063D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5</w:t>
      </w:r>
      <w:proofErr w:type="gramEnd"/>
      <w:r w:rsidRPr="00063D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Department of Psychiatry and Psychotherapy, University Medicine Greifswald, 17475 Greifswald, Germany</w:t>
      </w:r>
    </w:p>
    <w:p w:rsidR="00063D50" w:rsidRPr="00063D50" w:rsidRDefault="00063D50" w:rsidP="00063D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6</w:t>
      </w:r>
      <w:proofErr w:type="gramEnd"/>
      <w:r w:rsidRPr="00063D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German Centre for Neurodegenerative Disease (DZNE), Partner-site Greifswald, 17475 Greifswald, Germany</w:t>
      </w:r>
    </w:p>
    <w:p w:rsidR="00063D50" w:rsidRPr="00063D50" w:rsidRDefault="00063D50" w:rsidP="00063D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3D5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7</w:t>
      </w:r>
      <w:r w:rsidRPr="00063D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Department of Internal Medicine B, University Medicine Greifswald, 17475 Greifswald, Germany</w:t>
      </w:r>
    </w:p>
    <w:p w:rsidR="00063D50" w:rsidRPr="00063D50" w:rsidRDefault="00063D50" w:rsidP="00063D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063D50" w:rsidRDefault="00063D50" w:rsidP="00063D50">
      <w:pPr>
        <w:rPr>
          <w:rFonts w:ascii="Times New Roman" w:eastAsia="Calibri" w:hAnsi="Times New Roman" w:cs="Times New Roman"/>
          <w:sz w:val="24"/>
          <w:szCs w:val="24"/>
          <w:lang w:val="en-US"/>
        </w:rPr>
        <w:sectPr w:rsidR="00063D50" w:rsidSect="00063D5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begin"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instrText xml:space="preserve"> HYPERLINK "mailto:</w:instrText>
      </w:r>
      <w:r w:rsidRPr="00063D50">
        <w:rPr>
          <w:rFonts w:ascii="Times New Roman" w:eastAsia="Calibri" w:hAnsi="Times New Roman" w:cs="Times New Roman"/>
          <w:sz w:val="24"/>
          <w:szCs w:val="24"/>
          <w:lang w:val="en-US"/>
        </w:rPr>
        <w:instrText>*diana.albrecht@uni-greifswald.de</w:instrTex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instrText xml:space="preserve">" </w:instrTex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separate"/>
      </w:r>
      <w:r w:rsidRPr="00765435">
        <w:rPr>
          <w:rStyle w:val="Hyperlink"/>
          <w:rFonts w:ascii="Times New Roman" w:eastAsia="Calibri" w:hAnsi="Times New Roman" w:cs="Times New Roman"/>
          <w:sz w:val="24"/>
          <w:szCs w:val="24"/>
          <w:lang w:val="en-US"/>
        </w:rPr>
        <w:t>*diana.albrecht@uni-greifswald.de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end"/>
      </w:r>
      <w:r w:rsidR="005355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6B1E4E" w:rsidRDefault="00237A3F">
      <w:pPr>
        <w:rPr>
          <w:lang w:val="en-GB"/>
        </w:rPr>
      </w:pPr>
      <w:r>
        <w:rPr>
          <w:lang w:val="en-GB"/>
        </w:rPr>
        <w:lastRenderedPageBreak/>
        <w:t>In addition to our analyses in the main manuscript</w:t>
      </w:r>
      <w:r w:rsidR="006B1E4E">
        <w:rPr>
          <w:lang w:val="en-GB"/>
        </w:rPr>
        <w:t>, we sp</w:t>
      </w:r>
      <w:r w:rsidR="006B1E4E" w:rsidRPr="006B1E4E">
        <w:rPr>
          <w:lang w:val="en-GB"/>
        </w:rPr>
        <w:t xml:space="preserve">ecifically investigated how serum TSH, free triiodothyronine (fT3), and fT4 outside the reference range were associated with </w:t>
      </w:r>
      <w:r w:rsidR="006B1E4E">
        <w:rPr>
          <w:lang w:val="en-GB"/>
        </w:rPr>
        <w:t>ADHD diagnosis and ADHD symptoms in children and adolescents.</w:t>
      </w:r>
      <w:r w:rsidRPr="00237A3F">
        <w:rPr>
          <w:lang w:val="en-US"/>
        </w:rPr>
        <w:t xml:space="preserve"> </w:t>
      </w:r>
      <w:r>
        <w:rPr>
          <w:lang w:val="en-US"/>
        </w:rPr>
        <w:t xml:space="preserve">We found that </w:t>
      </w:r>
      <w:r>
        <w:rPr>
          <w:lang w:val="en-GB"/>
        </w:rPr>
        <w:t>c</w:t>
      </w:r>
      <w:r w:rsidRPr="00237A3F">
        <w:rPr>
          <w:lang w:val="en-GB"/>
        </w:rPr>
        <w:t>hildren with TSH levels above the reference range had 68 % lower risk for ADHD</w:t>
      </w:r>
      <w:r>
        <w:rPr>
          <w:lang w:val="en-GB"/>
        </w:rPr>
        <w:t xml:space="preserve"> diagnosis</w:t>
      </w:r>
      <w:r w:rsidRPr="00237A3F">
        <w:rPr>
          <w:lang w:val="en-GB"/>
        </w:rPr>
        <w:t xml:space="preserve"> (</w:t>
      </w:r>
      <w:proofErr w:type="gramStart"/>
      <w:r w:rsidRPr="00237A3F">
        <w:rPr>
          <w:lang w:val="en-GB"/>
        </w:rPr>
        <w:t>OR:</w:t>
      </w:r>
      <w:proofErr w:type="gramEnd"/>
      <w:r w:rsidRPr="00237A3F">
        <w:rPr>
          <w:lang w:val="en-GB"/>
        </w:rPr>
        <w:t xml:space="preserve"> 0.32; 95% CI: 0.10 to 0.98). Circulating thyroid hormone concentrations below or above the reference concentration were not associated with confirmed or suspected ADHD</w:t>
      </w:r>
      <w:r>
        <w:rPr>
          <w:lang w:val="en-GB"/>
        </w:rPr>
        <w:t xml:space="preserve">. However, </w:t>
      </w:r>
      <w:r w:rsidRPr="00237A3F">
        <w:rPr>
          <w:lang w:val="en-GB"/>
        </w:rPr>
        <w:t xml:space="preserve">the number of children and adolescents with thyroid </w:t>
      </w:r>
      <w:r>
        <w:rPr>
          <w:lang w:val="en-GB"/>
        </w:rPr>
        <w:t>function biomarkers</w:t>
      </w:r>
      <w:r w:rsidRPr="00237A3F">
        <w:rPr>
          <w:lang w:val="en-GB"/>
        </w:rPr>
        <w:t xml:space="preserve"> outside the reference range was relatively small. Thus, this analysis </w:t>
      </w:r>
      <w:proofErr w:type="gramStart"/>
      <w:r w:rsidRPr="00237A3F">
        <w:rPr>
          <w:lang w:val="en-GB"/>
        </w:rPr>
        <w:t>may be limited</w:t>
      </w:r>
      <w:proofErr w:type="gramEnd"/>
      <w:r w:rsidRPr="00237A3F">
        <w:rPr>
          <w:lang w:val="en-GB"/>
        </w:rPr>
        <w:t xml:space="preserve"> by reduced statistical power to detect and validate any association between ADHD and thyroid </w:t>
      </w:r>
      <w:r>
        <w:rPr>
          <w:lang w:val="en-GB"/>
        </w:rPr>
        <w:t>function biomarkers</w:t>
      </w:r>
      <w:r w:rsidRPr="00237A3F">
        <w:rPr>
          <w:lang w:val="en-GB"/>
        </w:rPr>
        <w:t xml:space="preserve"> concentration on either end of the spectrum.</w:t>
      </w:r>
    </w:p>
    <w:p w:rsidR="00237A3F" w:rsidRDefault="00237A3F">
      <w:pPr>
        <w:rPr>
          <w:lang w:val="en-GB"/>
        </w:rPr>
        <w:sectPr w:rsidR="00237A3F" w:rsidSect="00237A3F">
          <w:type w:val="oddPage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6B1E4E" w:rsidRPr="006B1E4E" w:rsidRDefault="006B1E4E">
      <w:pPr>
        <w:rPr>
          <w:lang w:val="en-GB"/>
        </w:rPr>
      </w:pPr>
    </w:p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1892"/>
        <w:gridCol w:w="440"/>
        <w:gridCol w:w="1965"/>
        <w:gridCol w:w="1153"/>
        <w:gridCol w:w="1940"/>
        <w:gridCol w:w="500"/>
        <w:gridCol w:w="1104"/>
        <w:gridCol w:w="1947"/>
        <w:gridCol w:w="1030"/>
        <w:gridCol w:w="1936"/>
      </w:tblGrid>
      <w:tr w:rsidR="006B1E4E" w:rsidRPr="006B1E4E" w:rsidTr="006B1E4E">
        <w:trPr>
          <w:trHeight w:val="300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5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ADHD diagnosis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6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ADHD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 symptoms</w:t>
            </w:r>
          </w:p>
        </w:tc>
      </w:tr>
      <w:tr w:rsidR="006B1E4E" w:rsidRPr="006B1E4E" w:rsidTr="006B1E4E">
        <w:trPr>
          <w:trHeight w:val="300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Children (Tanner I-III)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Adolescents (Tanner IV-V)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Children (Tanner I-III)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Adolescents (Tanner IV-V)</w:t>
            </w:r>
          </w:p>
        </w:tc>
      </w:tr>
      <w:tr w:rsidR="006B1E4E" w:rsidRPr="006B1E4E" w:rsidTr="006B1E4E">
        <w:trPr>
          <w:trHeight w:val="300"/>
        </w:trPr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N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OR (CI)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OR (CI)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N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OR (CI)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E4E" w:rsidRPr="006B1E4E" w:rsidRDefault="006B1E4E" w:rsidP="006B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OR (CI)</w:t>
            </w:r>
          </w:p>
        </w:tc>
      </w:tr>
      <w:tr w:rsidR="006B1E4E" w:rsidRPr="006B1E4E" w:rsidTr="006B1E4E">
        <w:trPr>
          <w:trHeight w:val="300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low TSH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,</w:t>
            </w:r>
            <w:r w:rsidRPr="006B1E4E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6B1E4E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mIU</w:t>
            </w:r>
            <w:proofErr w:type="spellEnd"/>
            <w:r w:rsidRPr="006B1E4E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/L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1.04 (0.53; 2.02)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2.21 (0.25; 19.68)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7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0.45 (0.15; 1.35)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</w:p>
        </w:tc>
      </w:tr>
      <w:tr w:rsidR="006B1E4E" w:rsidRPr="006B1E4E" w:rsidTr="006B1E4E">
        <w:trPr>
          <w:trHeight w:val="300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high TSH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, </w:t>
            </w:r>
            <w:proofErr w:type="spellStart"/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mIU</w:t>
            </w:r>
            <w:proofErr w:type="spellEnd"/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/L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0.32 (0.10; 0.98)*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1.27 (0.58; 2.78)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16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1.07 (0.58; 1.98)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1.12 (0.40; 3.15)</w:t>
            </w:r>
          </w:p>
        </w:tc>
      </w:tr>
      <w:tr w:rsidR="006B1E4E" w:rsidRPr="006B1E4E" w:rsidTr="006B1E4E">
        <w:trPr>
          <w:trHeight w:val="300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low fT3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, </w:t>
            </w:r>
            <w:proofErr w:type="spellStart"/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pmol</w:t>
            </w:r>
            <w:proofErr w:type="spellEnd"/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/L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27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1.39 (0.87; 2.23)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2.42 (0.88; 6.66)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16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0.59 (0.34; 1.03)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0.23 (0.03; 1.75)</w:t>
            </w:r>
          </w:p>
        </w:tc>
      </w:tr>
      <w:tr w:rsidR="006B1E4E" w:rsidRPr="006B1E4E" w:rsidTr="006B1E4E">
        <w:trPr>
          <w:trHeight w:val="300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highfT3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, </w:t>
            </w:r>
            <w:proofErr w:type="spellStart"/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pmol</w:t>
            </w:r>
            <w:proofErr w:type="spellEnd"/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/L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0.55 (0.23; 1.34)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0.52 (0.14; 1.88)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0.76 (0.34; 1.69)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1.77 (0.52; 6.08)</w:t>
            </w:r>
          </w:p>
        </w:tc>
      </w:tr>
      <w:tr w:rsidR="006B1E4E" w:rsidRPr="006B1E4E" w:rsidTr="006B1E4E">
        <w:trPr>
          <w:trHeight w:val="300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low fT4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, </w:t>
            </w:r>
            <w:proofErr w:type="spellStart"/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pmol</w:t>
            </w:r>
            <w:proofErr w:type="spellEnd"/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/L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                          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1.47 (0.36; 6.05)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</w:p>
        </w:tc>
      </w:tr>
      <w:tr w:rsidR="006B1E4E" w:rsidRPr="006B1E4E" w:rsidTr="006B1E4E">
        <w:trPr>
          <w:trHeight w:val="300"/>
        </w:trPr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highfT4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, </w:t>
            </w:r>
            <w:proofErr w:type="spellStart"/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pmol</w:t>
            </w:r>
            <w:proofErr w:type="spellEnd"/>
            <w:r w:rsidRPr="006B1E4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/L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26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0.73 (0.45; 1.20)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0.49 (0.18; 1.31)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47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0.94 (0.61; 1.44)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E4E" w:rsidRPr="006B1E4E" w:rsidRDefault="006B1E4E" w:rsidP="006B1E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6B1E4E">
              <w:rPr>
                <w:rFonts w:ascii="Calibri" w:eastAsia="Times New Roman" w:hAnsi="Calibri" w:cs="Times New Roman"/>
                <w:color w:val="000000"/>
                <w:lang w:val="en-US"/>
              </w:rPr>
              <w:t>1.00 (0.41; 2.44)</w:t>
            </w:r>
          </w:p>
        </w:tc>
      </w:tr>
    </w:tbl>
    <w:p w:rsidR="006B1E4E" w:rsidRPr="006B1E4E" w:rsidRDefault="006B1E4E" w:rsidP="006B1E4E">
      <w:pPr>
        <w:spacing w:after="0" w:line="240" w:lineRule="auto"/>
        <w:rPr>
          <w:rFonts w:ascii="Calibri" w:eastAsia="Calibri" w:hAnsi="Calibri" w:cs="Times New Roman"/>
          <w:sz w:val="18"/>
          <w:szCs w:val="18"/>
          <w:lang w:val="en-US"/>
        </w:rPr>
      </w:pPr>
      <w:r w:rsidRPr="006B1E4E">
        <w:rPr>
          <w:rFonts w:ascii="Calibri" w:eastAsia="Calibri" w:hAnsi="Calibri" w:cs="Times New Roman"/>
          <w:sz w:val="18"/>
          <w:szCs w:val="18"/>
          <w:lang w:val="en-US"/>
        </w:rPr>
        <w:t>[TSH: thyroid stimulating hormone; fT3: free triiodothyronine; fT4: free thyroxine]</w:t>
      </w:r>
    </w:p>
    <w:p w:rsidR="006B1E4E" w:rsidRPr="006B1E4E" w:rsidRDefault="006B1E4E" w:rsidP="006B1E4E">
      <w:pPr>
        <w:spacing w:after="0" w:line="240" w:lineRule="auto"/>
        <w:rPr>
          <w:rFonts w:ascii="Calibri" w:eastAsia="Calibri" w:hAnsi="Calibri" w:cs="Times New Roman"/>
          <w:sz w:val="18"/>
          <w:szCs w:val="18"/>
          <w:lang w:val="en-US"/>
        </w:rPr>
      </w:pPr>
      <w:r w:rsidRPr="006B1E4E">
        <w:rPr>
          <w:rFonts w:ascii="Calibri" w:eastAsia="Calibri" w:hAnsi="Calibri" w:cs="Times New Roman"/>
          <w:sz w:val="18"/>
          <w:szCs w:val="18"/>
          <w:vertAlign w:val="superscript"/>
          <w:lang w:val="en-US"/>
        </w:rPr>
        <w:t>*</w:t>
      </w:r>
      <w:r w:rsidRPr="006B1E4E">
        <w:rPr>
          <w:rFonts w:ascii="Calibri" w:eastAsia="Calibri" w:hAnsi="Calibri" w:cs="Times New Roman"/>
          <w:sz w:val="18"/>
          <w:szCs w:val="18"/>
          <w:lang w:val="en-US"/>
        </w:rPr>
        <w:t>p≤0.05</w:t>
      </w:r>
    </w:p>
    <w:p w:rsidR="006B1E4E" w:rsidRPr="006B1E4E" w:rsidRDefault="006B1E4E" w:rsidP="006B1E4E">
      <w:pPr>
        <w:spacing w:after="0" w:line="240" w:lineRule="auto"/>
        <w:rPr>
          <w:rFonts w:ascii="Calibri" w:eastAsia="Calibri" w:hAnsi="Calibri" w:cs="Times New Roman"/>
          <w:sz w:val="18"/>
          <w:szCs w:val="18"/>
          <w:lang w:val="en-US"/>
        </w:rPr>
      </w:pPr>
    </w:p>
    <w:p w:rsidR="006B1E4E" w:rsidRPr="006B1E4E" w:rsidRDefault="006B1E4E" w:rsidP="006B1E4E">
      <w:pPr>
        <w:spacing w:after="0" w:line="240" w:lineRule="auto"/>
        <w:rPr>
          <w:lang w:val="en-US"/>
        </w:rPr>
      </w:pPr>
      <w:r>
        <w:rPr>
          <w:rFonts w:ascii="Calibri" w:eastAsia="Calibri" w:hAnsi="Calibri" w:cs="Times New Roman"/>
          <w:lang w:val="en-US"/>
        </w:rPr>
        <w:t>Supplementary Table</w:t>
      </w:r>
      <w:r w:rsidRPr="006B1E4E">
        <w:rPr>
          <w:rFonts w:ascii="Calibri" w:eastAsia="Calibri" w:hAnsi="Calibri" w:cs="Times New Roman"/>
          <w:lang w:val="en-US"/>
        </w:rPr>
        <w:t xml:space="preserve">. </w:t>
      </w:r>
      <w:r w:rsidRPr="006B1E4E">
        <w:rPr>
          <w:rFonts w:ascii="Calibri" w:eastAsia="Calibri" w:hAnsi="Calibri" w:cs="Times New Roman"/>
          <w:lang w:val="en-US"/>
        </w:rPr>
        <w:t>Adjusted odds ratio of confirmed and suspected ADHD cases outside the age-specific reference interv</w:t>
      </w:r>
      <w:r>
        <w:rPr>
          <w:rFonts w:ascii="Calibri" w:eastAsia="Calibri" w:hAnsi="Calibri" w:cs="Times New Roman"/>
          <w:lang w:val="en-US"/>
        </w:rPr>
        <w:t xml:space="preserve">als (2.5th – 97.5th percentile) defined by </w:t>
      </w:r>
      <w:proofErr w:type="spellStart"/>
      <w:r>
        <w:rPr>
          <w:rFonts w:ascii="Calibri" w:eastAsia="Calibri" w:hAnsi="Calibri" w:cs="Times New Roman"/>
          <w:lang w:val="en-US"/>
        </w:rPr>
        <w:t>Kratzsch</w:t>
      </w:r>
      <w:proofErr w:type="spellEnd"/>
      <w:r>
        <w:rPr>
          <w:rFonts w:ascii="Calibri" w:eastAsia="Calibri" w:hAnsi="Calibri" w:cs="Times New Roman"/>
          <w:lang w:val="en-US"/>
        </w:rPr>
        <w:t xml:space="preserve"> et al.</w:t>
      </w:r>
      <w:r w:rsidRPr="006B1E4E">
        <w:rPr>
          <w:rFonts w:ascii="Calibri" w:eastAsia="Calibri" w:hAnsi="Calibri" w:cs="Times New Roman"/>
          <w:lang w:val="en-US"/>
        </w:rPr>
        <w:t xml:space="preserve"> for TSH, fT3, and fT4</w:t>
      </w:r>
      <w:r>
        <w:rPr>
          <w:rFonts w:ascii="Calibri" w:eastAsia="Calibri" w:hAnsi="Calibri" w:cs="Times New Roman"/>
          <w:lang w:val="en-US"/>
        </w:rPr>
        <w:t>.</w:t>
      </w:r>
      <w:r w:rsidRPr="006B1E4E">
        <w:rPr>
          <w:rFonts w:ascii="Calibri" w:eastAsia="Calibri" w:hAnsi="Calibri" w:cs="Times New Roman"/>
          <w:lang w:val="en-US"/>
        </w:rPr>
        <w:t xml:space="preserve"> Data expressed as adjusted odds ratio (OR) with 95% Confidence Interval (CI). Models have been adjusted for sex, age, and weight at birth, and the following covariates: </w:t>
      </w:r>
      <w:proofErr w:type="gramStart"/>
      <w:r w:rsidRPr="006B1E4E">
        <w:rPr>
          <w:rFonts w:ascii="Calibri" w:eastAsia="Calibri" w:hAnsi="Calibri" w:cs="Times New Roman"/>
          <w:lang w:val="en-US"/>
        </w:rPr>
        <w:t>mother’s</w:t>
      </w:r>
      <w:proofErr w:type="gramEnd"/>
      <w:r w:rsidRPr="006B1E4E">
        <w:rPr>
          <w:rFonts w:ascii="Calibri" w:eastAsia="Calibri" w:hAnsi="Calibri" w:cs="Times New Roman"/>
          <w:lang w:val="en-US"/>
        </w:rPr>
        <w:t xml:space="preserve"> smoking habit during gestation and the current BMI z-score of the child/adolescent.</w:t>
      </w:r>
    </w:p>
    <w:p w:rsidR="006B1E4E" w:rsidRPr="006B1E4E" w:rsidRDefault="006B1E4E">
      <w:pPr>
        <w:rPr>
          <w:lang w:val="en-GB"/>
        </w:rPr>
      </w:pPr>
    </w:p>
    <w:sectPr w:rsidR="006B1E4E" w:rsidRPr="006B1E4E" w:rsidSect="00237A3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4E"/>
    <w:rsid w:val="00063D50"/>
    <w:rsid w:val="001C385F"/>
    <w:rsid w:val="00237A3F"/>
    <w:rsid w:val="005355CA"/>
    <w:rsid w:val="006B1E4E"/>
    <w:rsid w:val="00A03763"/>
    <w:rsid w:val="00AD73FB"/>
    <w:rsid w:val="00CF4858"/>
    <w:rsid w:val="00E4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31A8"/>
  <w15:chartTrackingRefBased/>
  <w15:docId w15:val="{D4EC0764-6E16-4AD4-96F6-DAEEA269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63D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INP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Albrecht, Diana</dc:creator>
  <cp:keywords/>
  <dc:description/>
  <cp:lastModifiedBy>Albrecht, Diana</cp:lastModifiedBy>
  <cp:revision>4</cp:revision>
  <cp:lastPrinted>2020-07-31T07:42:00Z</cp:lastPrinted>
  <dcterms:created xsi:type="dcterms:W3CDTF">2020-07-31T07:20:00Z</dcterms:created>
  <dcterms:modified xsi:type="dcterms:W3CDTF">2020-07-31T07:44:00Z</dcterms:modified>
</cp:coreProperties>
</file>