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7EEE6" w14:textId="3ED0C9F2" w:rsidR="00654E8F" w:rsidRPr="00EE1419" w:rsidRDefault="00EE1419" w:rsidP="00EE1419">
      <w:pPr>
        <w:pStyle w:val="SupplementaryMaterial"/>
        <w:spacing w:line="360" w:lineRule="auto"/>
        <w:jc w:val="left"/>
        <w:rPr>
          <w:i w:val="0"/>
          <w:sz w:val="28"/>
          <w:szCs w:val="28"/>
        </w:rPr>
      </w:pPr>
      <w:bookmarkStart w:id="0" w:name="_GoBack"/>
      <w:bookmarkEnd w:id="0"/>
      <w:r w:rsidRPr="00EE1419">
        <w:rPr>
          <w:i w:val="0"/>
          <w:sz w:val="28"/>
          <w:szCs w:val="28"/>
        </w:rPr>
        <w:t>Supplementary Information</w:t>
      </w:r>
    </w:p>
    <w:p w14:paraId="6C3BE454" w14:textId="7B28D54C" w:rsidR="00DA3D05" w:rsidRPr="00E775B0" w:rsidRDefault="00DA3D05" w:rsidP="00EE1419">
      <w:pPr>
        <w:pStyle w:val="Ttulo"/>
        <w:spacing w:line="360" w:lineRule="auto"/>
        <w:jc w:val="both"/>
      </w:pPr>
      <w:r w:rsidRPr="00E775B0">
        <w:t xml:space="preserve">Genetic analysis of phenylpropanoids and antioxidant capacity in strawberry fruit reveals </w:t>
      </w:r>
      <w:proofErr w:type="spellStart"/>
      <w:r w:rsidRPr="00E775B0">
        <w:t>mQTL</w:t>
      </w:r>
      <w:proofErr w:type="spellEnd"/>
      <w:r w:rsidRPr="00E775B0">
        <w:t xml:space="preserve"> hotspots and candidate genes</w:t>
      </w:r>
    </w:p>
    <w:p w14:paraId="6D64C3CE" w14:textId="77777777" w:rsidR="00E775B0" w:rsidRDefault="00E775B0" w:rsidP="00E775B0">
      <w:pPr>
        <w:jc w:val="both"/>
        <w:rPr>
          <w:rFonts w:cs="Times New Roman"/>
          <w:b/>
          <w:szCs w:val="24"/>
          <w:vertAlign w:val="superscript"/>
          <w:lang w:val="es-ES_tradnl"/>
        </w:rPr>
      </w:pPr>
      <w:proofErr w:type="spellStart"/>
      <w:r>
        <w:rPr>
          <w:rFonts w:cs="Times New Roman"/>
          <w:b/>
          <w:szCs w:val="24"/>
          <w:lang w:val="es-ES_tradnl"/>
        </w:rPr>
        <w:t>Delphine</w:t>
      </w:r>
      <w:proofErr w:type="spellEnd"/>
      <w:r>
        <w:rPr>
          <w:rFonts w:cs="Times New Roman"/>
          <w:b/>
          <w:szCs w:val="24"/>
          <w:lang w:val="es-ES_tradnl"/>
        </w:rPr>
        <w:t xml:space="preserve"> M. Pott</w:t>
      </w:r>
      <w:r>
        <w:rPr>
          <w:rFonts w:cs="Times New Roman"/>
          <w:b/>
          <w:szCs w:val="24"/>
          <w:vertAlign w:val="superscript"/>
          <w:lang w:val="es-ES_tradnl"/>
        </w:rPr>
        <w:t>1,2</w:t>
      </w:r>
      <w:r>
        <w:rPr>
          <w:rFonts w:cs="Times New Roman"/>
          <w:b/>
          <w:szCs w:val="24"/>
          <w:lang w:val="es-ES_tradnl"/>
        </w:rPr>
        <w:t>, José G. Vallarino</w:t>
      </w:r>
      <w:r>
        <w:rPr>
          <w:rFonts w:cs="Times New Roman"/>
          <w:b/>
          <w:szCs w:val="24"/>
          <w:vertAlign w:val="superscript"/>
          <w:lang w:val="es-ES_tradnl"/>
        </w:rPr>
        <w:t>1,2</w:t>
      </w:r>
      <w:r>
        <w:rPr>
          <w:rFonts w:cs="Times New Roman"/>
          <w:b/>
          <w:szCs w:val="24"/>
          <w:lang w:val="es-ES_tradnl"/>
        </w:rPr>
        <w:t>,</w:t>
      </w:r>
      <w:r>
        <w:rPr>
          <w:rFonts w:cs="Times New Roman"/>
          <w:b/>
          <w:szCs w:val="24"/>
          <w:vertAlign w:val="superscript"/>
          <w:lang w:val="es-ES_tradnl"/>
        </w:rPr>
        <w:t xml:space="preserve"> </w:t>
      </w:r>
      <w:r>
        <w:rPr>
          <w:rFonts w:cs="Times New Roman"/>
          <w:b/>
          <w:szCs w:val="24"/>
          <w:lang w:val="es-ES_tradnl"/>
        </w:rPr>
        <w:t>Eduardo Cruz-Rus</w:t>
      </w:r>
      <w:r>
        <w:rPr>
          <w:rFonts w:cs="Times New Roman"/>
          <w:b/>
          <w:szCs w:val="24"/>
          <w:vertAlign w:val="superscript"/>
          <w:lang w:val="es-ES_tradnl"/>
        </w:rPr>
        <w:t>2,</w:t>
      </w:r>
      <w:r>
        <w:rPr>
          <w:rFonts w:eastAsia="Arial" w:cs="Times New Roman"/>
          <w:b/>
          <w:szCs w:val="24"/>
          <w:vertAlign w:val="superscript"/>
          <w:lang w:val="es-ES_tradnl"/>
        </w:rPr>
        <w:t>3</w:t>
      </w:r>
      <w:r>
        <w:rPr>
          <w:rFonts w:cs="Times New Roman"/>
          <w:b/>
          <w:szCs w:val="24"/>
          <w:lang w:val="es-ES_tradnl"/>
        </w:rPr>
        <w:t xml:space="preserve">, </w:t>
      </w:r>
      <w:proofErr w:type="spellStart"/>
      <w:r>
        <w:rPr>
          <w:rFonts w:cs="Times New Roman"/>
          <w:b/>
          <w:szCs w:val="24"/>
          <w:lang w:val="es-ES_tradnl"/>
        </w:rPr>
        <w:t>Lothar</w:t>
      </w:r>
      <w:proofErr w:type="spellEnd"/>
      <w:r>
        <w:rPr>
          <w:rFonts w:cs="Times New Roman"/>
          <w:b/>
          <w:szCs w:val="24"/>
          <w:lang w:val="es-ES_tradnl"/>
        </w:rPr>
        <w:t xml:space="preserve"> Willmitzer</w:t>
      </w:r>
      <w:r>
        <w:rPr>
          <w:rFonts w:eastAsia="Arial" w:cs="Times New Roman"/>
          <w:b/>
          <w:szCs w:val="24"/>
          <w:vertAlign w:val="superscript"/>
          <w:lang w:val="es-ES_tradnl"/>
        </w:rPr>
        <w:t>4</w:t>
      </w:r>
      <w:r>
        <w:rPr>
          <w:rFonts w:eastAsia="Arial" w:cs="Times New Roman"/>
          <w:b/>
          <w:szCs w:val="24"/>
          <w:lang w:val="es-ES_tradnl"/>
        </w:rPr>
        <w:t>,</w:t>
      </w:r>
      <w:r>
        <w:rPr>
          <w:rFonts w:eastAsia="Arial" w:cs="Times New Roman"/>
          <w:b/>
          <w:szCs w:val="24"/>
          <w:vertAlign w:val="superscript"/>
          <w:lang w:val="es-ES_tradnl"/>
        </w:rPr>
        <w:t xml:space="preserve"> </w:t>
      </w:r>
      <w:r>
        <w:rPr>
          <w:rFonts w:cs="Times New Roman"/>
          <w:b/>
          <w:szCs w:val="24"/>
          <w:lang w:val="es-ES_tradnl"/>
        </w:rPr>
        <w:t>José F. Sánchez-Sevilla</w:t>
      </w:r>
      <w:r>
        <w:rPr>
          <w:rFonts w:cs="Times New Roman"/>
          <w:b/>
          <w:szCs w:val="24"/>
          <w:vertAlign w:val="superscript"/>
          <w:lang w:val="es-ES_tradnl"/>
        </w:rPr>
        <w:t>2,</w:t>
      </w:r>
      <w:r>
        <w:rPr>
          <w:rFonts w:eastAsia="Arial" w:cs="Times New Roman"/>
          <w:b/>
          <w:szCs w:val="24"/>
          <w:vertAlign w:val="superscript"/>
          <w:lang w:val="es-ES_tradnl"/>
        </w:rPr>
        <w:t>3</w:t>
      </w:r>
      <w:r>
        <w:rPr>
          <w:rFonts w:cs="Times New Roman"/>
          <w:b/>
          <w:szCs w:val="24"/>
          <w:lang w:val="es-ES_tradnl"/>
        </w:rPr>
        <w:t xml:space="preserve">, </w:t>
      </w:r>
      <w:proofErr w:type="spellStart"/>
      <w:r>
        <w:rPr>
          <w:rFonts w:cs="Times New Roman"/>
          <w:b/>
          <w:szCs w:val="24"/>
          <w:lang w:val="es-ES_tradnl"/>
        </w:rPr>
        <w:t>Iraida</w:t>
      </w:r>
      <w:proofErr w:type="spellEnd"/>
      <w:r>
        <w:rPr>
          <w:rFonts w:cs="Times New Roman"/>
          <w:b/>
          <w:szCs w:val="24"/>
          <w:lang w:val="es-ES_tradnl"/>
        </w:rPr>
        <w:t xml:space="preserve"> Amaya</w:t>
      </w:r>
      <w:r>
        <w:rPr>
          <w:rFonts w:cs="Times New Roman"/>
          <w:b/>
          <w:szCs w:val="24"/>
          <w:vertAlign w:val="superscript"/>
          <w:lang w:val="es-ES_tradnl"/>
        </w:rPr>
        <w:t>2,</w:t>
      </w:r>
      <w:r>
        <w:rPr>
          <w:rFonts w:eastAsia="Arial" w:cs="Times New Roman"/>
          <w:b/>
          <w:szCs w:val="24"/>
          <w:vertAlign w:val="superscript"/>
          <w:lang w:val="es-ES_tradnl"/>
        </w:rPr>
        <w:t>3</w:t>
      </w:r>
      <w:r>
        <w:rPr>
          <w:rFonts w:cs="Times New Roman"/>
          <w:b/>
          <w:szCs w:val="24"/>
          <w:lang w:val="es-ES_tradnl"/>
        </w:rPr>
        <w:t>*, Sonia Osorio</w:t>
      </w:r>
      <w:r>
        <w:rPr>
          <w:rFonts w:cs="Times New Roman"/>
          <w:b/>
          <w:szCs w:val="24"/>
          <w:vertAlign w:val="superscript"/>
          <w:lang w:val="es-ES_tradnl"/>
        </w:rPr>
        <w:t>1,2</w:t>
      </w:r>
      <w:r>
        <w:rPr>
          <w:rFonts w:cs="Times New Roman"/>
          <w:b/>
          <w:szCs w:val="24"/>
          <w:lang w:val="es-ES_tradnl"/>
        </w:rPr>
        <w:t>*</w:t>
      </w:r>
    </w:p>
    <w:p w14:paraId="4DB8B06B" w14:textId="77777777" w:rsidR="00E775B0" w:rsidRDefault="00E775B0" w:rsidP="00E775B0">
      <w:pPr>
        <w:jc w:val="both"/>
        <w:rPr>
          <w:rFonts w:cs="Times New Roman"/>
          <w:szCs w:val="24"/>
          <w:lang w:val="es-ES_tradnl"/>
        </w:rPr>
      </w:pPr>
      <w:r>
        <w:rPr>
          <w:rFonts w:eastAsia="Arial" w:cs="Times New Roman"/>
          <w:szCs w:val="24"/>
          <w:vertAlign w:val="superscript"/>
          <w:lang w:val="es-ES_tradnl"/>
        </w:rPr>
        <w:t>1</w:t>
      </w:r>
      <w:r>
        <w:rPr>
          <w:rFonts w:eastAsia="Arial" w:cs="Times New Roman"/>
          <w:szCs w:val="24"/>
          <w:lang w:val="es-ES_tradnl"/>
        </w:rPr>
        <w:t xml:space="preserve">Departmento de Biología Molecular y Bioquímica, </w:t>
      </w:r>
      <w:r>
        <w:rPr>
          <w:rFonts w:cs="Times New Roman"/>
          <w:color w:val="000000"/>
          <w:szCs w:val="24"/>
          <w:lang w:val="es-ES_tradnl"/>
        </w:rPr>
        <w:t xml:space="preserve">Instituto de </w:t>
      </w:r>
      <w:proofErr w:type="spellStart"/>
      <w:r>
        <w:rPr>
          <w:rFonts w:cs="Times New Roman"/>
          <w:color w:val="000000"/>
          <w:szCs w:val="24"/>
          <w:lang w:val="es-ES_tradnl"/>
        </w:rPr>
        <w:t>Hortofruticultura</w:t>
      </w:r>
      <w:proofErr w:type="spellEnd"/>
      <w:r>
        <w:rPr>
          <w:rFonts w:cs="Times New Roman"/>
          <w:color w:val="000000"/>
          <w:szCs w:val="24"/>
          <w:lang w:val="es-ES_tradnl"/>
        </w:rPr>
        <w:t xml:space="preserve"> Subtropical y </w:t>
      </w:r>
      <w:proofErr w:type="spellStart"/>
      <w:r>
        <w:rPr>
          <w:rFonts w:cs="Times New Roman"/>
          <w:color w:val="000000"/>
          <w:szCs w:val="24"/>
          <w:lang w:val="es-ES_tradnl"/>
        </w:rPr>
        <w:t>Mediterránea</w:t>
      </w:r>
      <w:proofErr w:type="spellEnd"/>
      <w:r>
        <w:rPr>
          <w:rFonts w:cs="Times New Roman"/>
          <w:color w:val="000000"/>
          <w:szCs w:val="24"/>
          <w:lang w:val="es-ES_tradnl"/>
        </w:rPr>
        <w:t xml:space="preserve"> “La Mayora”, Universidad de </w:t>
      </w:r>
      <w:proofErr w:type="spellStart"/>
      <w:r>
        <w:rPr>
          <w:rFonts w:cs="Times New Roman"/>
          <w:color w:val="000000"/>
          <w:szCs w:val="24"/>
          <w:lang w:val="es-ES_tradnl"/>
        </w:rPr>
        <w:t>Málaga-Consejo</w:t>
      </w:r>
      <w:proofErr w:type="spellEnd"/>
      <w:r>
        <w:rPr>
          <w:rFonts w:cs="Times New Roman"/>
          <w:color w:val="000000"/>
          <w:szCs w:val="24"/>
          <w:lang w:val="es-ES_tradnl"/>
        </w:rPr>
        <w:t xml:space="preserve"> Superior de Investigaciones </w:t>
      </w:r>
      <w:proofErr w:type="spellStart"/>
      <w:r>
        <w:rPr>
          <w:rFonts w:cs="Times New Roman"/>
          <w:color w:val="000000"/>
          <w:szCs w:val="24"/>
          <w:lang w:val="es-ES_tradnl"/>
        </w:rPr>
        <w:t>Científicas</w:t>
      </w:r>
      <w:proofErr w:type="spellEnd"/>
      <w:r>
        <w:rPr>
          <w:rFonts w:cs="Times New Roman"/>
          <w:color w:val="000000"/>
          <w:szCs w:val="24"/>
          <w:lang w:val="es-ES_tradnl"/>
        </w:rPr>
        <w:t>,</w:t>
      </w:r>
      <w:r>
        <w:rPr>
          <w:rFonts w:eastAsia="Arial" w:cs="Times New Roman"/>
          <w:szCs w:val="24"/>
          <w:lang w:val="es-ES_tradnl"/>
        </w:rPr>
        <w:t xml:space="preserve"> Campus de Teatinos 29071, Málaga, </w:t>
      </w:r>
      <w:proofErr w:type="spellStart"/>
      <w:r>
        <w:rPr>
          <w:rFonts w:eastAsia="Arial" w:cs="Times New Roman"/>
          <w:szCs w:val="24"/>
          <w:lang w:val="es-ES_tradnl"/>
        </w:rPr>
        <w:t>Spain</w:t>
      </w:r>
      <w:proofErr w:type="spellEnd"/>
      <w:r>
        <w:rPr>
          <w:rFonts w:eastAsia="Arial" w:cs="Times New Roman"/>
          <w:szCs w:val="24"/>
          <w:lang w:val="es-ES_tradnl"/>
        </w:rPr>
        <w:t xml:space="preserve">, </w:t>
      </w:r>
      <w:r>
        <w:rPr>
          <w:rFonts w:eastAsia="Arial" w:cs="Times New Roman"/>
          <w:szCs w:val="24"/>
          <w:vertAlign w:val="superscript"/>
          <w:lang w:val="es-ES_tradnl"/>
        </w:rPr>
        <w:t>2</w:t>
      </w:r>
      <w:r>
        <w:rPr>
          <w:rFonts w:eastAsia="Arial" w:cs="Times New Roman"/>
          <w:szCs w:val="24"/>
          <w:lang w:val="es-ES_tradnl"/>
        </w:rPr>
        <w:t xml:space="preserve">Unidad Asociada de I + D + i IFAPA-CSIC Biotecnología y Mejora en Fresa, Málaga, </w:t>
      </w:r>
      <w:proofErr w:type="spellStart"/>
      <w:r>
        <w:rPr>
          <w:rFonts w:eastAsia="Arial" w:cs="Times New Roman"/>
          <w:szCs w:val="24"/>
          <w:lang w:val="es-ES_tradnl"/>
        </w:rPr>
        <w:t>Spain</w:t>
      </w:r>
      <w:proofErr w:type="spellEnd"/>
      <w:r>
        <w:rPr>
          <w:rFonts w:eastAsia="Arial" w:cs="Times New Roman"/>
          <w:szCs w:val="24"/>
          <w:lang w:val="es-ES_tradnl"/>
        </w:rPr>
        <w:t xml:space="preserve">, </w:t>
      </w:r>
      <w:r>
        <w:rPr>
          <w:rFonts w:eastAsia="Arial" w:cs="Times New Roman"/>
          <w:szCs w:val="24"/>
          <w:vertAlign w:val="superscript"/>
          <w:lang w:val="es-ES_tradnl"/>
        </w:rPr>
        <w:t>3</w:t>
      </w:r>
      <w:r>
        <w:rPr>
          <w:rFonts w:eastAsia="Arial" w:cs="Times New Roman"/>
          <w:szCs w:val="24"/>
          <w:lang w:val="es-ES_tradnl"/>
        </w:rPr>
        <w:t xml:space="preserve">Laboratorio de Genómica y Biotecnología, IFAPA Centro de Málaga, 29140 Málaga, </w:t>
      </w:r>
      <w:proofErr w:type="spellStart"/>
      <w:r>
        <w:rPr>
          <w:rFonts w:eastAsia="Arial" w:cs="Times New Roman"/>
          <w:szCs w:val="24"/>
          <w:lang w:val="es-ES_tradnl"/>
        </w:rPr>
        <w:t>Spain</w:t>
      </w:r>
      <w:proofErr w:type="spellEnd"/>
      <w:r>
        <w:rPr>
          <w:rFonts w:eastAsia="Arial" w:cs="Times New Roman"/>
          <w:szCs w:val="24"/>
          <w:lang w:val="es-ES_tradnl"/>
        </w:rPr>
        <w:t xml:space="preserve">, </w:t>
      </w:r>
      <w:r>
        <w:rPr>
          <w:rFonts w:eastAsia="Arial" w:cs="Times New Roman"/>
          <w:szCs w:val="24"/>
          <w:vertAlign w:val="superscript"/>
          <w:lang w:val="es-ES_tradnl"/>
        </w:rPr>
        <w:t>4</w:t>
      </w:r>
      <w:r>
        <w:rPr>
          <w:rFonts w:eastAsia="Arial" w:cs="Times New Roman"/>
          <w:szCs w:val="24"/>
          <w:lang w:val="es-ES_tradnl"/>
        </w:rPr>
        <w:t xml:space="preserve">Max-Planck-Institut </w:t>
      </w:r>
      <w:proofErr w:type="spellStart"/>
      <w:r>
        <w:rPr>
          <w:rFonts w:eastAsia="Arial" w:cs="Times New Roman"/>
          <w:szCs w:val="24"/>
          <w:lang w:val="es-ES_tradnl"/>
        </w:rPr>
        <w:t>für</w:t>
      </w:r>
      <w:proofErr w:type="spellEnd"/>
      <w:r>
        <w:rPr>
          <w:rFonts w:eastAsia="Arial" w:cs="Times New Roman"/>
          <w:szCs w:val="24"/>
          <w:lang w:val="es-ES_tradnl"/>
        </w:rPr>
        <w:t xml:space="preserve"> </w:t>
      </w:r>
      <w:proofErr w:type="spellStart"/>
      <w:r>
        <w:rPr>
          <w:rFonts w:eastAsia="Arial" w:cs="Times New Roman"/>
          <w:szCs w:val="24"/>
          <w:lang w:val="es-ES_tradnl"/>
        </w:rPr>
        <w:t>Molekulare</w:t>
      </w:r>
      <w:proofErr w:type="spellEnd"/>
      <w:r>
        <w:rPr>
          <w:rFonts w:eastAsia="Arial" w:cs="Times New Roman"/>
          <w:szCs w:val="24"/>
          <w:lang w:val="es-ES_tradnl"/>
        </w:rPr>
        <w:t xml:space="preserve"> </w:t>
      </w:r>
      <w:proofErr w:type="spellStart"/>
      <w:r>
        <w:rPr>
          <w:rFonts w:eastAsia="Arial" w:cs="Times New Roman"/>
          <w:szCs w:val="24"/>
          <w:lang w:val="es-ES_tradnl"/>
        </w:rPr>
        <w:t>Pflanzenphysiologie</w:t>
      </w:r>
      <w:proofErr w:type="spellEnd"/>
      <w:r>
        <w:rPr>
          <w:rFonts w:eastAsia="Arial" w:cs="Times New Roman"/>
          <w:szCs w:val="24"/>
          <w:lang w:val="es-ES_tradnl"/>
        </w:rPr>
        <w:t>, Potsdam-</w:t>
      </w:r>
      <w:proofErr w:type="spellStart"/>
      <w:r>
        <w:rPr>
          <w:rFonts w:eastAsia="Arial" w:cs="Times New Roman"/>
          <w:szCs w:val="24"/>
          <w:lang w:val="es-ES_tradnl"/>
        </w:rPr>
        <w:t>Golm</w:t>
      </w:r>
      <w:proofErr w:type="spellEnd"/>
      <w:r>
        <w:rPr>
          <w:rFonts w:eastAsia="Arial" w:cs="Times New Roman"/>
          <w:szCs w:val="24"/>
          <w:lang w:val="es-ES_tradnl"/>
        </w:rPr>
        <w:t xml:space="preserve">, </w:t>
      </w:r>
      <w:proofErr w:type="spellStart"/>
      <w:r>
        <w:rPr>
          <w:rFonts w:eastAsia="Arial" w:cs="Times New Roman"/>
          <w:szCs w:val="24"/>
          <w:lang w:val="es-ES_tradnl"/>
        </w:rPr>
        <w:t>Germany</w:t>
      </w:r>
      <w:proofErr w:type="spellEnd"/>
    </w:p>
    <w:p w14:paraId="527358F8" w14:textId="77777777" w:rsidR="00EE1419" w:rsidRDefault="00EE1419">
      <w:pPr>
        <w:spacing w:before="0" w:after="200" w:line="276" w:lineRule="auto"/>
        <w:rPr>
          <w:rFonts w:cs="Times New Roman"/>
          <w:b/>
          <w:szCs w:val="24"/>
          <w:lang w:val="es-ES_tradnl"/>
        </w:rPr>
      </w:pPr>
      <w:r>
        <w:rPr>
          <w:rFonts w:cs="Times New Roman"/>
          <w:b/>
          <w:szCs w:val="24"/>
          <w:lang w:val="es-ES_tradnl"/>
        </w:rPr>
        <w:br w:type="page"/>
      </w:r>
    </w:p>
    <w:p w14:paraId="098DD255" w14:textId="2CA8E194" w:rsidR="00B56349" w:rsidRDefault="00B56349">
      <w:pPr>
        <w:spacing w:before="0" w:after="200" w:line="276" w:lineRule="auto"/>
        <w:rPr>
          <w:rFonts w:cs="Times New Roman"/>
          <w:b/>
        </w:rPr>
      </w:pPr>
      <w:r w:rsidRPr="00B56349">
        <w:rPr>
          <w:rFonts w:cs="Times New Roman"/>
          <w:b/>
        </w:rPr>
        <w:lastRenderedPageBreak/>
        <w:t>Supplementary Note</w:t>
      </w:r>
    </w:p>
    <w:p w14:paraId="65E2C19B" w14:textId="77777777" w:rsidR="00FD6ADF" w:rsidRDefault="00FD6ADF">
      <w:pPr>
        <w:spacing w:before="0" w:after="200" w:line="276" w:lineRule="auto"/>
        <w:rPr>
          <w:rFonts w:cs="Times New Roman"/>
          <w:b/>
        </w:rPr>
      </w:pPr>
    </w:p>
    <w:p w14:paraId="675B7C22" w14:textId="22D8BE92" w:rsidR="00B56349" w:rsidRPr="00385A42" w:rsidRDefault="00B56349" w:rsidP="00B56349">
      <w:pPr>
        <w:spacing w:before="0" w:after="200" w:line="276" w:lineRule="auto"/>
        <w:rPr>
          <w:rFonts w:cs="Times New Roman"/>
          <w:b/>
        </w:rPr>
      </w:pPr>
      <w:r w:rsidRPr="00385A42">
        <w:rPr>
          <w:b/>
        </w:rPr>
        <w:t>Variation in Total Polyphenol Content and Antioxidant Capacity</w:t>
      </w:r>
    </w:p>
    <w:p w14:paraId="6F15C32D" w14:textId="77777777" w:rsidR="00B56349" w:rsidRDefault="00B56349" w:rsidP="00B56349">
      <w:pPr>
        <w:spacing w:line="360" w:lineRule="auto"/>
        <w:jc w:val="both"/>
        <w:rPr>
          <w:rFonts w:cs="Times New Roman"/>
        </w:rPr>
      </w:pPr>
      <w:r>
        <w:rPr>
          <w:rFonts w:cs="Times New Roman"/>
        </w:rPr>
        <w:t>Continuous variation on TPC and TEAC was observed in the F</w:t>
      </w:r>
      <w:r>
        <w:rPr>
          <w:rFonts w:cs="Times New Roman"/>
          <w:vertAlign w:val="subscript"/>
        </w:rPr>
        <w:t>1</w:t>
      </w:r>
      <w:r>
        <w:rPr>
          <w:rFonts w:cs="Times New Roman"/>
        </w:rPr>
        <w:t xml:space="preserve"> progeny and normal distributions were noticed in both years (Supplementary Fig. S1). Progeny means for both traits were in general more similar to ‘232’, the parental line with lower content in polyphenols and less antioxidant capacity in fruits (Table 1; Supplementary Fig. S1). Transgressive segregation in F</w:t>
      </w:r>
      <w:r>
        <w:rPr>
          <w:rFonts w:cs="Times New Roman"/>
          <w:vertAlign w:val="subscript"/>
        </w:rPr>
        <w:t>1</w:t>
      </w:r>
      <w:r>
        <w:rPr>
          <w:rFonts w:cs="Times New Roman"/>
        </w:rPr>
        <w:t xml:space="preserve"> lines were in general observed for lower TPC and TEAC values than parental lines. The broad sense heritability was moderate for both traits (Table 1), which suggests that genetic components accounted for a significant part of the phenotypic variance for these two composite traits on this population. In addition, TPC and TEAC of fruits appear to be highly influenced by the environment as low or no significant correlation was found between the years (Table 1; Supplementary Fig. S1). However, a significant correlation between TPC in 2013 and TEAC in 2014 was observed, and TPC in 2014 was positively correlated with TEAC in both years (Supplementary Fig. S1). As an additional proof of both genetic and environmental effects over TPC and TEAC, joint analysis of variance (ANOVA) using the data from both years showed that the variations among genotypes, environments, and genotype × environment interactions were all significant (Supplementary Fig. S1).</w:t>
      </w:r>
    </w:p>
    <w:p w14:paraId="698FA6B8" w14:textId="77777777" w:rsidR="00B56349" w:rsidRPr="00385A42" w:rsidRDefault="00B56349" w:rsidP="00B56349">
      <w:pPr>
        <w:pStyle w:val="Ttulo2"/>
        <w:numPr>
          <w:ilvl w:val="0"/>
          <w:numId w:val="0"/>
        </w:numPr>
        <w:spacing w:line="360" w:lineRule="auto"/>
        <w:ind w:left="567" w:hanging="567"/>
      </w:pPr>
      <w:r w:rsidRPr="00385A42">
        <w:t xml:space="preserve">Hierarchical Cluster Analysis of Phenylpropanoid Metabolites in the ‘232’ </w:t>
      </w:r>
      <w:r w:rsidRPr="00385A42">
        <w:sym w:font="Symbol" w:char="F0B4"/>
      </w:r>
      <w:r w:rsidRPr="00385A42">
        <w:t xml:space="preserve"> ‘1392’ Population</w:t>
      </w:r>
    </w:p>
    <w:p w14:paraId="1C74F929" w14:textId="6E722A13" w:rsidR="00B56349" w:rsidRDefault="00B56349" w:rsidP="00B56349">
      <w:pPr>
        <w:spacing w:line="360" w:lineRule="auto"/>
        <w:jc w:val="both"/>
        <w:rPr>
          <w:rFonts w:cs="Times New Roman"/>
        </w:rPr>
      </w:pPr>
      <w:r>
        <w:rPr>
          <w:rFonts w:cs="Times New Roman"/>
        </w:rPr>
        <w:t>In Fig</w:t>
      </w:r>
      <w:r w:rsidR="00425796">
        <w:rPr>
          <w:rFonts w:cs="Times New Roman"/>
        </w:rPr>
        <w:t>ure</w:t>
      </w:r>
      <w:r>
        <w:rPr>
          <w:rFonts w:cs="Times New Roman"/>
        </w:rPr>
        <w:t xml:space="preserve"> 2, cluster A grouped 32 metabolites, all belonging to the flavonoid class with the exception of one hydroxycinnamic acid (</w:t>
      </w:r>
      <w:proofErr w:type="spellStart"/>
      <w:r>
        <w:rPr>
          <w:rFonts w:cs="Times New Roman"/>
        </w:rPr>
        <w:t>sinapic</w:t>
      </w:r>
      <w:proofErr w:type="spellEnd"/>
      <w:r>
        <w:rPr>
          <w:rFonts w:cs="Times New Roman"/>
        </w:rPr>
        <w:t xml:space="preserve"> acid hexose derivative 2). Three </w:t>
      </w:r>
      <w:proofErr w:type="spellStart"/>
      <w:r>
        <w:rPr>
          <w:rFonts w:cs="Times New Roman"/>
        </w:rPr>
        <w:t>subclusters</w:t>
      </w:r>
      <w:proofErr w:type="spellEnd"/>
      <w:r>
        <w:rPr>
          <w:rFonts w:cs="Times New Roman"/>
        </w:rPr>
        <w:t xml:space="preserve"> (A.1-3) defined cluster A, the first one (A.1) grouping all procyanidin oligomers together with (epi)catechin and the second one (A.2) most propelargonidin oligomers with two isomers of (epi)afzelechin, outlining the biosynthetic relation between flavan-3-ols and </w:t>
      </w:r>
      <w:proofErr w:type="spellStart"/>
      <w:r>
        <w:rPr>
          <w:rFonts w:cs="Times New Roman"/>
        </w:rPr>
        <w:t>proanthocyanidins</w:t>
      </w:r>
      <w:proofErr w:type="spellEnd"/>
      <w:r>
        <w:rPr>
          <w:rFonts w:cs="Times New Roman"/>
        </w:rPr>
        <w:t xml:space="preserve"> (Fig. 1). Finally, sub-cluster A.3 included several flavan-3-ols and </w:t>
      </w:r>
      <w:proofErr w:type="spellStart"/>
      <w:r>
        <w:rPr>
          <w:rFonts w:cs="Times New Roman"/>
        </w:rPr>
        <w:t>flavonols</w:t>
      </w:r>
      <w:proofErr w:type="spellEnd"/>
      <w:r>
        <w:rPr>
          <w:rFonts w:cs="Times New Roman"/>
        </w:rPr>
        <w:t xml:space="preserve">, together with the minor anthocyanin pigment, cyanidin hexose. Cluster B encompassed the remaining 46 secondary metabolites which were grouped into two </w:t>
      </w:r>
      <w:proofErr w:type="spellStart"/>
      <w:r>
        <w:rPr>
          <w:rFonts w:cs="Times New Roman"/>
        </w:rPr>
        <w:t>subclusters</w:t>
      </w:r>
      <w:proofErr w:type="spellEnd"/>
      <w:r>
        <w:rPr>
          <w:rFonts w:cs="Times New Roman"/>
        </w:rPr>
        <w:t xml:space="preserve"> (B.1 and B.2). </w:t>
      </w:r>
      <w:proofErr w:type="spellStart"/>
      <w:r>
        <w:rPr>
          <w:rFonts w:cs="Times New Roman"/>
        </w:rPr>
        <w:t>Subcluster</w:t>
      </w:r>
      <w:proofErr w:type="spellEnd"/>
      <w:r>
        <w:rPr>
          <w:rFonts w:cs="Times New Roman"/>
        </w:rPr>
        <w:t xml:space="preserve"> B.1 encompasses most phenolic acids (</w:t>
      </w:r>
      <w:r>
        <w:rPr>
          <w:rFonts w:cs="Times New Roman"/>
          <w:iCs/>
        </w:rPr>
        <w:t>i.e.</w:t>
      </w:r>
      <w:r>
        <w:rPr>
          <w:rFonts w:cs="Times New Roman"/>
        </w:rPr>
        <w:t xml:space="preserve"> hydroxycinnamic and hydroxybenzoic acid derivatives) and the five identified terpenoid compounds. </w:t>
      </w:r>
      <w:proofErr w:type="spellStart"/>
      <w:r>
        <w:rPr>
          <w:rFonts w:cs="Times New Roman"/>
        </w:rPr>
        <w:t>Subcluster</w:t>
      </w:r>
      <w:proofErr w:type="spellEnd"/>
      <w:r>
        <w:rPr>
          <w:rFonts w:cs="Times New Roman"/>
        </w:rPr>
        <w:t xml:space="preserve"> B.2 was mainly composed of flavonoid compounds, belonging to the different flavonoid subclasses, comprising most anthocyanins including the major strawberry pigment, pelargonidin hexose.</w:t>
      </w:r>
    </w:p>
    <w:p w14:paraId="1D7195AE" w14:textId="77777777" w:rsidR="00BF71AA" w:rsidRDefault="00BF71AA" w:rsidP="00BF71AA">
      <w:pPr>
        <w:spacing w:line="360" w:lineRule="auto"/>
        <w:jc w:val="both"/>
        <w:rPr>
          <w:rFonts w:cs="Times New Roman"/>
        </w:rPr>
      </w:pPr>
    </w:p>
    <w:p w14:paraId="7182EA74" w14:textId="77777777" w:rsidR="00BF71AA" w:rsidRPr="00385A42" w:rsidRDefault="00BF71AA" w:rsidP="00BF71AA">
      <w:pPr>
        <w:spacing w:line="360" w:lineRule="auto"/>
        <w:jc w:val="both"/>
        <w:rPr>
          <w:b/>
        </w:rPr>
      </w:pPr>
      <w:r w:rsidRPr="00385A42">
        <w:rPr>
          <w:b/>
        </w:rPr>
        <w:t>Correlation Analysis of Phenylpropanoids</w:t>
      </w:r>
    </w:p>
    <w:p w14:paraId="0F37305A" w14:textId="455758BB" w:rsidR="00C87318" w:rsidRPr="008E5BD7" w:rsidRDefault="00BF71AA" w:rsidP="008E5BD7">
      <w:pPr>
        <w:spacing w:line="360" w:lineRule="auto"/>
        <w:jc w:val="both"/>
        <w:rPr>
          <w:rFonts w:cs="Times New Roman"/>
        </w:rPr>
      </w:pPr>
      <w:r>
        <w:rPr>
          <w:rFonts w:cs="Times New Roman"/>
        </w:rPr>
        <w:t xml:space="preserve">Strong positive correlations were observed among most </w:t>
      </w:r>
      <w:proofErr w:type="spellStart"/>
      <w:r>
        <w:rPr>
          <w:rFonts w:cs="Times New Roman"/>
        </w:rPr>
        <w:t>proanthocyanidins</w:t>
      </w:r>
      <w:proofErr w:type="spellEnd"/>
      <w:r>
        <w:rPr>
          <w:rFonts w:cs="Times New Roman"/>
        </w:rPr>
        <w:t xml:space="preserve"> and (epi)catechin both years, with correlation coefficients varying from 0.981 to 0.220 and from 0.973 to 0.210 for 2013 and 2014, respectively. Similarly, positive correlations were observed between (epi)afzelechin isomer 1 and many </w:t>
      </w:r>
      <w:proofErr w:type="spellStart"/>
      <w:r>
        <w:rPr>
          <w:rFonts w:cs="Times New Roman"/>
        </w:rPr>
        <w:t>proanthocyanidins</w:t>
      </w:r>
      <w:proofErr w:type="spellEnd"/>
      <w:r>
        <w:rPr>
          <w:rFonts w:cs="Times New Roman"/>
        </w:rPr>
        <w:t xml:space="preserve">. Other conserved positive correlations were observed for some flavonoids, such as pelargonidin hexose with the flavanones, naringenin chalcone hexose (correlation coefficients of 0.62 and 0.74) and the two isomers of </w:t>
      </w:r>
      <w:proofErr w:type="spellStart"/>
      <w:r>
        <w:rPr>
          <w:rFonts w:cs="Times New Roman"/>
        </w:rPr>
        <w:t>eriodictyol</w:t>
      </w:r>
      <w:proofErr w:type="spellEnd"/>
      <w:r>
        <w:rPr>
          <w:rFonts w:cs="Times New Roman"/>
        </w:rPr>
        <w:t xml:space="preserve"> hexose (correlation coefficients &gt; 0.90 for both years). Cyanidin hexose also showed strong positive correlations (&gt; 0.9 for both harvests) with the two isomers of epicatechin glucuronide and with kaempferol-hexose isomer 1. Positive correlations were also obtained between the different derivatives of pelargonidin anthocyanins. In addition, other groups displaying repeated positive correlations in the two harvests were between hydroxycinnamic acid derivatives (ferulic, </w:t>
      </w:r>
      <w:proofErr w:type="spellStart"/>
      <w:r>
        <w:rPr>
          <w:rFonts w:cs="Times New Roman"/>
        </w:rPr>
        <w:t>sinapic</w:t>
      </w:r>
      <w:proofErr w:type="spellEnd"/>
      <w:r>
        <w:rPr>
          <w:rFonts w:cs="Times New Roman"/>
        </w:rPr>
        <w:t xml:space="preserve"> and coumaric acid derivatives) and terpenoids. The number of negative correlations between secondary metabolites was much lower than that of positive correlations. Only 103 and 45 significant negative correlations were detected in 2013 and 2014, respectively (Supplementary Table S2). Interestingly, negative correlations were observed between </w:t>
      </w:r>
      <w:proofErr w:type="spellStart"/>
      <w:r>
        <w:rPr>
          <w:rFonts w:cs="Times New Roman"/>
        </w:rPr>
        <w:t>rutin</w:t>
      </w:r>
      <w:proofErr w:type="spellEnd"/>
      <w:r>
        <w:rPr>
          <w:rFonts w:cs="Times New Roman"/>
        </w:rPr>
        <w:t xml:space="preserve"> 1 and some </w:t>
      </w:r>
      <w:proofErr w:type="spellStart"/>
      <w:r>
        <w:rPr>
          <w:rFonts w:cs="Times New Roman"/>
        </w:rPr>
        <w:t>proanthocyanidins</w:t>
      </w:r>
      <w:proofErr w:type="spellEnd"/>
      <w:r>
        <w:rPr>
          <w:rFonts w:cs="Times New Roman"/>
        </w:rPr>
        <w:t xml:space="preserve"> in both seasons, indicating a possible competition for precursors between the different branches of the flavonoid pathway. Negative correlations were also observed between hydroxycinnamic acid derivatives, such as coumaric acid derivatives, and different flavonoids, such as pelargonidin derivatives, kaempferol-hexose 2 and propelargonidins.</w:t>
      </w:r>
    </w:p>
    <w:p w14:paraId="65C21650" w14:textId="7EF4C504" w:rsidR="00385A42" w:rsidRDefault="000E7C82" w:rsidP="00C87318">
      <w:pPr>
        <w:pStyle w:val="Ttulo2"/>
        <w:numPr>
          <w:ilvl w:val="0"/>
          <w:numId w:val="0"/>
        </w:numPr>
        <w:tabs>
          <w:tab w:val="left" w:pos="708"/>
        </w:tabs>
        <w:spacing w:line="360" w:lineRule="auto"/>
      </w:pPr>
      <w:r>
        <w:t>C</w:t>
      </w:r>
      <w:r w:rsidR="00BD0F31">
        <w:t xml:space="preserve">lusters of </w:t>
      </w:r>
      <w:r w:rsidR="00385A42">
        <w:t xml:space="preserve">QTL for Phenylpropanoid Metabolites </w:t>
      </w:r>
    </w:p>
    <w:p w14:paraId="536FDEDD" w14:textId="5B9B1185" w:rsidR="00385A42" w:rsidRDefault="00385A42" w:rsidP="00385A42">
      <w:pPr>
        <w:spacing w:line="360" w:lineRule="auto"/>
        <w:jc w:val="both"/>
        <w:rPr>
          <w:rFonts w:cs="Times New Roman"/>
        </w:rPr>
      </w:pPr>
      <w:r>
        <w:rPr>
          <w:rFonts w:cs="Times New Roman"/>
        </w:rPr>
        <w:t xml:space="preserve">Clusters of QTLs related to </w:t>
      </w:r>
      <w:proofErr w:type="spellStart"/>
      <w:r>
        <w:rPr>
          <w:rFonts w:cs="Times New Roman"/>
        </w:rPr>
        <w:t>proanthocyanidin</w:t>
      </w:r>
      <w:proofErr w:type="spellEnd"/>
      <w:r>
        <w:rPr>
          <w:rFonts w:cs="Times New Roman"/>
        </w:rPr>
        <w:t xml:space="preserve"> metabolites were detected in LG I-2, LG V-2 and LG V-3. In LG I-2, </w:t>
      </w:r>
      <w:proofErr w:type="spellStart"/>
      <w:r>
        <w:rPr>
          <w:rFonts w:cs="Times New Roman"/>
        </w:rPr>
        <w:t>mQTLs</w:t>
      </w:r>
      <w:proofErr w:type="spellEnd"/>
      <w:r>
        <w:rPr>
          <w:rFonts w:cs="Times New Roman"/>
        </w:rPr>
        <w:t xml:space="preserve"> for the flavan-3-ols catechin and (epi)afzelechin colocalized with 18 </w:t>
      </w:r>
      <w:proofErr w:type="spellStart"/>
      <w:r>
        <w:rPr>
          <w:rFonts w:cs="Times New Roman"/>
        </w:rPr>
        <w:t>mQTLs</w:t>
      </w:r>
      <w:proofErr w:type="spellEnd"/>
      <w:r>
        <w:rPr>
          <w:rFonts w:cs="Times New Roman"/>
        </w:rPr>
        <w:t xml:space="preserve"> for propelargonidins and procyanidins, suggesting the presence of a </w:t>
      </w:r>
      <w:r>
        <w:rPr>
          <w:rFonts w:cs="Times New Roman"/>
          <w:i/>
          <w:iCs/>
        </w:rPr>
        <w:t xml:space="preserve">locus </w:t>
      </w:r>
      <w:r>
        <w:rPr>
          <w:rFonts w:cs="Times New Roman"/>
        </w:rPr>
        <w:t>upstream of tannin condensation. The majority of those QTLs were detected only in 2013, the year where higher H</w:t>
      </w:r>
      <w:r>
        <w:rPr>
          <w:rFonts w:cs="Times New Roman"/>
          <w:vertAlign w:val="superscript"/>
        </w:rPr>
        <w:t>2</w:t>
      </w:r>
      <w:r>
        <w:rPr>
          <w:rFonts w:cs="Times New Roman"/>
        </w:rPr>
        <w:t xml:space="preserve"> values were observed, and colocalized in the same chromosomal region with </w:t>
      </w:r>
      <w:r>
        <w:rPr>
          <w:rFonts w:cs="Times New Roman"/>
          <w:i/>
          <w:iCs/>
        </w:rPr>
        <w:t>qTPC-I-2-2013</w:t>
      </w:r>
      <w:r>
        <w:rPr>
          <w:rFonts w:cs="Times New Roman"/>
        </w:rPr>
        <w:t>, a QTL detected the same year contributing to 17% of total polyphenol content variance.</w:t>
      </w:r>
    </w:p>
    <w:p w14:paraId="05C5B069" w14:textId="77777777" w:rsidR="00385A42" w:rsidRDefault="00385A42" w:rsidP="00385A42">
      <w:pPr>
        <w:spacing w:line="360" w:lineRule="auto"/>
        <w:jc w:val="both"/>
        <w:rPr>
          <w:rFonts w:cs="Times New Roman"/>
        </w:rPr>
      </w:pPr>
      <w:r>
        <w:rPr>
          <w:rFonts w:cs="Times New Roman"/>
        </w:rPr>
        <w:t xml:space="preserve">Clusters of </w:t>
      </w:r>
      <w:proofErr w:type="spellStart"/>
      <w:r>
        <w:rPr>
          <w:rFonts w:cs="Times New Roman"/>
        </w:rPr>
        <w:t>mQTLs</w:t>
      </w:r>
      <w:proofErr w:type="spellEnd"/>
      <w:r>
        <w:rPr>
          <w:rFonts w:cs="Times New Roman"/>
        </w:rPr>
        <w:t xml:space="preserve"> for hydroxycinnamic acid derivatives were detected along the linkage map, standing out two hot spots on LG IV-2 and LG IV-3, grouping seven and ten </w:t>
      </w:r>
      <w:proofErr w:type="spellStart"/>
      <w:r>
        <w:rPr>
          <w:rFonts w:cs="Times New Roman"/>
        </w:rPr>
        <w:t>mQTL</w:t>
      </w:r>
      <w:proofErr w:type="spellEnd"/>
      <w:r>
        <w:rPr>
          <w:rFonts w:cs="Times New Roman"/>
        </w:rPr>
        <w:t xml:space="preserve"> for different </w:t>
      </w:r>
      <w:r>
        <w:rPr>
          <w:rFonts w:cs="Times New Roman"/>
        </w:rPr>
        <w:lastRenderedPageBreak/>
        <w:t xml:space="preserve">phenolic acid derivatives, respectively (Fig. 4). For two isoforms of coumaric acid hexose and for cinnamic and ferulic acids hexoses, </w:t>
      </w:r>
      <w:proofErr w:type="spellStart"/>
      <w:r>
        <w:rPr>
          <w:rFonts w:cs="Times New Roman"/>
        </w:rPr>
        <w:t>mQTLs</w:t>
      </w:r>
      <w:proofErr w:type="spellEnd"/>
      <w:r>
        <w:rPr>
          <w:rFonts w:cs="Times New Roman"/>
        </w:rPr>
        <w:t xml:space="preserve"> were detected in both regions. Although the region on LG IV-2 and IV-3 contributing to the variation in hydroxycinnamic acid derivatives was detected in the upper and lower part respectively, it may be possible that homoeologous genes may control the variation of those metabolites.</w:t>
      </w:r>
    </w:p>
    <w:p w14:paraId="0C0D63BF" w14:textId="77777777" w:rsidR="00385A42" w:rsidRDefault="00385A42" w:rsidP="00385A42">
      <w:pPr>
        <w:spacing w:line="360" w:lineRule="auto"/>
        <w:jc w:val="both"/>
        <w:rPr>
          <w:rFonts w:cs="Times New Roman"/>
        </w:rPr>
      </w:pPr>
      <w:r>
        <w:rPr>
          <w:rFonts w:cs="Times New Roman"/>
        </w:rPr>
        <w:t xml:space="preserve">For terpenoid metabolites, isolated </w:t>
      </w:r>
      <w:proofErr w:type="spellStart"/>
      <w:r>
        <w:rPr>
          <w:rFonts w:cs="Times New Roman"/>
        </w:rPr>
        <w:t>mQTLs</w:t>
      </w:r>
      <w:proofErr w:type="spellEnd"/>
      <w:r>
        <w:rPr>
          <w:rFonts w:cs="Times New Roman"/>
        </w:rPr>
        <w:t xml:space="preserve"> controlling the variation of a number of them were detected on HGs III and V, and small </w:t>
      </w:r>
      <w:proofErr w:type="spellStart"/>
      <w:r>
        <w:rPr>
          <w:rFonts w:cs="Times New Roman"/>
        </w:rPr>
        <w:t>mQTL</w:t>
      </w:r>
      <w:proofErr w:type="spellEnd"/>
      <w:r>
        <w:rPr>
          <w:rFonts w:cs="Times New Roman"/>
        </w:rPr>
        <w:t xml:space="preserve"> clusters on HGs II, IV and VII (Fig. 4). Putative stable </w:t>
      </w:r>
      <w:proofErr w:type="spellStart"/>
      <w:r>
        <w:rPr>
          <w:rFonts w:cs="Times New Roman"/>
        </w:rPr>
        <w:t>homoeo</w:t>
      </w:r>
      <w:proofErr w:type="spellEnd"/>
      <w:r>
        <w:rPr>
          <w:rFonts w:cs="Times New Roman"/>
        </w:rPr>
        <w:t xml:space="preserve">-QTLs controlling </w:t>
      </w:r>
      <w:proofErr w:type="spellStart"/>
      <w:r>
        <w:rPr>
          <w:rFonts w:cs="Times New Roman"/>
        </w:rPr>
        <w:t>sesquiterpenoid</w:t>
      </w:r>
      <w:proofErr w:type="spellEnd"/>
      <w:r>
        <w:rPr>
          <w:rFonts w:cs="Times New Roman"/>
        </w:rPr>
        <w:t xml:space="preserve"> hexose isomer 1 were detected on LG IV-3 and IV-4, while a stable </w:t>
      </w:r>
      <w:proofErr w:type="spellStart"/>
      <w:r>
        <w:rPr>
          <w:rFonts w:cs="Times New Roman"/>
        </w:rPr>
        <w:t>mQTL</w:t>
      </w:r>
      <w:proofErr w:type="spellEnd"/>
      <w:r>
        <w:rPr>
          <w:rFonts w:cs="Times New Roman"/>
        </w:rPr>
        <w:t xml:space="preserve"> for </w:t>
      </w:r>
      <w:proofErr w:type="spellStart"/>
      <w:r>
        <w:rPr>
          <w:rFonts w:cs="Times New Roman"/>
        </w:rPr>
        <w:t>sesquiterpenoid</w:t>
      </w:r>
      <w:proofErr w:type="spellEnd"/>
      <w:r>
        <w:rPr>
          <w:rFonts w:cs="Times New Roman"/>
        </w:rPr>
        <w:t xml:space="preserve"> hexose isomer 2 was detected on LG V-3.</w:t>
      </w:r>
    </w:p>
    <w:p w14:paraId="055394BD" w14:textId="2AAA2745" w:rsidR="00AC2063" w:rsidRPr="00BA1D4F" w:rsidRDefault="00385A42" w:rsidP="00494EA1">
      <w:pPr>
        <w:spacing w:line="360" w:lineRule="auto"/>
        <w:jc w:val="both"/>
        <w:rPr>
          <w:rFonts w:cs="Times New Roman"/>
        </w:rPr>
      </w:pPr>
      <w:r>
        <w:rPr>
          <w:rFonts w:cs="Times New Roman"/>
        </w:rPr>
        <w:t xml:space="preserve">In HG VI, </w:t>
      </w:r>
      <w:proofErr w:type="spellStart"/>
      <w:r>
        <w:rPr>
          <w:rFonts w:cs="Times New Roman"/>
        </w:rPr>
        <w:t>mQTLs</w:t>
      </w:r>
      <w:proofErr w:type="spellEnd"/>
      <w:r>
        <w:rPr>
          <w:rFonts w:cs="Times New Roman"/>
        </w:rPr>
        <w:t xml:space="preserve"> for the three isomers of (epi)afzelechin were detected on linkage groups LG VI-1, LG VI-2 and LG VI-7, suggesting again the possibility of </w:t>
      </w:r>
      <w:proofErr w:type="spellStart"/>
      <w:r>
        <w:rPr>
          <w:rFonts w:cs="Times New Roman"/>
        </w:rPr>
        <w:t>homoeo</w:t>
      </w:r>
      <w:proofErr w:type="spellEnd"/>
      <w:r>
        <w:rPr>
          <w:rFonts w:cs="Times New Roman"/>
        </w:rPr>
        <w:t xml:space="preserve">-QTLs. The majority of them were stable over the two years and explained a large proportion of variance. On LG VI-1, </w:t>
      </w:r>
      <w:proofErr w:type="spellStart"/>
      <w:r>
        <w:rPr>
          <w:rFonts w:cs="Times New Roman"/>
        </w:rPr>
        <w:t>mQTLs</w:t>
      </w:r>
      <w:proofErr w:type="spellEnd"/>
      <w:r>
        <w:rPr>
          <w:rFonts w:cs="Times New Roman"/>
        </w:rPr>
        <w:t xml:space="preserve"> for (epi)afzelechin collocated, among others, with a major and stable </w:t>
      </w:r>
      <w:proofErr w:type="spellStart"/>
      <w:r>
        <w:rPr>
          <w:rFonts w:cs="Times New Roman"/>
        </w:rPr>
        <w:t>mQTL</w:t>
      </w:r>
      <w:proofErr w:type="spellEnd"/>
      <w:r>
        <w:rPr>
          <w:rFonts w:cs="Times New Roman"/>
        </w:rPr>
        <w:t xml:space="preserve"> for diosmetin acetyl hexose, the only detected flavone in the ‘232’ </w:t>
      </w:r>
      <w:r>
        <w:rPr>
          <w:rFonts w:cs="Times New Roman"/>
        </w:rPr>
        <w:sym w:font="Symbol" w:char="F020"/>
      </w:r>
      <w:r>
        <w:rPr>
          <w:rFonts w:cs="Times New Roman"/>
        </w:rPr>
        <w:sym w:font="Symbol" w:char="F0B4"/>
      </w:r>
      <w:r>
        <w:rPr>
          <w:rFonts w:cs="Times New Roman"/>
        </w:rPr>
        <w:t xml:space="preserve"> ‘1392’ population. On LG VI-2, </w:t>
      </w:r>
      <w:proofErr w:type="spellStart"/>
      <w:r>
        <w:rPr>
          <w:rFonts w:cs="Times New Roman"/>
        </w:rPr>
        <w:t>mQTLs</w:t>
      </w:r>
      <w:proofErr w:type="spellEnd"/>
      <w:r>
        <w:rPr>
          <w:rFonts w:cs="Times New Roman"/>
        </w:rPr>
        <w:t xml:space="preserve"> for (epi)afzelechin isomers collocated with a stable </w:t>
      </w:r>
      <w:proofErr w:type="spellStart"/>
      <w:r>
        <w:rPr>
          <w:rFonts w:cs="Times New Roman"/>
        </w:rPr>
        <w:t>mQTL</w:t>
      </w:r>
      <w:proofErr w:type="spellEnd"/>
      <w:r>
        <w:rPr>
          <w:rFonts w:cs="Times New Roman"/>
        </w:rPr>
        <w:t xml:space="preserve"> contributing to 26-36% of variation on </w:t>
      </w:r>
      <w:proofErr w:type="spellStart"/>
      <w:r>
        <w:rPr>
          <w:rFonts w:cs="Times New Roman"/>
        </w:rPr>
        <w:t>sinapic</w:t>
      </w:r>
      <w:proofErr w:type="spellEnd"/>
      <w:r>
        <w:rPr>
          <w:rFonts w:cs="Times New Roman"/>
        </w:rPr>
        <w:t xml:space="preserve"> acid hexose 2, which was also detected in 2014 on LG VI-7. </w:t>
      </w:r>
      <w:proofErr w:type="spellStart"/>
      <w:r>
        <w:rPr>
          <w:rFonts w:cs="Times New Roman"/>
        </w:rPr>
        <w:t>mQTLs</w:t>
      </w:r>
      <w:proofErr w:type="spellEnd"/>
      <w:r>
        <w:rPr>
          <w:rFonts w:cs="Times New Roman"/>
        </w:rPr>
        <w:t xml:space="preserve"> for kaempferol derivatives were detected also on HG VI, on LG VI-1, VI-3, VI-4 and LG VI-6, being one of them, </w:t>
      </w:r>
      <w:r>
        <w:rPr>
          <w:rFonts w:cs="Times New Roman"/>
          <w:i/>
        </w:rPr>
        <w:t>qK-phGn-9.55-VI-6</w:t>
      </w:r>
      <w:r>
        <w:rPr>
          <w:rFonts w:cs="Times New Roman"/>
        </w:rPr>
        <w:t>, stable and contributing to 32-34% of phenotypic variance.</w:t>
      </w:r>
    </w:p>
    <w:p w14:paraId="7906AEF1" w14:textId="44D3A541" w:rsidR="00494EA1" w:rsidRPr="00BA1D4F" w:rsidRDefault="00AC2063" w:rsidP="00BA1D4F">
      <w:pPr>
        <w:widowControl w:val="0"/>
        <w:autoSpaceDE w:val="0"/>
        <w:autoSpaceDN w:val="0"/>
        <w:adjustRightInd w:val="0"/>
        <w:spacing w:line="360" w:lineRule="auto"/>
        <w:ind w:left="640" w:hanging="640"/>
        <w:rPr>
          <w:rFonts w:cs="Times New Roman"/>
          <w:noProof/>
          <w:szCs w:val="24"/>
        </w:rPr>
      </w:pPr>
      <w:r>
        <w:rPr>
          <w:rFonts w:cs="Times New Roman"/>
        </w:rPr>
        <w:fldChar w:fldCharType="begin" w:fldLock="1"/>
      </w:r>
      <w:r>
        <w:rPr>
          <w:rFonts w:cs="Times New Roman"/>
        </w:rPr>
        <w:instrText xml:space="preserve">ADDIN Mendeley Bibliography CSL_BIBLIOGRAPHY </w:instrText>
      </w:r>
      <w:r>
        <w:rPr>
          <w:rFonts w:cs="Times New Roman"/>
        </w:rPr>
        <w:fldChar w:fldCharType="end"/>
      </w:r>
      <w:r w:rsidR="00FA0258" w:rsidRPr="00FA0258">
        <w:rPr>
          <w:rFonts w:cs="Times New Roman"/>
          <w:b/>
        </w:rPr>
        <w:t>Supplementary Discussion</w:t>
      </w:r>
    </w:p>
    <w:p w14:paraId="43DEA20E" w14:textId="1F373563" w:rsidR="00A070B6" w:rsidRDefault="00A070B6" w:rsidP="00A070B6">
      <w:pPr>
        <w:spacing w:line="360" w:lineRule="auto"/>
        <w:jc w:val="both"/>
        <w:rPr>
          <w:rFonts w:cs="Times New Roman"/>
        </w:rPr>
      </w:pPr>
      <w:r>
        <w:rPr>
          <w:rFonts w:cs="Times New Roman"/>
        </w:rPr>
        <w:t xml:space="preserve">The hotspot on LG IV-3 (and also on IV-2) included </w:t>
      </w:r>
      <w:proofErr w:type="spellStart"/>
      <w:r>
        <w:rPr>
          <w:rFonts w:cs="Times New Roman"/>
        </w:rPr>
        <w:t>mQTLs</w:t>
      </w:r>
      <w:proofErr w:type="spellEnd"/>
      <w:r>
        <w:rPr>
          <w:rFonts w:cs="Times New Roman"/>
        </w:rPr>
        <w:t xml:space="preserve"> controlling several hydroxycinnamic acid derivatives, some being major QTLs and stable over the two years, such as </w:t>
      </w:r>
      <w:r>
        <w:rPr>
          <w:rFonts w:cs="Times New Roman"/>
          <w:i/>
        </w:rPr>
        <w:t>qCouhex-5.43-IV-3</w:t>
      </w:r>
      <w:r>
        <w:rPr>
          <w:rFonts w:cs="Times New Roman"/>
        </w:rPr>
        <w:t xml:space="preserve">, controlling 26-34% of variance on coumaric acid hexose 2 (Fig. 4; Supplementary Table S3). Interestingly, QTLs controlling similar hydroxycinnamic acid derivatives have been detected in approximate the same location on a </w:t>
      </w:r>
      <w:r>
        <w:rPr>
          <w:rFonts w:cs="Times New Roman"/>
          <w:i/>
        </w:rPr>
        <w:t>F. vesca</w:t>
      </w:r>
      <w:r>
        <w:rPr>
          <w:rFonts w:cs="Times New Roman"/>
        </w:rPr>
        <w:t xml:space="preserve"> NIL collection</w:t>
      </w:r>
      <w:r w:rsidR="00462D78" w:rsidRPr="00462D78">
        <w:rPr>
          <w:rFonts w:cs="Times New Roman"/>
          <w:vertAlign w:val="superscript"/>
        </w:rPr>
        <w:t>1</w:t>
      </w:r>
      <w:r>
        <w:rPr>
          <w:rFonts w:cs="Times New Roman"/>
        </w:rPr>
        <w:t>. Urrutia and collaborators</w:t>
      </w:r>
      <w:r w:rsidR="00462D78" w:rsidRPr="00462D78">
        <w:rPr>
          <w:rFonts w:cs="Times New Roman"/>
          <w:vertAlign w:val="superscript"/>
        </w:rPr>
        <w:t>1</w:t>
      </w:r>
      <w:r>
        <w:rPr>
          <w:rFonts w:cs="Times New Roman"/>
        </w:rPr>
        <w:t xml:space="preserve"> described possible candidate genes in the </w:t>
      </w:r>
      <w:r>
        <w:rPr>
          <w:rFonts w:cs="Times New Roman"/>
          <w:i/>
        </w:rPr>
        <w:t>F. vesca</w:t>
      </w:r>
      <w:r>
        <w:rPr>
          <w:rFonts w:cs="Times New Roman"/>
        </w:rPr>
        <w:t xml:space="preserve"> genomic region including 3 </w:t>
      </w:r>
      <w:r>
        <w:rPr>
          <w:rFonts w:cs="Times New Roman"/>
          <w:i/>
        </w:rPr>
        <w:t>Fra a</w:t>
      </w:r>
      <w:r>
        <w:rPr>
          <w:rFonts w:cs="Times New Roman"/>
        </w:rPr>
        <w:t xml:space="preserve"> </w:t>
      </w:r>
      <w:proofErr w:type="gramStart"/>
      <w:r>
        <w:rPr>
          <w:rFonts w:cs="Times New Roman"/>
        </w:rPr>
        <w:t>genes</w:t>
      </w:r>
      <w:proofErr w:type="gramEnd"/>
      <w:r>
        <w:rPr>
          <w:rFonts w:cs="Times New Roman"/>
        </w:rPr>
        <w:t xml:space="preserve"> that have been reported to be important in the control of the flavonoid pathway</w:t>
      </w:r>
      <w:r w:rsidR="00A94019" w:rsidRPr="00A94019">
        <w:rPr>
          <w:rFonts w:cs="Times New Roman"/>
          <w:vertAlign w:val="superscript"/>
        </w:rPr>
        <w:t>2</w:t>
      </w:r>
      <w:r>
        <w:rPr>
          <w:rFonts w:cs="Times New Roman"/>
        </w:rPr>
        <w:t xml:space="preserve">. </w:t>
      </w:r>
      <w:r>
        <w:rPr>
          <w:rFonts w:cs="Times New Roman"/>
          <w:i/>
        </w:rPr>
        <w:t>Fra a</w:t>
      </w:r>
      <w:r>
        <w:rPr>
          <w:rFonts w:cs="Times New Roman"/>
        </w:rPr>
        <w:t xml:space="preserve"> genes lay outside the QTL intervals on LG IV-</w:t>
      </w:r>
      <w:r w:rsidR="00B8411F">
        <w:rPr>
          <w:rFonts w:cs="Times New Roman"/>
        </w:rPr>
        <w:t>2</w:t>
      </w:r>
      <w:r>
        <w:rPr>
          <w:rFonts w:cs="Times New Roman"/>
        </w:rPr>
        <w:t xml:space="preserve"> and IV-</w:t>
      </w:r>
      <w:r w:rsidR="00B8411F">
        <w:rPr>
          <w:rFonts w:cs="Times New Roman"/>
        </w:rPr>
        <w:t>3</w:t>
      </w:r>
      <w:r>
        <w:rPr>
          <w:rFonts w:cs="Times New Roman"/>
        </w:rPr>
        <w:t xml:space="preserve">. However, the </w:t>
      </w:r>
      <w:r>
        <w:rPr>
          <w:rFonts w:cs="Times New Roman"/>
          <w:i/>
        </w:rPr>
        <w:t>LAR</w:t>
      </w:r>
      <w:r>
        <w:rPr>
          <w:rFonts w:cs="Times New Roman"/>
        </w:rPr>
        <w:t xml:space="preserve"> gene (</w:t>
      </w:r>
      <w:r>
        <w:rPr>
          <w:rFonts w:cs="Times New Roman"/>
          <w:i/>
        </w:rPr>
        <w:t>FvH4_4g28110</w:t>
      </w:r>
      <w:r>
        <w:rPr>
          <w:rFonts w:cs="Times New Roman"/>
        </w:rPr>
        <w:t xml:space="preserve">; Fig. 1) is located within the confidence interval of QTLs on LG IV-2 and two of the characterized </w:t>
      </w:r>
      <w:r>
        <w:rPr>
          <w:rFonts w:cs="Times New Roman"/>
          <w:i/>
        </w:rPr>
        <w:t xml:space="preserve">4CL </w:t>
      </w:r>
      <w:r>
        <w:rPr>
          <w:rFonts w:cs="Times New Roman"/>
        </w:rPr>
        <w:t xml:space="preserve">genes, </w:t>
      </w:r>
      <w:r>
        <w:rPr>
          <w:rFonts w:cs="Times New Roman"/>
          <w:i/>
        </w:rPr>
        <w:t>FvH4-4g23640</w:t>
      </w:r>
      <w:r>
        <w:rPr>
          <w:rFonts w:cs="Times New Roman"/>
        </w:rPr>
        <w:t xml:space="preserve"> and </w:t>
      </w:r>
      <w:r>
        <w:rPr>
          <w:rFonts w:cs="Times New Roman"/>
          <w:i/>
        </w:rPr>
        <w:t>FvH4-4g09340</w:t>
      </w:r>
      <w:r>
        <w:rPr>
          <w:rFonts w:cs="Times New Roman"/>
        </w:rPr>
        <w:t xml:space="preserve"> (Fig.1), are located just outside QTL intervals on LG IV-2 and IV-3, respectively. It is </w:t>
      </w:r>
      <w:r>
        <w:rPr>
          <w:rFonts w:cs="Times New Roman"/>
        </w:rPr>
        <w:lastRenderedPageBreak/>
        <w:t>well-known that 4-coumaroyl-CoA ligase is implicated in the early steps of the phenylpropanoid pathway and therefore they represent interesting candidate genes for further characterization of QTLs on LG IV-2 and IV-3.</w:t>
      </w:r>
    </w:p>
    <w:p w14:paraId="4EFBD3D1" w14:textId="7FD5C2B2" w:rsidR="00A070B6" w:rsidRDefault="00A070B6" w:rsidP="00A070B6">
      <w:pPr>
        <w:spacing w:line="360" w:lineRule="auto"/>
        <w:jc w:val="both"/>
        <w:rPr>
          <w:rFonts w:cs="Times New Roman"/>
        </w:rPr>
      </w:pPr>
      <w:r>
        <w:rPr>
          <w:rFonts w:cs="Times New Roman"/>
        </w:rPr>
        <w:t xml:space="preserve">Another cluster of QTLs was observed in LG I-2 controlling the content of different flavonoids, mainly </w:t>
      </w:r>
      <w:proofErr w:type="spellStart"/>
      <w:r>
        <w:rPr>
          <w:rFonts w:cs="Times New Roman"/>
        </w:rPr>
        <w:t>proanthocyanidins</w:t>
      </w:r>
      <w:proofErr w:type="spellEnd"/>
      <w:r>
        <w:rPr>
          <w:rFonts w:cs="Times New Roman"/>
        </w:rPr>
        <w:t xml:space="preserve"> and flavanols. Only one of the </w:t>
      </w:r>
      <w:proofErr w:type="spellStart"/>
      <w:r>
        <w:rPr>
          <w:rFonts w:cs="Times New Roman"/>
        </w:rPr>
        <w:t>mQTL</w:t>
      </w:r>
      <w:proofErr w:type="spellEnd"/>
      <w:r>
        <w:rPr>
          <w:rFonts w:cs="Times New Roman"/>
        </w:rPr>
        <w:t xml:space="preserve">, that for (epi)catechin, was detected in both years, while the majority of </w:t>
      </w:r>
      <w:proofErr w:type="spellStart"/>
      <w:r>
        <w:rPr>
          <w:rFonts w:cs="Times New Roman"/>
        </w:rPr>
        <w:t>mQTLs</w:t>
      </w:r>
      <w:proofErr w:type="spellEnd"/>
      <w:r>
        <w:rPr>
          <w:rFonts w:cs="Times New Roman"/>
        </w:rPr>
        <w:t xml:space="preserve"> for </w:t>
      </w:r>
      <w:proofErr w:type="spellStart"/>
      <w:r>
        <w:rPr>
          <w:rFonts w:cs="Times New Roman"/>
        </w:rPr>
        <w:t>proanthocyanidins</w:t>
      </w:r>
      <w:proofErr w:type="spellEnd"/>
      <w:r>
        <w:rPr>
          <w:rFonts w:cs="Times New Roman"/>
        </w:rPr>
        <w:t xml:space="preserve"> were detected on 2013, as the QTL controlling TPC in the same region. In </w:t>
      </w:r>
      <w:r>
        <w:rPr>
          <w:rFonts w:cs="Times New Roman"/>
          <w:i/>
          <w:iCs/>
        </w:rPr>
        <w:t>F. vesca</w:t>
      </w:r>
      <w:r>
        <w:rPr>
          <w:rFonts w:cs="Times New Roman"/>
        </w:rPr>
        <w:t xml:space="preserve">, Urrutia </w:t>
      </w:r>
      <w:r>
        <w:rPr>
          <w:rFonts w:cs="Times New Roman"/>
          <w:iCs/>
        </w:rPr>
        <w:t>et al.</w:t>
      </w:r>
      <w:r w:rsidR="00462D78" w:rsidRPr="00462D78">
        <w:rPr>
          <w:rFonts w:cs="Times New Roman"/>
          <w:iCs/>
          <w:vertAlign w:val="superscript"/>
        </w:rPr>
        <w:t>1</w:t>
      </w:r>
      <w:r w:rsidR="00462D78">
        <w:rPr>
          <w:rFonts w:cs="Times New Roman"/>
        </w:rPr>
        <w:t xml:space="preserve"> </w:t>
      </w:r>
      <w:r>
        <w:rPr>
          <w:rFonts w:cs="Times New Roman"/>
        </w:rPr>
        <w:t xml:space="preserve">detected several QTLs controlling similar compounds on LG 1, also not stable over the harvests, and found a number of candidate genes in the region which could be involved in the levels of these metabolites, such as </w:t>
      </w:r>
      <w:proofErr w:type="spellStart"/>
      <w:r>
        <w:rPr>
          <w:rFonts w:cs="Times New Roman"/>
          <w:i/>
          <w:iCs/>
        </w:rPr>
        <w:t>FaFHT</w:t>
      </w:r>
      <w:proofErr w:type="spellEnd"/>
      <w:r>
        <w:rPr>
          <w:rFonts w:cs="Times New Roman"/>
          <w:i/>
          <w:iCs/>
        </w:rPr>
        <w:t xml:space="preserve"> </w:t>
      </w:r>
      <w:r>
        <w:rPr>
          <w:rFonts w:cs="Times New Roman"/>
        </w:rPr>
        <w:t xml:space="preserve">or </w:t>
      </w:r>
      <w:r>
        <w:rPr>
          <w:rFonts w:cs="Times New Roman"/>
          <w:i/>
        </w:rPr>
        <w:t>FaCAD1</w:t>
      </w:r>
      <w:r>
        <w:rPr>
          <w:rFonts w:cs="Times New Roman"/>
        </w:rPr>
        <w:t xml:space="preserve"> and </w:t>
      </w:r>
      <w:r>
        <w:rPr>
          <w:rFonts w:cs="Times New Roman"/>
          <w:i/>
        </w:rPr>
        <w:t>2</w:t>
      </w:r>
      <w:r>
        <w:rPr>
          <w:rFonts w:cs="Times New Roman"/>
        </w:rPr>
        <w:t xml:space="preserve">. However, these genes lay outside the hotspot region in the ‘232’ </w:t>
      </w:r>
      <w:r>
        <w:rPr>
          <w:rFonts w:cs="Times New Roman"/>
        </w:rPr>
        <w:sym w:font="Symbol" w:char="F0B4"/>
      </w:r>
      <w:r>
        <w:rPr>
          <w:rFonts w:cs="Times New Roman"/>
        </w:rPr>
        <w:t xml:space="preserve"> ‘1392’ population.</w:t>
      </w:r>
    </w:p>
    <w:p w14:paraId="60C0F8F3" w14:textId="1E1309F0" w:rsidR="00385A42" w:rsidRPr="00A94019" w:rsidRDefault="00AC2063" w:rsidP="008451F4">
      <w:pPr>
        <w:spacing w:line="360" w:lineRule="auto"/>
        <w:jc w:val="both"/>
        <w:rPr>
          <w:rFonts w:cs="Times New Roman"/>
          <w:lang w:val="es-ES_tradnl"/>
        </w:rPr>
      </w:pPr>
      <w:proofErr w:type="spellStart"/>
      <w:r w:rsidRPr="00A94019">
        <w:rPr>
          <w:rFonts w:cs="Times New Roman"/>
          <w:lang w:val="es-ES_tradnl"/>
        </w:rPr>
        <w:t>References</w:t>
      </w:r>
      <w:proofErr w:type="spellEnd"/>
    </w:p>
    <w:p w14:paraId="4C1450CE" w14:textId="2827224B" w:rsidR="00A94019" w:rsidRPr="00A94019" w:rsidRDefault="00A94019" w:rsidP="00A94019">
      <w:pPr>
        <w:pStyle w:val="Prrafodelista"/>
        <w:numPr>
          <w:ilvl w:val="0"/>
          <w:numId w:val="23"/>
        </w:numPr>
        <w:spacing w:line="360" w:lineRule="auto"/>
        <w:jc w:val="both"/>
      </w:pPr>
      <w:r w:rsidRPr="00462D78">
        <w:rPr>
          <w:noProof/>
        </w:rPr>
        <w:t>Urrutia, M., Schwab, W., Hoffmann, T. &amp; Monfort, A. Genetic dissection of the (poly)phenol profile of diploid strawberry (</w:t>
      </w:r>
      <w:r w:rsidRPr="00FD6ADF">
        <w:rPr>
          <w:i/>
          <w:noProof/>
        </w:rPr>
        <w:t>Fragaria vesca</w:t>
      </w:r>
      <w:r w:rsidRPr="00462D78">
        <w:rPr>
          <w:noProof/>
        </w:rPr>
        <w:t xml:space="preserve">) fruits using a NIL collection. </w:t>
      </w:r>
      <w:r w:rsidRPr="00462D78">
        <w:rPr>
          <w:i/>
          <w:iCs/>
          <w:noProof/>
        </w:rPr>
        <w:t>Plant Sci.</w:t>
      </w:r>
      <w:r w:rsidRPr="00462D78">
        <w:rPr>
          <w:noProof/>
        </w:rPr>
        <w:t xml:space="preserve"> </w:t>
      </w:r>
      <w:r w:rsidRPr="00462D78">
        <w:rPr>
          <w:b/>
          <w:bCs/>
          <w:noProof/>
        </w:rPr>
        <w:t>242</w:t>
      </w:r>
      <w:r w:rsidRPr="00462D78">
        <w:rPr>
          <w:noProof/>
        </w:rPr>
        <w:t>, 151–168 (2016).</w:t>
      </w:r>
    </w:p>
    <w:p w14:paraId="5B710EAF" w14:textId="3A28D8DC" w:rsidR="00AC2063" w:rsidRPr="00A94019" w:rsidRDefault="00A94019" w:rsidP="00A94019">
      <w:pPr>
        <w:pStyle w:val="Prrafodelista"/>
        <w:numPr>
          <w:ilvl w:val="0"/>
          <w:numId w:val="23"/>
        </w:numPr>
        <w:spacing w:line="360" w:lineRule="auto"/>
        <w:jc w:val="both"/>
      </w:pPr>
      <w:r w:rsidRPr="00473460">
        <w:rPr>
          <w:noProof/>
        </w:rPr>
        <w:t xml:space="preserve">Muñoz, C. </w:t>
      </w:r>
      <w:r w:rsidRPr="00473460">
        <w:rPr>
          <w:i/>
          <w:iCs/>
          <w:noProof/>
        </w:rPr>
        <w:t>et al.</w:t>
      </w:r>
      <w:r w:rsidRPr="00473460">
        <w:rPr>
          <w:noProof/>
        </w:rPr>
        <w:t xml:space="preserve"> </w:t>
      </w:r>
      <w:r w:rsidRPr="00A94019">
        <w:rPr>
          <w:noProof/>
        </w:rPr>
        <w:t xml:space="preserve">The strawberry fruit fra a allergen functions in flavonoid biosynthesis. </w:t>
      </w:r>
      <w:r w:rsidRPr="00A94019">
        <w:rPr>
          <w:i/>
          <w:iCs/>
          <w:noProof/>
        </w:rPr>
        <w:t>Mol. Plant</w:t>
      </w:r>
      <w:r w:rsidRPr="00A94019">
        <w:rPr>
          <w:noProof/>
        </w:rPr>
        <w:t xml:space="preserve"> </w:t>
      </w:r>
      <w:r w:rsidRPr="00A94019">
        <w:rPr>
          <w:b/>
          <w:bCs/>
          <w:noProof/>
        </w:rPr>
        <w:t>3</w:t>
      </w:r>
      <w:r w:rsidRPr="00A94019">
        <w:rPr>
          <w:noProof/>
        </w:rPr>
        <w:t>, 113–124 (2010).</w:t>
      </w:r>
    </w:p>
    <w:p w14:paraId="79DF246D" w14:textId="252B4F4C" w:rsidR="00B56349" w:rsidRPr="00B56349" w:rsidRDefault="00B56349">
      <w:pPr>
        <w:spacing w:before="0" w:after="200" w:line="276" w:lineRule="auto"/>
        <w:rPr>
          <w:rFonts w:cs="Times New Roman"/>
          <w:b/>
        </w:rPr>
      </w:pPr>
      <w:r w:rsidRPr="00B56349">
        <w:rPr>
          <w:rFonts w:cs="Times New Roman"/>
          <w:b/>
        </w:rPr>
        <w:br w:type="page"/>
      </w:r>
    </w:p>
    <w:p w14:paraId="1773DE5C" w14:textId="7961F72E" w:rsidR="005E2340" w:rsidRPr="00B56349" w:rsidRDefault="005E2340" w:rsidP="00EE1419">
      <w:pPr>
        <w:spacing w:before="0" w:after="200" w:line="276" w:lineRule="auto"/>
        <w:rPr>
          <w:rFonts w:cs="Times New Roman"/>
          <w:b/>
          <w:szCs w:val="24"/>
        </w:rPr>
      </w:pPr>
      <w:r>
        <w:rPr>
          <w:rFonts w:cs="Times New Roman"/>
          <w:b/>
        </w:rPr>
        <w:lastRenderedPageBreak/>
        <w:t>Fig</w:t>
      </w:r>
      <w:r w:rsidR="00EE1419">
        <w:rPr>
          <w:rFonts w:cs="Times New Roman"/>
          <w:b/>
        </w:rPr>
        <w:t>ure</w:t>
      </w:r>
      <w:r>
        <w:rPr>
          <w:rFonts w:cs="Times New Roman"/>
          <w:b/>
        </w:rPr>
        <w:t xml:space="preserve"> S1</w:t>
      </w:r>
      <w:r w:rsidRPr="00D82568">
        <w:rPr>
          <w:rFonts w:cs="Times New Roman"/>
        </w:rPr>
        <w:t xml:space="preserve"> Frequency distribution, variance analysis and correlation matrix for TPC and TEAC in 2013 and 2014.</w:t>
      </w:r>
    </w:p>
    <w:p w14:paraId="4AE492F6" w14:textId="77777777" w:rsidR="00EE1419" w:rsidRPr="00D82568" w:rsidRDefault="00EE1419" w:rsidP="00EE1419">
      <w:pPr>
        <w:spacing w:line="360" w:lineRule="auto"/>
        <w:jc w:val="both"/>
        <w:rPr>
          <w:rFonts w:cs="Times New Roman"/>
        </w:rPr>
      </w:pPr>
      <w:r>
        <w:rPr>
          <w:rFonts w:cs="Times New Roman"/>
          <w:b/>
        </w:rPr>
        <w:t>Table S1</w:t>
      </w:r>
      <w:r w:rsidRPr="00D82568">
        <w:rPr>
          <w:rFonts w:cs="Times New Roman"/>
        </w:rPr>
        <w:t xml:space="preserve"> Secondary metabolites profiling of '232' </w:t>
      </w:r>
      <w:r w:rsidRPr="00D82568">
        <w:rPr>
          <w:rFonts w:cs="Times New Roman"/>
        </w:rPr>
        <w:sym w:font="Symbol" w:char="F020"/>
      </w:r>
      <w:r w:rsidRPr="00D82568">
        <w:rPr>
          <w:rFonts w:cs="Times New Roman"/>
        </w:rPr>
        <w:sym w:font="Symbol" w:char="F0B4"/>
      </w:r>
      <w:r w:rsidRPr="00D82568">
        <w:rPr>
          <w:rFonts w:cs="Times New Roman"/>
        </w:rPr>
        <w:t xml:space="preserve"> '1392' F1 population for the harvest 2013. Values are relativized to the '1392' parental values.</w:t>
      </w:r>
    </w:p>
    <w:p w14:paraId="3DE6CF25" w14:textId="77777777" w:rsidR="00EE1419" w:rsidRPr="00D82568" w:rsidRDefault="00EE1419" w:rsidP="00EE1419">
      <w:pPr>
        <w:spacing w:line="360" w:lineRule="auto"/>
        <w:jc w:val="both"/>
        <w:rPr>
          <w:rFonts w:cs="Times New Roman"/>
        </w:rPr>
      </w:pPr>
      <w:r>
        <w:rPr>
          <w:rFonts w:cs="Times New Roman"/>
          <w:b/>
        </w:rPr>
        <w:t>Table S2</w:t>
      </w:r>
      <w:r w:rsidRPr="00D82568">
        <w:rPr>
          <w:rFonts w:cs="Times New Roman"/>
        </w:rPr>
        <w:t xml:space="preserve"> Pearson pairwise correlation for secondary metabolites in the 2013 and 2014 harvests. Only significant (P&lt;0.05) values are indicated. Metabolites in the 2014 harvests are ordered following 2013 clusters (</w:t>
      </w:r>
      <w:r>
        <w:rPr>
          <w:rFonts w:cs="Times New Roman"/>
        </w:rPr>
        <w:t>Fig.</w:t>
      </w:r>
      <w:r w:rsidRPr="00D82568">
        <w:rPr>
          <w:rFonts w:cs="Times New Roman"/>
        </w:rPr>
        <w:t xml:space="preserve"> 2)</w:t>
      </w:r>
    </w:p>
    <w:p w14:paraId="5AA587DF" w14:textId="77777777" w:rsidR="00EE1419" w:rsidRPr="00D82568" w:rsidRDefault="00EE1419" w:rsidP="00EE1419">
      <w:pPr>
        <w:spacing w:line="360" w:lineRule="auto"/>
        <w:jc w:val="both"/>
        <w:rPr>
          <w:rFonts w:cs="Times New Roman"/>
        </w:rPr>
      </w:pPr>
      <w:r>
        <w:rPr>
          <w:rFonts w:cs="Times New Roman"/>
          <w:b/>
        </w:rPr>
        <w:t>Table S3</w:t>
      </w:r>
      <w:r w:rsidRPr="00D82568">
        <w:rPr>
          <w:rFonts w:cs="Times New Roman"/>
        </w:rPr>
        <w:t xml:space="preserve"> QTL detected for total polyphenols (TPC), antioxidant capacity (TEAC), and polar secondary metabolites in the ‘232’ </w:t>
      </w:r>
      <w:r w:rsidRPr="00D82568">
        <w:rPr>
          <w:rFonts w:cs="Times New Roman"/>
        </w:rPr>
        <w:sym w:font="Symbol" w:char="F0B4"/>
      </w:r>
      <w:r w:rsidRPr="00D82568">
        <w:rPr>
          <w:rFonts w:cs="Times New Roman"/>
        </w:rPr>
        <w:t xml:space="preserve"> ‘1392’ linkage map by Kruskal-Wallis (KW) and restricted multiple QTL mapping (</w:t>
      </w:r>
      <w:proofErr w:type="spellStart"/>
      <w:r w:rsidRPr="00D82568">
        <w:rPr>
          <w:rFonts w:cs="Times New Roman"/>
        </w:rPr>
        <w:t>rMQM</w:t>
      </w:r>
      <w:proofErr w:type="spellEnd"/>
      <w:r w:rsidRPr="00D82568">
        <w:rPr>
          <w:rFonts w:cs="Times New Roman"/>
        </w:rPr>
        <w:t xml:space="preserve">) analysis. The position of the LOD peak (in cM), the markers used as cofactors and the 1-LOD confidence interval are indicated. The estimated mean effect (for transformed data) of the QTL (mu) associated with each of the genotypes (ac, ad, </w:t>
      </w:r>
      <w:proofErr w:type="spellStart"/>
      <w:r w:rsidRPr="00D82568">
        <w:rPr>
          <w:rFonts w:cs="Times New Roman"/>
        </w:rPr>
        <w:t>bc</w:t>
      </w:r>
      <w:proofErr w:type="spellEnd"/>
      <w:r w:rsidRPr="00D82568">
        <w:rPr>
          <w:rFonts w:cs="Times New Roman"/>
        </w:rPr>
        <w:t xml:space="preserve">, </w:t>
      </w:r>
      <w:proofErr w:type="spellStart"/>
      <w:r w:rsidRPr="00D82568">
        <w:rPr>
          <w:rFonts w:cs="Times New Roman"/>
        </w:rPr>
        <w:t>bd</w:t>
      </w:r>
      <w:proofErr w:type="spellEnd"/>
      <w:r w:rsidRPr="00D82568">
        <w:rPr>
          <w:rFonts w:cs="Times New Roman"/>
        </w:rPr>
        <w:t>; for the ab x cd configuration) with phase type {00} is shown. Those QTLs identified in two years are indicated in bold.</w:t>
      </w:r>
    </w:p>
    <w:p w14:paraId="1B5A5027" w14:textId="77777777" w:rsidR="00EE1419" w:rsidRPr="00D82568" w:rsidRDefault="00EE1419" w:rsidP="00EE1419">
      <w:pPr>
        <w:spacing w:line="360" w:lineRule="auto"/>
        <w:jc w:val="both"/>
        <w:rPr>
          <w:rFonts w:cs="Times New Roman"/>
        </w:rPr>
      </w:pPr>
      <w:r w:rsidRPr="00D82568">
        <w:rPr>
          <w:rFonts w:cs="Times New Roman"/>
          <w:b/>
        </w:rPr>
        <w:t>Table S4</w:t>
      </w:r>
      <w:r w:rsidRPr="00D82568">
        <w:rPr>
          <w:rFonts w:cs="Times New Roman"/>
        </w:rPr>
        <w:t xml:space="preserve"> Relative content of metabolites with </w:t>
      </w:r>
      <w:proofErr w:type="spellStart"/>
      <w:r w:rsidRPr="00D82568">
        <w:rPr>
          <w:rFonts w:cs="Times New Roman"/>
        </w:rPr>
        <w:t>mQTLs</w:t>
      </w:r>
      <w:proofErr w:type="spellEnd"/>
      <w:r w:rsidRPr="00D82568">
        <w:rPr>
          <w:rFonts w:cs="Times New Roman"/>
        </w:rPr>
        <w:t xml:space="preserve"> in LG V-2-1 and LG V-2-2 in contrasting F</w:t>
      </w:r>
      <w:r w:rsidRPr="00D82568">
        <w:rPr>
          <w:rFonts w:cs="Times New Roman"/>
          <w:vertAlign w:val="subscript"/>
        </w:rPr>
        <w:t>1</w:t>
      </w:r>
      <w:r w:rsidRPr="00D82568">
        <w:rPr>
          <w:rFonts w:cs="Times New Roman"/>
        </w:rPr>
        <w:t xml:space="preserve"> lines with low (in green) and high (in yellow) relative content. The six lines highlighted in red and blue were selected for RNA extraction and qPCR.</w:t>
      </w:r>
    </w:p>
    <w:p w14:paraId="7CCC1145" w14:textId="63448708" w:rsidR="00182002" w:rsidRPr="00F5607D" w:rsidRDefault="00EE1419" w:rsidP="00F5607D">
      <w:pPr>
        <w:spacing w:line="360" w:lineRule="auto"/>
        <w:jc w:val="both"/>
        <w:rPr>
          <w:rFonts w:cs="Times New Roman"/>
        </w:rPr>
      </w:pPr>
      <w:r w:rsidRPr="00D82568">
        <w:rPr>
          <w:rFonts w:cs="Times New Roman"/>
          <w:b/>
        </w:rPr>
        <w:t>Table S5</w:t>
      </w:r>
      <w:r w:rsidRPr="00D82568">
        <w:rPr>
          <w:rFonts w:cs="Times New Roman"/>
        </w:rPr>
        <w:t xml:space="preserve"> Relative content of metabolites with </w:t>
      </w:r>
      <w:proofErr w:type="spellStart"/>
      <w:r w:rsidRPr="00D82568">
        <w:rPr>
          <w:rFonts w:cs="Times New Roman"/>
        </w:rPr>
        <w:t>mQTLs</w:t>
      </w:r>
      <w:proofErr w:type="spellEnd"/>
      <w:r w:rsidRPr="00D82568">
        <w:rPr>
          <w:rFonts w:cs="Times New Roman"/>
        </w:rPr>
        <w:t xml:space="preserve"> in LG V-4 in contrasting F</w:t>
      </w:r>
      <w:r w:rsidRPr="00D82568">
        <w:rPr>
          <w:rFonts w:cs="Times New Roman"/>
          <w:vertAlign w:val="subscript"/>
        </w:rPr>
        <w:t>1</w:t>
      </w:r>
      <w:r w:rsidRPr="00D82568">
        <w:rPr>
          <w:rFonts w:cs="Times New Roman"/>
        </w:rPr>
        <w:t xml:space="preserve"> lines with low (in green) and high (in yellow) relative content. The six lines highlighted in red and blue were selected for RNA extraction and qPCR.</w:t>
      </w:r>
    </w:p>
    <w:p w14:paraId="7B65BC41" w14:textId="02EA686C" w:rsidR="00DE23E8" w:rsidRPr="001549D3" w:rsidRDefault="00DE23E8" w:rsidP="00654E8F">
      <w:pPr>
        <w:spacing w:before="240"/>
      </w:pPr>
    </w:p>
    <w:sectPr w:rsidR="00DE23E8" w:rsidRPr="001549D3" w:rsidSect="0093429D">
      <w:headerReference w:type="even" r:id="rId8"/>
      <w:footerReference w:type="even" r:id="rId9"/>
      <w:footerReference w:type="default" r:id="rId10"/>
      <w:headerReference w:type="first" r:id="rId11"/>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EBD71" w14:textId="77777777" w:rsidR="00CD7E59" w:rsidRDefault="00CD7E59" w:rsidP="00117666">
      <w:pPr>
        <w:spacing w:after="0"/>
      </w:pPr>
      <w:r>
        <w:separator/>
      </w:r>
    </w:p>
  </w:endnote>
  <w:endnote w:type="continuationSeparator" w:id="0">
    <w:p w14:paraId="175D382C" w14:textId="77777777" w:rsidR="00CD7E59" w:rsidRDefault="00CD7E59"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3025F" w14:textId="77777777" w:rsidR="00995F6A" w:rsidRPr="00577C4C" w:rsidRDefault="00C52A7B">
    <w:pPr>
      <w:rPr>
        <w:color w:val="C00000"/>
        <w:szCs w:val="24"/>
      </w:rPr>
    </w:pPr>
    <w:r>
      <w:rPr>
        <w:noProof/>
        <w:lang w:val="es-ES_tradnl" w:eastAsia="es-ES_tradnl"/>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0F5BAC9"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94019">
                            <w:rPr>
                              <w:noProof/>
                              <w:color w:val="000000" w:themeColor="text1"/>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34"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50BC4D33" w14:textId="70F5BAC9"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94019">
                      <w:rPr>
                        <w:noProof/>
                        <w:color w:val="000000" w:themeColor="text1"/>
                        <w:szCs w:val="40"/>
                      </w:rPr>
                      <w:t>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D6A35" w14:textId="77777777" w:rsidR="00995F6A" w:rsidRPr="00577C4C" w:rsidRDefault="00C52A7B">
    <w:pPr>
      <w:rPr>
        <w:b/>
        <w:sz w:val="20"/>
        <w:szCs w:val="24"/>
      </w:rPr>
    </w:pPr>
    <w:r>
      <w:rPr>
        <w:noProof/>
        <w:lang w:val="es-ES_tradnl" w:eastAsia="es-ES_tradnl"/>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66A7F2B1"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94019">
                            <w:rPr>
                              <w:noProof/>
                              <w:color w:val="000000" w:themeColor="text1"/>
                              <w:szCs w:val="40"/>
                            </w:rPr>
                            <w:t>7</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35"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0F0D09" w14:textId="66A7F2B1"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94019">
                      <w:rPr>
                        <w:noProof/>
                        <w:color w:val="000000" w:themeColor="text1"/>
                        <w:szCs w:val="40"/>
                      </w:rPr>
                      <w:t>7</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4E173" w14:textId="77777777" w:rsidR="00CD7E59" w:rsidRDefault="00CD7E59" w:rsidP="00117666">
      <w:pPr>
        <w:spacing w:after="0"/>
      </w:pPr>
      <w:r>
        <w:separator/>
      </w:r>
    </w:p>
  </w:footnote>
  <w:footnote w:type="continuationSeparator" w:id="0">
    <w:p w14:paraId="10735304" w14:textId="77777777" w:rsidR="00CD7E59" w:rsidRDefault="00CD7E59"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EF00C" w14:textId="1880FAE2" w:rsidR="00995F6A" w:rsidRPr="009151AA" w:rsidRDefault="00C52A7B">
    <w:pPr>
      <w:rPr>
        <w:rFonts w:cs="Times New Roman"/>
      </w:rPr>
    </w:pPr>
    <w:r w:rsidRPr="009151AA">
      <w:rPr>
        <w:rFonts w:cs="Times New Roman"/>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D68C6" w14:textId="10DED7FA" w:rsidR="00995F6A"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Ttulo1"/>
      <w:lvlText w:val="%1"/>
      <w:lvlJc w:val="left"/>
      <w:pPr>
        <w:tabs>
          <w:tab w:val="num" w:pos="567"/>
        </w:tabs>
        <w:ind w:left="567" w:hanging="567"/>
      </w:pPr>
      <w:rPr>
        <w:rFonts w:hint="default"/>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567"/>
        </w:tabs>
        <w:ind w:left="567" w:hanging="567"/>
      </w:pPr>
      <w:rPr>
        <w:rFonts w:hint="default"/>
      </w:rPr>
    </w:lvl>
    <w:lvl w:ilvl="3">
      <w:start w:val="1"/>
      <w:numFmt w:val="decimal"/>
      <w:pStyle w:val="Ttulo4"/>
      <w:lvlText w:val="%1.%2.%3.%4"/>
      <w:lvlJc w:val="left"/>
      <w:pPr>
        <w:tabs>
          <w:tab w:val="num" w:pos="567"/>
        </w:tabs>
        <w:ind w:left="567" w:hanging="567"/>
      </w:pPr>
      <w:rPr>
        <w:rFonts w:hint="default"/>
      </w:rPr>
    </w:lvl>
    <w:lvl w:ilvl="4">
      <w:start w:val="1"/>
      <w:numFmt w:val="decimal"/>
      <w:pStyle w:val="Ttulo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Prrafodelist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02A7CAC"/>
    <w:multiLevelType w:val="multilevel"/>
    <w:tmpl w:val="2D740DBE"/>
    <w:numStyleLink w:val="Headings"/>
  </w:abstractNum>
  <w:abstractNum w:abstractNumId="5"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EB343D"/>
    <w:multiLevelType w:val="hybridMultilevel"/>
    <w:tmpl w:val="C6C0383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5"/>
  </w:num>
  <w:num w:numId="3">
    <w:abstractNumId w:val="1"/>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8"/>
  </w:num>
  <w:num w:numId="9">
    <w:abstractNumId w:val="8"/>
  </w:num>
  <w:num w:numId="10">
    <w:abstractNumId w:val="8"/>
  </w:num>
  <w:num w:numId="11">
    <w:abstractNumId w:val="8"/>
  </w:num>
  <w:num w:numId="12">
    <w:abstractNumId w:val="8"/>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lvlOverride w:ilvl="0">
      <w:lvl w:ilvl="0">
        <w:start w:val="1"/>
        <w:numFmt w:val="decimal"/>
        <w:pStyle w:val="Ttulo1"/>
        <w:lvlText w:val="%1"/>
        <w:lvlJc w:val="left"/>
        <w:pPr>
          <w:tabs>
            <w:tab w:val="num" w:pos="567"/>
          </w:tabs>
          <w:ind w:left="567" w:hanging="567"/>
        </w:pPr>
        <w:rPr>
          <w:rFonts w:hint="default"/>
        </w:rPr>
      </w:lvl>
    </w:lvlOverride>
    <w:lvlOverride w:ilvl="1">
      <w:lvl w:ilvl="1">
        <w:start w:val="1"/>
        <w:numFmt w:val="decimal"/>
        <w:pStyle w:val="Ttulo2"/>
        <w:lvlText w:val="%1.%2"/>
        <w:lvlJc w:val="left"/>
        <w:pPr>
          <w:tabs>
            <w:tab w:val="num" w:pos="567"/>
          </w:tabs>
          <w:ind w:left="567" w:hanging="567"/>
        </w:pPr>
        <w:rPr>
          <w:rFonts w:hint="default"/>
        </w:rPr>
      </w:lvl>
    </w:lvlOverride>
  </w:num>
  <w:num w:numId="21">
    <w:abstractNumId w:val="4"/>
  </w:num>
  <w:num w:numId="22">
    <w:abstractNumId w:val="2"/>
    <w:lvlOverride w:ilvl="0">
      <w:startOverride w:val="1"/>
      <w:lvl w:ilvl="0">
        <w:start w:val="1"/>
        <w:numFmt w:val="decimal"/>
        <w:pStyle w:val="Ttulo1"/>
        <w:lvlText w:val="%1"/>
        <w:lvlJc w:val="left"/>
        <w:pPr>
          <w:tabs>
            <w:tab w:val="num" w:pos="567"/>
          </w:tabs>
          <w:ind w:left="567" w:hanging="567"/>
        </w:pPr>
      </w:lvl>
    </w:lvlOverride>
    <w:lvlOverride w:ilvl="1">
      <w:startOverride w:val="1"/>
      <w:lvl w:ilvl="1">
        <w:start w:val="1"/>
        <w:numFmt w:val="decimal"/>
        <w:pStyle w:val="Ttulo2"/>
        <w:lvlText w:val="%1.%2"/>
        <w:lvlJc w:val="left"/>
        <w:pPr>
          <w:tabs>
            <w:tab w:val="num" w:pos="567"/>
          </w:tabs>
          <w:ind w:left="567" w:hanging="567"/>
        </w:pPr>
      </w:lvl>
    </w:lvlOverride>
    <w:lvlOverride w:ilvl="2">
      <w:startOverride w:val="1"/>
      <w:lvl w:ilvl="2">
        <w:start w:val="1"/>
        <w:numFmt w:val="decimal"/>
        <w:pStyle w:val="Ttulo3"/>
        <w:lvlText w:val=""/>
        <w:lvlJc w:val="left"/>
      </w:lvl>
    </w:lvlOverride>
    <w:lvlOverride w:ilvl="3">
      <w:startOverride w:val="1"/>
      <w:lvl w:ilvl="3">
        <w:start w:val="1"/>
        <w:numFmt w:val="decimal"/>
        <w:pStyle w:val="Ttulo4"/>
        <w:lvlText w:val=""/>
        <w:lvlJc w:val="left"/>
      </w:lvl>
    </w:lvlOverride>
    <w:lvlOverride w:ilvl="4">
      <w:startOverride w:val="1"/>
      <w:lvl w:ilvl="4">
        <w:start w:val="1"/>
        <w:numFmt w:val="decimal"/>
        <w:pStyle w:val="Ttulo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0B5"/>
    <w:rsid w:val="0001436A"/>
    <w:rsid w:val="00034304"/>
    <w:rsid w:val="00035434"/>
    <w:rsid w:val="00052A14"/>
    <w:rsid w:val="00077D53"/>
    <w:rsid w:val="000E7C82"/>
    <w:rsid w:val="000F1976"/>
    <w:rsid w:val="00105FD9"/>
    <w:rsid w:val="00117666"/>
    <w:rsid w:val="001253A9"/>
    <w:rsid w:val="001549D3"/>
    <w:rsid w:val="00160065"/>
    <w:rsid w:val="00177D84"/>
    <w:rsid w:val="00182002"/>
    <w:rsid w:val="00267D18"/>
    <w:rsid w:val="00274347"/>
    <w:rsid w:val="00277B73"/>
    <w:rsid w:val="002868E2"/>
    <w:rsid w:val="002869C3"/>
    <w:rsid w:val="00286F0B"/>
    <w:rsid w:val="002936E4"/>
    <w:rsid w:val="002B3674"/>
    <w:rsid w:val="002B4A57"/>
    <w:rsid w:val="002C74CA"/>
    <w:rsid w:val="003123F4"/>
    <w:rsid w:val="003544FB"/>
    <w:rsid w:val="00385A42"/>
    <w:rsid w:val="003D2F2D"/>
    <w:rsid w:val="003F6B6A"/>
    <w:rsid w:val="00401590"/>
    <w:rsid w:val="00425796"/>
    <w:rsid w:val="00447801"/>
    <w:rsid w:val="00452E9C"/>
    <w:rsid w:val="00462D78"/>
    <w:rsid w:val="00473460"/>
    <w:rsid w:val="004735C8"/>
    <w:rsid w:val="004947A6"/>
    <w:rsid w:val="00494EA1"/>
    <w:rsid w:val="004961FF"/>
    <w:rsid w:val="004F4832"/>
    <w:rsid w:val="00517A89"/>
    <w:rsid w:val="005250F2"/>
    <w:rsid w:val="00593EEA"/>
    <w:rsid w:val="005A5EEE"/>
    <w:rsid w:val="005E2340"/>
    <w:rsid w:val="006375C7"/>
    <w:rsid w:val="006507BD"/>
    <w:rsid w:val="00654E8F"/>
    <w:rsid w:val="00660D05"/>
    <w:rsid w:val="006820B1"/>
    <w:rsid w:val="00693214"/>
    <w:rsid w:val="006B7D14"/>
    <w:rsid w:val="00701727"/>
    <w:rsid w:val="0070566C"/>
    <w:rsid w:val="00714C50"/>
    <w:rsid w:val="00725A7D"/>
    <w:rsid w:val="007501BE"/>
    <w:rsid w:val="00790BB3"/>
    <w:rsid w:val="007C206C"/>
    <w:rsid w:val="007E6DAB"/>
    <w:rsid w:val="00817DD6"/>
    <w:rsid w:val="0083759F"/>
    <w:rsid w:val="008451F4"/>
    <w:rsid w:val="00885156"/>
    <w:rsid w:val="008E5BD7"/>
    <w:rsid w:val="009151AA"/>
    <w:rsid w:val="0093429D"/>
    <w:rsid w:val="00943573"/>
    <w:rsid w:val="009530A2"/>
    <w:rsid w:val="00964134"/>
    <w:rsid w:val="00970F7D"/>
    <w:rsid w:val="00994A3D"/>
    <w:rsid w:val="009C2B12"/>
    <w:rsid w:val="00A070B6"/>
    <w:rsid w:val="00A174D9"/>
    <w:rsid w:val="00A94019"/>
    <w:rsid w:val="00AA4D24"/>
    <w:rsid w:val="00AB6715"/>
    <w:rsid w:val="00AC2063"/>
    <w:rsid w:val="00B1671E"/>
    <w:rsid w:val="00B25EB8"/>
    <w:rsid w:val="00B25F36"/>
    <w:rsid w:val="00B37F4D"/>
    <w:rsid w:val="00B56349"/>
    <w:rsid w:val="00B8411F"/>
    <w:rsid w:val="00BA1D4F"/>
    <w:rsid w:val="00BD0F31"/>
    <w:rsid w:val="00BF71AA"/>
    <w:rsid w:val="00C52A7B"/>
    <w:rsid w:val="00C56BAF"/>
    <w:rsid w:val="00C679AA"/>
    <w:rsid w:val="00C75972"/>
    <w:rsid w:val="00C87318"/>
    <w:rsid w:val="00CD066B"/>
    <w:rsid w:val="00CD7E59"/>
    <w:rsid w:val="00CE4FEE"/>
    <w:rsid w:val="00CF08CE"/>
    <w:rsid w:val="00D060CF"/>
    <w:rsid w:val="00DA3D05"/>
    <w:rsid w:val="00DB59C3"/>
    <w:rsid w:val="00DC259A"/>
    <w:rsid w:val="00DD3A7A"/>
    <w:rsid w:val="00DE23E8"/>
    <w:rsid w:val="00E26C2A"/>
    <w:rsid w:val="00E52377"/>
    <w:rsid w:val="00E537AD"/>
    <w:rsid w:val="00E64E17"/>
    <w:rsid w:val="00E775B0"/>
    <w:rsid w:val="00E866C9"/>
    <w:rsid w:val="00EA3D3C"/>
    <w:rsid w:val="00EC090A"/>
    <w:rsid w:val="00EC3550"/>
    <w:rsid w:val="00ED20B5"/>
    <w:rsid w:val="00EE1419"/>
    <w:rsid w:val="00F46900"/>
    <w:rsid w:val="00F5607D"/>
    <w:rsid w:val="00F61D89"/>
    <w:rsid w:val="00FA0258"/>
    <w:rsid w:val="00FD6ADF"/>
    <w:rsid w:val="00FF0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Ttulo1">
    <w:name w:val="heading 1"/>
    <w:basedOn w:val="Prrafodelista"/>
    <w:next w:val="Normal"/>
    <w:link w:val="Ttulo1Car"/>
    <w:uiPriority w:val="9"/>
    <w:qFormat/>
    <w:rsid w:val="00AB6715"/>
    <w:pPr>
      <w:numPr>
        <w:numId w:val="19"/>
      </w:numPr>
      <w:spacing w:before="240"/>
      <w:contextualSpacing w:val="0"/>
      <w:outlineLvl w:val="0"/>
    </w:pPr>
    <w:rPr>
      <w:b/>
    </w:rPr>
  </w:style>
  <w:style w:type="paragraph" w:styleId="Ttulo2">
    <w:name w:val="heading 2"/>
    <w:basedOn w:val="Ttulo1"/>
    <w:next w:val="Normal"/>
    <w:link w:val="Ttulo2Car"/>
    <w:uiPriority w:val="2"/>
    <w:qFormat/>
    <w:rsid w:val="00AB6715"/>
    <w:pPr>
      <w:numPr>
        <w:ilvl w:val="1"/>
      </w:numPr>
      <w:spacing w:after="200"/>
      <w:outlineLvl w:val="1"/>
    </w:pPr>
  </w:style>
  <w:style w:type="paragraph" w:styleId="Ttulo3">
    <w:name w:val="heading 3"/>
    <w:basedOn w:val="Normal"/>
    <w:next w:val="Normal"/>
    <w:link w:val="Ttulo3Car"/>
    <w:uiPriority w:val="9"/>
    <w:qFormat/>
    <w:rsid w:val="00AB6715"/>
    <w:pPr>
      <w:keepNext/>
      <w:keepLines/>
      <w:numPr>
        <w:ilvl w:val="2"/>
        <w:numId w:val="19"/>
      </w:numPr>
      <w:spacing w:before="40" w:after="120"/>
      <w:outlineLvl w:val="2"/>
    </w:pPr>
    <w:rPr>
      <w:rFonts w:eastAsiaTheme="majorEastAsia" w:cstheme="majorBidi"/>
      <w:b/>
      <w:szCs w:val="24"/>
    </w:rPr>
  </w:style>
  <w:style w:type="paragraph" w:styleId="Ttulo4">
    <w:name w:val="heading 4"/>
    <w:basedOn w:val="Ttulo3"/>
    <w:next w:val="Normal"/>
    <w:link w:val="Ttulo4Car"/>
    <w:uiPriority w:val="9"/>
    <w:qFormat/>
    <w:rsid w:val="00AB6715"/>
    <w:pPr>
      <w:numPr>
        <w:ilvl w:val="3"/>
      </w:numPr>
      <w:outlineLvl w:val="3"/>
    </w:pPr>
    <w:rPr>
      <w:iCs/>
    </w:rPr>
  </w:style>
  <w:style w:type="paragraph" w:styleId="Ttulo5">
    <w:name w:val="heading 5"/>
    <w:basedOn w:val="Ttulo4"/>
    <w:next w:val="Normal"/>
    <w:link w:val="Ttulo5Car"/>
    <w:uiPriority w:val="2"/>
    <w:qFormat/>
    <w:rsid w:val="00AB6715"/>
    <w:pPr>
      <w:numPr>
        <w:ilvl w:val="4"/>
      </w:num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2"/>
    <w:rsid w:val="00AB6715"/>
    <w:rPr>
      <w:rFonts w:ascii="Times New Roman" w:eastAsia="Cambria" w:hAnsi="Times New Roman" w:cs="Times New Roman"/>
      <w:b/>
      <w:sz w:val="24"/>
      <w:szCs w:val="24"/>
    </w:rPr>
  </w:style>
  <w:style w:type="character" w:customStyle="1" w:styleId="Ttulo2Car">
    <w:name w:val="Título 2 Car"/>
    <w:basedOn w:val="Fuentedeprrafopredeter"/>
    <w:link w:val="Ttulo2"/>
    <w:uiPriority w:val="2"/>
    <w:rsid w:val="00AB6715"/>
    <w:rPr>
      <w:rFonts w:ascii="Times New Roman" w:eastAsia="Cambria" w:hAnsi="Times New Roman" w:cs="Times New Roman"/>
      <w:b/>
      <w:sz w:val="24"/>
      <w:szCs w:val="24"/>
    </w:rPr>
  </w:style>
  <w:style w:type="paragraph" w:styleId="Subttulo">
    <w:name w:val="Subtitle"/>
    <w:basedOn w:val="Normal"/>
    <w:next w:val="Normal"/>
    <w:link w:val="SubttuloCar"/>
    <w:uiPriority w:val="99"/>
    <w:unhideWhenUsed/>
    <w:qFormat/>
    <w:rsid w:val="00AB6715"/>
    <w:pPr>
      <w:spacing w:before="240"/>
    </w:pPr>
    <w:rPr>
      <w:rFonts w:cs="Times New Roman"/>
      <w:b/>
      <w:szCs w:val="24"/>
    </w:rPr>
  </w:style>
  <w:style w:type="character" w:customStyle="1" w:styleId="SubttuloCar">
    <w:name w:val="Subtítulo Car"/>
    <w:basedOn w:val="Fuentedeprrafopredeter"/>
    <w:link w:val="Subttulo"/>
    <w:uiPriority w:val="99"/>
    <w:rsid w:val="00AB6715"/>
    <w:rPr>
      <w:rFonts w:ascii="Times New Roman" w:hAnsi="Times New Roman" w:cs="Times New Roman"/>
      <w:b/>
      <w:sz w:val="24"/>
      <w:szCs w:val="24"/>
    </w:rPr>
  </w:style>
  <w:style w:type="paragraph" w:customStyle="1" w:styleId="AuthorList">
    <w:name w:val="Author List"/>
    <w:aliases w:val="Keywords,Abstract"/>
    <w:basedOn w:val="Subttulo"/>
    <w:next w:val="Normal"/>
    <w:uiPriority w:val="1"/>
    <w:qFormat/>
    <w:rsid w:val="00AB6715"/>
  </w:style>
  <w:style w:type="paragraph" w:styleId="Textodeglobo">
    <w:name w:val="Balloon Text"/>
    <w:basedOn w:val="Normal"/>
    <w:link w:val="TextodegloboCar"/>
    <w:uiPriority w:val="99"/>
    <w:semiHidden/>
    <w:unhideWhenUsed/>
    <w:rsid w:val="00AB6715"/>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6715"/>
    <w:rPr>
      <w:rFonts w:ascii="Tahoma" w:hAnsi="Tahoma" w:cs="Tahoma"/>
      <w:sz w:val="16"/>
      <w:szCs w:val="16"/>
    </w:rPr>
  </w:style>
  <w:style w:type="character" w:styleId="Ttulodellibro">
    <w:name w:val="Book Title"/>
    <w:basedOn w:val="Fuentedeprrafopredeter"/>
    <w:uiPriority w:val="33"/>
    <w:qFormat/>
    <w:rsid w:val="00AB6715"/>
    <w:rPr>
      <w:rFonts w:ascii="Times New Roman" w:hAnsi="Times New Roman"/>
      <w:b/>
      <w:bCs/>
      <w:i/>
      <w:iCs/>
      <w:spacing w:val="5"/>
    </w:rPr>
  </w:style>
  <w:style w:type="paragraph" w:styleId="Descripcin">
    <w:name w:val="caption"/>
    <w:basedOn w:val="Normal"/>
    <w:next w:val="Sinespaciado"/>
    <w:uiPriority w:val="35"/>
    <w:unhideWhenUsed/>
    <w:qFormat/>
    <w:rsid w:val="00AB6715"/>
    <w:pPr>
      <w:keepNext/>
    </w:pPr>
    <w:rPr>
      <w:rFonts w:cs="Times New Roman"/>
      <w:b/>
      <w:bCs/>
      <w:szCs w:val="24"/>
    </w:rPr>
  </w:style>
  <w:style w:type="paragraph" w:styleId="Sinespaciado">
    <w:name w:val="No Spacing"/>
    <w:uiPriority w:val="99"/>
    <w:unhideWhenUsed/>
    <w:qFormat/>
    <w:rsid w:val="00AB6715"/>
    <w:pPr>
      <w:spacing w:after="0" w:line="240" w:lineRule="auto"/>
    </w:pPr>
    <w:rPr>
      <w:rFonts w:ascii="Times New Roman" w:hAnsi="Times New Roman"/>
      <w:sz w:val="24"/>
    </w:rPr>
  </w:style>
  <w:style w:type="character" w:styleId="Refdecomentario">
    <w:name w:val="annotation reference"/>
    <w:basedOn w:val="Fuentedeprrafopredeter"/>
    <w:uiPriority w:val="99"/>
    <w:semiHidden/>
    <w:unhideWhenUsed/>
    <w:rsid w:val="00AB6715"/>
    <w:rPr>
      <w:sz w:val="16"/>
      <w:szCs w:val="16"/>
    </w:rPr>
  </w:style>
  <w:style w:type="paragraph" w:styleId="Textocomentario">
    <w:name w:val="annotation text"/>
    <w:basedOn w:val="Normal"/>
    <w:link w:val="TextocomentarioCar"/>
    <w:uiPriority w:val="99"/>
    <w:semiHidden/>
    <w:unhideWhenUsed/>
    <w:rsid w:val="00AB6715"/>
    <w:rPr>
      <w:sz w:val="20"/>
      <w:szCs w:val="20"/>
    </w:rPr>
  </w:style>
  <w:style w:type="character" w:customStyle="1" w:styleId="TextocomentarioCar">
    <w:name w:val="Texto comentario Car"/>
    <w:basedOn w:val="Fuentedeprrafopredeter"/>
    <w:link w:val="Textocomentario"/>
    <w:uiPriority w:val="99"/>
    <w:semiHidden/>
    <w:rsid w:val="00AB671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AB6715"/>
    <w:rPr>
      <w:b/>
      <w:bCs/>
    </w:rPr>
  </w:style>
  <w:style w:type="character" w:customStyle="1" w:styleId="AsuntodelcomentarioCar">
    <w:name w:val="Asunto del comentario Car"/>
    <w:basedOn w:val="TextocomentarioCar"/>
    <w:link w:val="Asuntodelcomentario"/>
    <w:uiPriority w:val="99"/>
    <w:semiHidden/>
    <w:rsid w:val="00AB6715"/>
    <w:rPr>
      <w:rFonts w:ascii="Times New Roman" w:hAnsi="Times New Roman"/>
      <w:b/>
      <w:bCs/>
      <w:sz w:val="20"/>
      <w:szCs w:val="20"/>
    </w:rPr>
  </w:style>
  <w:style w:type="character" w:styleId="nfasis">
    <w:name w:val="Emphasis"/>
    <w:basedOn w:val="Fuentedeprrafopredeter"/>
    <w:uiPriority w:val="20"/>
    <w:qFormat/>
    <w:rsid w:val="00AB6715"/>
    <w:rPr>
      <w:rFonts w:ascii="Times New Roman" w:hAnsi="Times New Roman"/>
      <w:i/>
      <w:iCs/>
    </w:rPr>
  </w:style>
  <w:style w:type="character" w:styleId="Refdenotaalfinal">
    <w:name w:val="endnote reference"/>
    <w:basedOn w:val="Fuentedeprrafopredeter"/>
    <w:uiPriority w:val="99"/>
    <w:semiHidden/>
    <w:unhideWhenUsed/>
    <w:rsid w:val="00AB6715"/>
    <w:rPr>
      <w:vertAlign w:val="superscript"/>
    </w:rPr>
  </w:style>
  <w:style w:type="paragraph" w:styleId="Textonotaalfinal">
    <w:name w:val="endnote text"/>
    <w:basedOn w:val="Normal"/>
    <w:link w:val="TextonotaalfinalCar"/>
    <w:uiPriority w:val="99"/>
    <w:semiHidden/>
    <w:unhideWhenUsed/>
    <w:rsid w:val="00AB6715"/>
    <w:pPr>
      <w:spacing w:after="0"/>
    </w:pPr>
    <w:rPr>
      <w:sz w:val="20"/>
      <w:szCs w:val="20"/>
    </w:rPr>
  </w:style>
  <w:style w:type="character" w:customStyle="1" w:styleId="TextonotaalfinalCar">
    <w:name w:val="Texto nota al final Car"/>
    <w:basedOn w:val="Fuentedeprrafopredeter"/>
    <w:link w:val="Textonotaalfinal"/>
    <w:uiPriority w:val="99"/>
    <w:semiHidden/>
    <w:rsid w:val="00AB6715"/>
    <w:rPr>
      <w:rFonts w:ascii="Times New Roman" w:hAnsi="Times New Roman"/>
      <w:sz w:val="20"/>
      <w:szCs w:val="20"/>
    </w:rPr>
  </w:style>
  <w:style w:type="character" w:styleId="Hipervnculovisitado">
    <w:name w:val="FollowedHyperlink"/>
    <w:basedOn w:val="Fuentedeprrafopredeter"/>
    <w:uiPriority w:val="99"/>
    <w:semiHidden/>
    <w:unhideWhenUsed/>
    <w:rsid w:val="00AB6715"/>
    <w:rPr>
      <w:color w:val="800080" w:themeColor="followedHyperlink"/>
      <w:u w:val="single"/>
    </w:rPr>
  </w:style>
  <w:style w:type="paragraph" w:styleId="Piedepgina">
    <w:name w:val="footer"/>
    <w:basedOn w:val="Normal"/>
    <w:link w:val="PiedepginaCar"/>
    <w:uiPriority w:val="99"/>
    <w:unhideWhenUsed/>
    <w:rsid w:val="00AB6715"/>
    <w:pPr>
      <w:tabs>
        <w:tab w:val="center" w:pos="4844"/>
        <w:tab w:val="right" w:pos="9689"/>
      </w:tabs>
      <w:spacing w:after="0"/>
    </w:pPr>
  </w:style>
  <w:style w:type="character" w:customStyle="1" w:styleId="PiedepginaCar">
    <w:name w:val="Pie de página Car"/>
    <w:basedOn w:val="Fuentedeprrafopredeter"/>
    <w:link w:val="Piedepgina"/>
    <w:uiPriority w:val="99"/>
    <w:rsid w:val="00AB6715"/>
    <w:rPr>
      <w:rFonts w:ascii="Times New Roman" w:hAnsi="Times New Roman"/>
      <w:sz w:val="24"/>
    </w:rPr>
  </w:style>
  <w:style w:type="character" w:styleId="Refdenotaalpie">
    <w:name w:val="footnote reference"/>
    <w:basedOn w:val="Fuentedeprrafopredeter"/>
    <w:uiPriority w:val="99"/>
    <w:semiHidden/>
    <w:unhideWhenUsed/>
    <w:rsid w:val="00AB6715"/>
    <w:rPr>
      <w:vertAlign w:val="superscript"/>
    </w:rPr>
  </w:style>
  <w:style w:type="paragraph" w:styleId="Textonotapie">
    <w:name w:val="footnote text"/>
    <w:basedOn w:val="Normal"/>
    <w:link w:val="TextonotapieCar"/>
    <w:uiPriority w:val="99"/>
    <w:semiHidden/>
    <w:unhideWhenUsed/>
    <w:rsid w:val="00AB6715"/>
    <w:pPr>
      <w:spacing w:after="0"/>
    </w:pPr>
    <w:rPr>
      <w:sz w:val="20"/>
      <w:szCs w:val="20"/>
    </w:rPr>
  </w:style>
  <w:style w:type="character" w:customStyle="1" w:styleId="TextonotapieCar">
    <w:name w:val="Texto nota pie Car"/>
    <w:basedOn w:val="Fuentedeprrafopredeter"/>
    <w:link w:val="Textonotapie"/>
    <w:uiPriority w:val="99"/>
    <w:semiHidden/>
    <w:rsid w:val="00AB6715"/>
    <w:rPr>
      <w:rFonts w:ascii="Times New Roman" w:hAnsi="Times New Roman"/>
      <w:sz w:val="20"/>
      <w:szCs w:val="20"/>
    </w:rPr>
  </w:style>
  <w:style w:type="paragraph" w:styleId="Encabezado">
    <w:name w:val="header"/>
    <w:basedOn w:val="Normal"/>
    <w:link w:val="EncabezadoCar"/>
    <w:uiPriority w:val="99"/>
    <w:unhideWhenUsed/>
    <w:rsid w:val="00AB6715"/>
    <w:pPr>
      <w:tabs>
        <w:tab w:val="center" w:pos="4844"/>
        <w:tab w:val="right" w:pos="9689"/>
      </w:tabs>
    </w:pPr>
    <w:rPr>
      <w:b/>
    </w:rPr>
  </w:style>
  <w:style w:type="character" w:customStyle="1" w:styleId="EncabezadoCar">
    <w:name w:val="Encabezado Car"/>
    <w:basedOn w:val="Fuentedeprrafopredeter"/>
    <w:link w:val="Encabezado"/>
    <w:uiPriority w:val="99"/>
    <w:rsid w:val="00AB6715"/>
    <w:rPr>
      <w:rFonts w:ascii="Times New Roman" w:hAnsi="Times New Roman"/>
      <w:b/>
      <w:sz w:val="24"/>
    </w:rPr>
  </w:style>
  <w:style w:type="paragraph" w:styleId="Prrafodelista">
    <w:name w:val="List Paragraph"/>
    <w:basedOn w:val="Normal"/>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ipervnculo">
    <w:name w:val="Hyperlink"/>
    <w:basedOn w:val="Fuentedeprrafopredeter"/>
    <w:uiPriority w:val="99"/>
    <w:unhideWhenUsed/>
    <w:rsid w:val="00AB6715"/>
    <w:rPr>
      <w:color w:val="0000FF"/>
      <w:u w:val="single"/>
    </w:rPr>
  </w:style>
  <w:style w:type="character" w:styleId="nfasisintenso">
    <w:name w:val="Intense Emphasis"/>
    <w:basedOn w:val="Fuentedeprrafopredeter"/>
    <w:uiPriority w:val="21"/>
    <w:unhideWhenUsed/>
    <w:rsid w:val="00AB6715"/>
    <w:rPr>
      <w:rFonts w:ascii="Times New Roman" w:hAnsi="Times New Roman"/>
      <w:i/>
      <w:iCs/>
      <w:color w:val="auto"/>
    </w:rPr>
  </w:style>
  <w:style w:type="character" w:styleId="Referenciaintensa">
    <w:name w:val="Intense Reference"/>
    <w:basedOn w:val="Fuentedeprrafopredeter"/>
    <w:uiPriority w:val="32"/>
    <w:qFormat/>
    <w:rsid w:val="00AB6715"/>
    <w:rPr>
      <w:b/>
      <w:bCs/>
      <w:smallCaps/>
      <w:color w:val="auto"/>
      <w:spacing w:val="5"/>
    </w:rPr>
  </w:style>
  <w:style w:type="character" w:styleId="Nmerodelnea">
    <w:name w:val="line number"/>
    <w:basedOn w:val="Fuentedeprrafopredeter"/>
    <w:uiPriority w:val="99"/>
    <w:semiHidden/>
    <w:unhideWhenUsed/>
    <w:rsid w:val="00AB6715"/>
  </w:style>
  <w:style w:type="character" w:customStyle="1" w:styleId="Ttulo3Car">
    <w:name w:val="Título 3 Car"/>
    <w:basedOn w:val="Fuentedeprrafopredeter"/>
    <w:link w:val="Ttulo3"/>
    <w:uiPriority w:val="2"/>
    <w:rsid w:val="00AB6715"/>
    <w:rPr>
      <w:rFonts w:ascii="Times New Roman" w:eastAsiaTheme="majorEastAsia" w:hAnsi="Times New Roman" w:cstheme="majorBidi"/>
      <w:b/>
      <w:sz w:val="24"/>
      <w:szCs w:val="24"/>
    </w:rPr>
  </w:style>
  <w:style w:type="character" w:customStyle="1" w:styleId="Ttulo4Car">
    <w:name w:val="Título 4 Car"/>
    <w:basedOn w:val="Fuentedeprrafopredeter"/>
    <w:link w:val="Ttulo4"/>
    <w:uiPriority w:val="2"/>
    <w:rsid w:val="00AB6715"/>
    <w:rPr>
      <w:rFonts w:ascii="Times New Roman" w:eastAsiaTheme="majorEastAsia" w:hAnsi="Times New Roman" w:cstheme="majorBidi"/>
      <w:b/>
      <w:iCs/>
      <w:sz w:val="24"/>
      <w:szCs w:val="24"/>
    </w:rPr>
  </w:style>
  <w:style w:type="character" w:customStyle="1" w:styleId="Ttulo5Car">
    <w:name w:val="Título 5 Car"/>
    <w:basedOn w:val="Fuentedeprrafopredeter"/>
    <w:link w:val="Ttulo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Cita">
    <w:name w:val="Quote"/>
    <w:basedOn w:val="Normal"/>
    <w:next w:val="Normal"/>
    <w:link w:val="CitaCar"/>
    <w:uiPriority w:val="29"/>
    <w:qFormat/>
    <w:rsid w:val="00AB6715"/>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B6715"/>
    <w:rPr>
      <w:rFonts w:ascii="Times New Roman" w:hAnsi="Times New Roman"/>
      <w:i/>
      <w:iCs/>
      <w:color w:val="404040" w:themeColor="text1" w:themeTint="BF"/>
      <w:sz w:val="24"/>
    </w:rPr>
  </w:style>
  <w:style w:type="character" w:styleId="Textoennegrita">
    <w:name w:val="Strong"/>
    <w:basedOn w:val="Fuentedeprrafopredeter"/>
    <w:uiPriority w:val="22"/>
    <w:qFormat/>
    <w:rsid w:val="00AB6715"/>
    <w:rPr>
      <w:rFonts w:ascii="Times New Roman" w:hAnsi="Times New Roman"/>
      <w:b/>
      <w:bCs/>
    </w:rPr>
  </w:style>
  <w:style w:type="character" w:styleId="nfasissutil">
    <w:name w:val="Subtle Emphasis"/>
    <w:basedOn w:val="Fuentedeprrafopredeter"/>
    <w:uiPriority w:val="19"/>
    <w:qFormat/>
    <w:rsid w:val="00AB6715"/>
    <w:rPr>
      <w:rFonts w:ascii="Times New Roman" w:hAnsi="Times New Roman"/>
      <w:i/>
      <w:iCs/>
      <w:color w:val="404040" w:themeColor="text1" w:themeTint="BF"/>
    </w:rPr>
  </w:style>
  <w:style w:type="table" w:styleId="Tablaconcuadrcula">
    <w:name w:val="Table Grid"/>
    <w:basedOn w:val="Tabla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qFormat/>
    <w:rsid w:val="00AB6715"/>
    <w:pPr>
      <w:suppressLineNumbers/>
      <w:spacing w:before="240" w:after="360"/>
      <w:jc w:val="center"/>
    </w:pPr>
    <w:rPr>
      <w:rFonts w:cs="Times New Roman"/>
      <w:b/>
      <w:sz w:val="32"/>
      <w:szCs w:val="32"/>
    </w:rPr>
  </w:style>
  <w:style w:type="character" w:customStyle="1" w:styleId="TtuloCar">
    <w:name w:val="Título Car"/>
    <w:basedOn w:val="Fuentedeprrafopredeter"/>
    <w:link w:val="Ttulo"/>
    <w:rsid w:val="00AB6715"/>
    <w:rPr>
      <w:rFonts w:ascii="Times New Roman" w:hAnsi="Times New Roman" w:cs="Times New Roman"/>
      <w:b/>
      <w:sz w:val="32"/>
      <w:szCs w:val="32"/>
    </w:rPr>
  </w:style>
  <w:style w:type="paragraph" w:customStyle="1" w:styleId="SupplementaryMaterial">
    <w:name w:val="Supplementary Material"/>
    <w:basedOn w:val="Ttulo"/>
    <w:next w:val="Ttulo"/>
    <w:qFormat/>
    <w:rsid w:val="0001436A"/>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422019">
      <w:bodyDiv w:val="1"/>
      <w:marLeft w:val="0"/>
      <w:marRight w:val="0"/>
      <w:marTop w:val="0"/>
      <w:marBottom w:val="0"/>
      <w:divBdr>
        <w:top w:val="none" w:sz="0" w:space="0" w:color="auto"/>
        <w:left w:val="none" w:sz="0" w:space="0" w:color="auto"/>
        <w:bottom w:val="none" w:sz="0" w:space="0" w:color="auto"/>
        <w:right w:val="none" w:sz="0" w:space="0" w:color="auto"/>
      </w:divBdr>
    </w:div>
    <w:div w:id="264196946">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520633585">
      <w:bodyDiv w:val="1"/>
      <w:marLeft w:val="0"/>
      <w:marRight w:val="0"/>
      <w:marTop w:val="0"/>
      <w:marBottom w:val="0"/>
      <w:divBdr>
        <w:top w:val="none" w:sz="0" w:space="0" w:color="auto"/>
        <w:left w:val="none" w:sz="0" w:space="0" w:color="auto"/>
        <w:bottom w:val="none" w:sz="0" w:space="0" w:color="auto"/>
        <w:right w:val="none" w:sz="0" w:space="0" w:color="auto"/>
      </w:divBdr>
    </w:div>
    <w:div w:id="534315019">
      <w:bodyDiv w:val="1"/>
      <w:marLeft w:val="0"/>
      <w:marRight w:val="0"/>
      <w:marTop w:val="0"/>
      <w:marBottom w:val="0"/>
      <w:divBdr>
        <w:top w:val="none" w:sz="0" w:space="0" w:color="auto"/>
        <w:left w:val="none" w:sz="0" w:space="0" w:color="auto"/>
        <w:bottom w:val="none" w:sz="0" w:space="0" w:color="auto"/>
        <w:right w:val="none" w:sz="0" w:space="0" w:color="auto"/>
      </w:divBdr>
    </w:div>
    <w:div w:id="637299503">
      <w:bodyDiv w:val="1"/>
      <w:marLeft w:val="0"/>
      <w:marRight w:val="0"/>
      <w:marTop w:val="0"/>
      <w:marBottom w:val="0"/>
      <w:divBdr>
        <w:top w:val="none" w:sz="0" w:space="0" w:color="auto"/>
        <w:left w:val="none" w:sz="0" w:space="0" w:color="auto"/>
        <w:bottom w:val="none" w:sz="0" w:space="0" w:color="auto"/>
        <w:right w:val="none" w:sz="0" w:space="0" w:color="auto"/>
      </w:divBdr>
    </w:div>
    <w:div w:id="699934589">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535463417">
      <w:bodyDiv w:val="1"/>
      <w:marLeft w:val="0"/>
      <w:marRight w:val="0"/>
      <w:marTop w:val="0"/>
      <w:marBottom w:val="0"/>
      <w:divBdr>
        <w:top w:val="none" w:sz="0" w:space="0" w:color="auto"/>
        <w:left w:val="none" w:sz="0" w:space="0" w:color="auto"/>
        <w:bottom w:val="none" w:sz="0" w:space="0" w:color="auto"/>
        <w:right w:val="none" w:sz="0" w:space="0" w:color="auto"/>
      </w:divBdr>
    </w:div>
    <w:div w:id="1558785365">
      <w:bodyDiv w:val="1"/>
      <w:marLeft w:val="0"/>
      <w:marRight w:val="0"/>
      <w:marTop w:val="0"/>
      <w:marBottom w:val="0"/>
      <w:divBdr>
        <w:top w:val="none" w:sz="0" w:space="0" w:color="auto"/>
        <w:left w:val="none" w:sz="0" w:space="0" w:color="auto"/>
        <w:bottom w:val="none" w:sz="0" w:space="0" w:color="auto"/>
        <w:right w:val="none" w:sz="0" w:space="0" w:color="auto"/>
      </w:divBdr>
    </w:div>
    <w:div w:id="1568109803">
      <w:bodyDiv w:val="1"/>
      <w:marLeft w:val="0"/>
      <w:marRight w:val="0"/>
      <w:marTop w:val="0"/>
      <w:marBottom w:val="0"/>
      <w:divBdr>
        <w:top w:val="none" w:sz="0" w:space="0" w:color="auto"/>
        <w:left w:val="none" w:sz="0" w:space="0" w:color="auto"/>
        <w:bottom w:val="none" w:sz="0" w:space="0" w:color="auto"/>
        <w:right w:val="none" w:sz="0" w:space="0" w:color="auto"/>
      </w:divBdr>
    </w:div>
    <w:div w:id="1733506402">
      <w:bodyDiv w:val="1"/>
      <w:marLeft w:val="0"/>
      <w:marRight w:val="0"/>
      <w:marTop w:val="0"/>
      <w:marBottom w:val="0"/>
      <w:divBdr>
        <w:top w:val="none" w:sz="0" w:space="0" w:color="auto"/>
        <w:left w:val="none" w:sz="0" w:space="0" w:color="auto"/>
        <w:bottom w:val="none" w:sz="0" w:space="0" w:color="auto"/>
        <w:right w:val="none" w:sz="0" w:space="0" w:color="auto"/>
      </w:divBdr>
    </w:div>
    <w:div w:id="213374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0A088D4-5A5D-5B4E-91CB-1FC2CEE9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0</TotalTime>
  <Pages>6</Pages>
  <Words>1750</Words>
  <Characters>9630</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 Media SA</dc:creator>
  <cp:lastModifiedBy>IAMAYA</cp:lastModifiedBy>
  <cp:revision>2</cp:revision>
  <cp:lastPrinted>2013-10-03T12:51:00Z</cp:lastPrinted>
  <dcterms:created xsi:type="dcterms:W3CDTF">2020-10-09T13:36:00Z</dcterms:created>
  <dcterms:modified xsi:type="dcterms:W3CDTF">2020-10-09T13:36:00Z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http://csl.mendeley.com/styles/204667711/dpfoodchem</vt:lpwstr>
  </property>
  <property fmtid="{D5CDD505-2E9C-101B-9397-08002B2CF9AE}" pid="3" name="Mendeley Recent Style Name 0_1">
    <vt:lpwstr>American Psychological Association 7th edition - Delphine Pott</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http://csl.mendeley.com/styles/204667711/elsevier-vancouver-author-date-2</vt:lpwstr>
  </property>
  <property fmtid="{D5CDD505-2E9C-101B-9397-08002B2CF9AE}" pid="7" name="Mendeley Recent Style Name 2_1">
    <vt:lpwstr>Elsevier - Vancouver (author-date) - Delphine Pott</vt:lpwstr>
  </property>
  <property fmtid="{D5CDD505-2E9C-101B-9397-08002B2CF9AE}" pid="8" name="Mendeley Recent Style Id 3_1">
    <vt:lpwstr>http://csl.mendeley.com/styles/204667711/elsevier-vancouver-author-date-3</vt:lpwstr>
  </property>
  <property fmtid="{D5CDD505-2E9C-101B-9397-08002B2CF9AE}" pid="9" name="Mendeley Recent Style Name 3_1">
    <vt:lpwstr>Elsevier - Vancouver (author-date) - Delphine Pott</vt:lpwstr>
  </property>
  <property fmtid="{D5CDD505-2E9C-101B-9397-08002B2CF9AE}" pid="10" name="Mendeley Recent Style Id 4_1">
    <vt:lpwstr>http://csl.mendeley.com/styles/204667711/elsevier-vancouver-author-date-4</vt:lpwstr>
  </property>
  <property fmtid="{D5CDD505-2E9C-101B-9397-08002B2CF9AE}" pid="11" name="Mendeley Recent Style Name 4_1">
    <vt:lpwstr>Elsevier - Vancouver (author-date) - Delphine Pott</vt:lpwstr>
  </property>
  <property fmtid="{D5CDD505-2E9C-101B-9397-08002B2CF9AE}" pid="12" name="Mendeley Recent Style Id 5_1">
    <vt:lpwstr>http://csl.mendeley.com/styles/204667711/elsevier-vancouver-author-date</vt:lpwstr>
  </property>
  <property fmtid="{D5CDD505-2E9C-101B-9397-08002B2CF9AE}" pid="13" name="Mendeley Recent Style Name 5_1">
    <vt:lpwstr>Elsevier - Vancouver (author-date) - Delphine Pott</vt:lpwstr>
  </property>
  <property fmtid="{D5CDD505-2E9C-101B-9397-08002B2CF9AE}" pid="14" name="Mendeley Recent Style Id 6_1">
    <vt:lpwstr>http://www.zotero.org/styles/frontiers-in-plant-science</vt:lpwstr>
  </property>
  <property fmtid="{D5CDD505-2E9C-101B-9397-08002B2CF9AE}" pid="15" name="Mendeley Recent Style Name 6_1">
    <vt:lpwstr>Frontiers in Plant Science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http://www.zotero.org/styles/scientific-reports</vt:lpwstr>
  </property>
  <property fmtid="{D5CDD505-2E9C-101B-9397-08002B2CF9AE}" pid="19" name="Mendeley Recent Style Name 8_1">
    <vt:lpwstr>Scientific Reports</vt:lpwstr>
  </property>
  <property fmtid="{D5CDD505-2E9C-101B-9397-08002B2CF9AE}" pid="20" name="Mendeley Recent Style Id 9_1">
    <vt:lpwstr>http://www.zotero.org/styles/vancouver-author-date</vt:lpwstr>
  </property>
  <property fmtid="{D5CDD505-2E9C-101B-9397-08002B2CF9AE}" pid="21" name="Mendeley Recent Style Name 9_1">
    <vt:lpwstr>Vancouver (author-date)</vt:lpwstr>
  </property>
  <property fmtid="{D5CDD505-2E9C-101B-9397-08002B2CF9AE}" pid="22" name="Mendeley Document_1">
    <vt:lpwstr>True</vt:lpwstr>
  </property>
  <property fmtid="{D5CDD505-2E9C-101B-9397-08002B2CF9AE}" pid="23" name="Mendeley Unique User Id_1">
    <vt:lpwstr>01551271-e1fa-3eb4-bb42-f5d493c9b8cf</vt:lpwstr>
  </property>
  <property fmtid="{D5CDD505-2E9C-101B-9397-08002B2CF9AE}" pid="24" name="Mendeley Citation Style_1">
    <vt:lpwstr>http://www.zotero.org/styles/scientific-reports</vt:lpwstr>
  </property>
</Properties>
</file>