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3B822" w14:textId="2DFE3E76" w:rsidR="00885485" w:rsidRPr="002400F1" w:rsidRDefault="00885485" w:rsidP="00885485">
      <w:pPr>
        <w:snapToGrid w:val="0"/>
        <w:rPr>
          <w:b/>
          <w:color w:val="000000"/>
          <w:sz w:val="20"/>
          <w:szCs w:val="20"/>
        </w:rPr>
      </w:pPr>
      <w:r w:rsidRPr="002400F1">
        <w:rPr>
          <w:b/>
          <w:color w:val="000000"/>
          <w:sz w:val="20"/>
          <w:szCs w:val="20"/>
        </w:rPr>
        <w:t xml:space="preserve">Title: </w:t>
      </w:r>
      <w:bookmarkStart w:id="0" w:name="OLE_LINK27"/>
      <w:bookmarkStart w:id="1" w:name="OLE_LINK28"/>
      <w:bookmarkStart w:id="2" w:name="OLE_LINK82"/>
      <w:bookmarkStart w:id="3" w:name="OLE_LINK83"/>
      <w:r w:rsidRPr="002400F1">
        <w:rPr>
          <w:b/>
          <w:color w:val="000000"/>
          <w:sz w:val="20"/>
          <w:szCs w:val="20"/>
        </w:rPr>
        <w:t>Preemptive interferon-α</w:t>
      </w:r>
      <w:r w:rsidRPr="002400F1" w:rsidDel="00314F5F">
        <w:rPr>
          <w:b/>
          <w:color w:val="000000"/>
          <w:sz w:val="20"/>
          <w:szCs w:val="20"/>
        </w:rPr>
        <w:t xml:space="preserve"> </w:t>
      </w:r>
      <w:r w:rsidRPr="002400F1">
        <w:rPr>
          <w:b/>
          <w:color w:val="000000"/>
          <w:sz w:val="20"/>
          <w:szCs w:val="20"/>
        </w:rPr>
        <w:t xml:space="preserve">treatment could protect against relapse and improve </w:t>
      </w:r>
      <w:r>
        <w:rPr>
          <w:b/>
          <w:color w:val="000000"/>
          <w:sz w:val="20"/>
          <w:szCs w:val="20"/>
        </w:rPr>
        <w:t xml:space="preserve">long-term </w:t>
      </w:r>
      <w:r w:rsidRPr="002400F1">
        <w:rPr>
          <w:b/>
          <w:color w:val="000000"/>
          <w:sz w:val="20"/>
          <w:szCs w:val="20"/>
        </w:rPr>
        <w:t xml:space="preserve">survival of </w:t>
      </w:r>
      <w:r w:rsidR="00BB0B04">
        <w:rPr>
          <w:rFonts w:hint="eastAsia"/>
          <w:b/>
          <w:color w:val="000000"/>
          <w:sz w:val="20"/>
          <w:szCs w:val="20"/>
        </w:rPr>
        <w:t>ALL</w:t>
      </w:r>
      <w:r w:rsidR="00BB0B04">
        <w:rPr>
          <w:b/>
          <w:color w:val="000000"/>
          <w:sz w:val="20"/>
          <w:szCs w:val="20"/>
        </w:rPr>
        <w:t xml:space="preserve"> </w:t>
      </w:r>
      <w:r w:rsidRPr="002400F1">
        <w:rPr>
          <w:b/>
          <w:color w:val="000000"/>
          <w:sz w:val="20"/>
          <w:szCs w:val="20"/>
        </w:rPr>
        <w:t xml:space="preserve">patients after </w:t>
      </w:r>
      <w:proofErr w:type="spellStart"/>
      <w:r w:rsidRPr="002400F1">
        <w:rPr>
          <w:b/>
          <w:color w:val="000000"/>
          <w:sz w:val="20"/>
          <w:szCs w:val="20"/>
        </w:rPr>
        <w:t>allo</w:t>
      </w:r>
      <w:bookmarkEnd w:id="0"/>
      <w:bookmarkEnd w:id="1"/>
      <w:proofErr w:type="spellEnd"/>
      <w:r w:rsidR="00BB0B04">
        <w:rPr>
          <w:b/>
          <w:color w:val="000000"/>
          <w:sz w:val="20"/>
          <w:szCs w:val="20"/>
        </w:rPr>
        <w:t>-</w:t>
      </w:r>
      <w:r w:rsidR="00BB0B04">
        <w:rPr>
          <w:rFonts w:hint="eastAsia"/>
          <w:b/>
          <w:color w:val="000000"/>
          <w:sz w:val="20"/>
          <w:szCs w:val="20"/>
        </w:rPr>
        <w:t>HSCT</w:t>
      </w:r>
      <w:r w:rsidRPr="002400F1">
        <w:rPr>
          <w:b/>
          <w:color w:val="000000"/>
          <w:sz w:val="20"/>
          <w:szCs w:val="20"/>
        </w:rPr>
        <w:t>.</w:t>
      </w:r>
      <w:bookmarkEnd w:id="2"/>
      <w:bookmarkEnd w:id="3"/>
    </w:p>
    <w:p w14:paraId="304BC04D" w14:textId="77777777" w:rsidR="00885485" w:rsidRDefault="00885485" w:rsidP="00885485">
      <w:pPr>
        <w:rPr>
          <w:color w:val="000000"/>
          <w:sz w:val="20"/>
          <w:szCs w:val="20"/>
          <w:vertAlign w:val="superscript"/>
        </w:rPr>
      </w:pPr>
      <w:r w:rsidRPr="002400F1">
        <w:rPr>
          <w:b/>
          <w:color w:val="000000"/>
          <w:sz w:val="20"/>
          <w:szCs w:val="20"/>
        </w:rPr>
        <w:t>Authors:</w:t>
      </w:r>
      <w:r w:rsidRPr="002400F1">
        <w:rPr>
          <w:color w:val="000000"/>
          <w:sz w:val="20"/>
          <w:szCs w:val="20"/>
        </w:rPr>
        <w:t xml:space="preserve"> </w:t>
      </w:r>
      <w:proofErr w:type="spellStart"/>
      <w:r w:rsidRPr="002400F1">
        <w:rPr>
          <w:color w:val="000000"/>
          <w:sz w:val="20"/>
          <w:szCs w:val="20"/>
        </w:rPr>
        <w:t>Si</w:t>
      </w:r>
      <w:r>
        <w:rPr>
          <w:color w:val="000000"/>
          <w:sz w:val="20"/>
          <w:szCs w:val="20"/>
        </w:rPr>
        <w:t>n</w:t>
      </w:r>
      <w:r w:rsidRPr="002400F1">
        <w:rPr>
          <w:color w:val="000000"/>
          <w:sz w:val="20"/>
          <w:szCs w:val="20"/>
        </w:rPr>
        <w:t>ing</w:t>
      </w:r>
      <w:proofErr w:type="spellEnd"/>
      <w:r w:rsidRPr="00D210C6">
        <w:rPr>
          <w:color w:val="000000"/>
          <w:sz w:val="20"/>
          <w:szCs w:val="20"/>
        </w:rPr>
        <w:t xml:space="preserve"> </w:t>
      </w:r>
      <w:r>
        <w:rPr>
          <w:color w:val="000000"/>
          <w:sz w:val="20"/>
          <w:szCs w:val="20"/>
        </w:rPr>
        <w:t>Liu</w:t>
      </w:r>
      <w:r w:rsidRPr="002400F1">
        <w:rPr>
          <w:color w:val="000000"/>
          <w:sz w:val="20"/>
          <w:szCs w:val="20"/>
          <w:vertAlign w:val="superscript"/>
        </w:rPr>
        <w:t>1</w:t>
      </w:r>
      <w:r w:rsidRPr="002400F1">
        <w:rPr>
          <w:color w:val="000000"/>
          <w:sz w:val="20"/>
          <w:szCs w:val="20"/>
        </w:rPr>
        <w:t xml:space="preserve">, </w:t>
      </w:r>
      <w:proofErr w:type="spellStart"/>
      <w:r w:rsidRPr="002400F1">
        <w:rPr>
          <w:color w:val="000000"/>
          <w:sz w:val="20"/>
          <w:szCs w:val="20"/>
        </w:rPr>
        <w:t>Xue</w:t>
      </w:r>
      <w:r>
        <w:rPr>
          <w:color w:val="000000"/>
          <w:sz w:val="20"/>
          <w:szCs w:val="20"/>
        </w:rPr>
        <w:t>y</w:t>
      </w:r>
      <w:r w:rsidRPr="002400F1">
        <w:rPr>
          <w:color w:val="000000"/>
          <w:sz w:val="20"/>
          <w:szCs w:val="20"/>
        </w:rPr>
        <w:t>i</w:t>
      </w:r>
      <w:proofErr w:type="spellEnd"/>
      <w:r w:rsidRPr="00D210C6">
        <w:rPr>
          <w:color w:val="000000"/>
          <w:sz w:val="20"/>
          <w:szCs w:val="20"/>
        </w:rPr>
        <w:t xml:space="preserve"> </w:t>
      </w:r>
      <w:r>
        <w:rPr>
          <w:color w:val="000000"/>
          <w:sz w:val="20"/>
          <w:szCs w:val="20"/>
        </w:rPr>
        <w:t>Luo</w:t>
      </w:r>
      <w:r w:rsidRPr="002400F1">
        <w:rPr>
          <w:color w:val="000000"/>
          <w:sz w:val="20"/>
          <w:szCs w:val="20"/>
          <w:vertAlign w:val="superscript"/>
        </w:rPr>
        <w:t>1</w:t>
      </w:r>
      <w:r w:rsidRPr="002400F1">
        <w:rPr>
          <w:color w:val="000000"/>
          <w:sz w:val="20"/>
          <w:szCs w:val="20"/>
        </w:rPr>
        <w:t>,</w:t>
      </w:r>
      <w:r>
        <w:rPr>
          <w:color w:val="000000"/>
          <w:sz w:val="20"/>
          <w:szCs w:val="20"/>
        </w:rPr>
        <w:t xml:space="preserve"> </w:t>
      </w:r>
      <w:proofErr w:type="spellStart"/>
      <w:r>
        <w:rPr>
          <w:color w:val="000000"/>
          <w:sz w:val="20"/>
          <w:szCs w:val="20"/>
        </w:rPr>
        <w:t>Xiaohui</w:t>
      </w:r>
      <w:proofErr w:type="spellEnd"/>
      <w:r>
        <w:rPr>
          <w:color w:val="000000"/>
          <w:sz w:val="20"/>
          <w:szCs w:val="20"/>
        </w:rPr>
        <w:t xml:space="preserve"> Zhang</w:t>
      </w:r>
      <w:r w:rsidRPr="002400F1">
        <w:rPr>
          <w:color w:val="000000"/>
          <w:sz w:val="20"/>
          <w:szCs w:val="20"/>
          <w:vertAlign w:val="superscript"/>
        </w:rPr>
        <w:t>1</w:t>
      </w:r>
      <w:r w:rsidRPr="002400F1">
        <w:rPr>
          <w:color w:val="000000"/>
          <w:sz w:val="20"/>
          <w:szCs w:val="20"/>
        </w:rPr>
        <w:t>,</w:t>
      </w:r>
      <w:r w:rsidRPr="002400F1">
        <w:rPr>
          <w:color w:val="000000"/>
          <w:sz w:val="20"/>
          <w:szCs w:val="20"/>
          <w:vertAlign w:val="superscript"/>
        </w:rPr>
        <w:t xml:space="preserve"> </w:t>
      </w:r>
      <w:proofErr w:type="spellStart"/>
      <w:r>
        <w:rPr>
          <w:color w:val="000000"/>
          <w:sz w:val="20"/>
          <w:szCs w:val="20"/>
        </w:rPr>
        <w:t>Lanping</w:t>
      </w:r>
      <w:proofErr w:type="spellEnd"/>
      <w:r>
        <w:rPr>
          <w:color w:val="000000"/>
          <w:sz w:val="20"/>
          <w:szCs w:val="20"/>
        </w:rPr>
        <w:t xml:space="preserve"> Xu</w:t>
      </w:r>
      <w:r w:rsidRPr="002400F1">
        <w:rPr>
          <w:color w:val="000000"/>
          <w:sz w:val="20"/>
          <w:szCs w:val="20"/>
          <w:vertAlign w:val="superscript"/>
        </w:rPr>
        <w:t>1</w:t>
      </w:r>
      <w:r w:rsidRPr="002400F1">
        <w:rPr>
          <w:color w:val="000000"/>
          <w:sz w:val="20"/>
          <w:szCs w:val="20"/>
        </w:rPr>
        <w:t xml:space="preserve">, </w:t>
      </w:r>
      <w:proofErr w:type="spellStart"/>
      <w:r>
        <w:rPr>
          <w:color w:val="000000"/>
          <w:sz w:val="20"/>
          <w:szCs w:val="20"/>
        </w:rPr>
        <w:t>Yu Wang</w:t>
      </w:r>
      <w:proofErr w:type="spellEnd"/>
      <w:r w:rsidRPr="002400F1">
        <w:rPr>
          <w:color w:val="000000"/>
          <w:sz w:val="20"/>
          <w:szCs w:val="20"/>
          <w:vertAlign w:val="superscript"/>
        </w:rPr>
        <w:t>1</w:t>
      </w:r>
      <w:r w:rsidRPr="002400F1">
        <w:rPr>
          <w:color w:val="000000"/>
          <w:sz w:val="20"/>
          <w:szCs w:val="20"/>
        </w:rPr>
        <w:t xml:space="preserve">, </w:t>
      </w:r>
      <w:proofErr w:type="spellStart"/>
      <w:r w:rsidRPr="002400F1">
        <w:rPr>
          <w:color w:val="000000"/>
          <w:sz w:val="20"/>
          <w:szCs w:val="20"/>
        </w:rPr>
        <w:t>Chen</w:t>
      </w:r>
      <w:r>
        <w:rPr>
          <w:color w:val="000000"/>
          <w:sz w:val="20"/>
          <w:szCs w:val="20"/>
        </w:rPr>
        <w:t>hua</w:t>
      </w:r>
      <w:proofErr w:type="spellEnd"/>
      <w:r>
        <w:rPr>
          <w:color w:val="000000"/>
          <w:sz w:val="20"/>
          <w:szCs w:val="20"/>
        </w:rPr>
        <w:t xml:space="preserve"> Yan</w:t>
      </w:r>
      <w:r w:rsidRPr="002400F1">
        <w:rPr>
          <w:color w:val="000000"/>
          <w:sz w:val="20"/>
          <w:szCs w:val="20"/>
          <w:vertAlign w:val="superscript"/>
        </w:rPr>
        <w:t>1</w:t>
      </w:r>
      <w:r w:rsidRPr="002400F1">
        <w:rPr>
          <w:color w:val="000000"/>
          <w:sz w:val="20"/>
          <w:szCs w:val="20"/>
        </w:rPr>
        <w:t xml:space="preserve">, </w:t>
      </w:r>
      <w:r>
        <w:rPr>
          <w:color w:val="000000"/>
          <w:sz w:val="20"/>
          <w:szCs w:val="20"/>
        </w:rPr>
        <w:t>Huan Chen</w:t>
      </w:r>
      <w:r w:rsidRPr="002400F1">
        <w:rPr>
          <w:color w:val="000000"/>
          <w:sz w:val="20"/>
          <w:szCs w:val="20"/>
          <w:vertAlign w:val="superscript"/>
        </w:rPr>
        <w:t>1</w:t>
      </w:r>
      <w:r>
        <w:rPr>
          <w:color w:val="000000"/>
          <w:sz w:val="20"/>
          <w:szCs w:val="20"/>
        </w:rPr>
        <w:t>,</w:t>
      </w:r>
      <w:r w:rsidRPr="002400F1">
        <w:rPr>
          <w:color w:val="000000"/>
          <w:sz w:val="20"/>
          <w:szCs w:val="20"/>
        </w:rPr>
        <w:t xml:space="preserve"> </w:t>
      </w:r>
      <w:proofErr w:type="spellStart"/>
      <w:r w:rsidRPr="002400F1">
        <w:rPr>
          <w:color w:val="000000"/>
          <w:sz w:val="20"/>
          <w:szCs w:val="20"/>
        </w:rPr>
        <w:t>Yu</w:t>
      </w:r>
      <w:r>
        <w:rPr>
          <w:color w:val="000000"/>
          <w:sz w:val="20"/>
          <w:szCs w:val="20"/>
        </w:rPr>
        <w:t>h</w:t>
      </w:r>
      <w:r w:rsidRPr="002400F1">
        <w:rPr>
          <w:color w:val="000000"/>
          <w:sz w:val="20"/>
          <w:szCs w:val="20"/>
        </w:rPr>
        <w:t>ong</w:t>
      </w:r>
      <w:proofErr w:type="spellEnd"/>
      <w:r>
        <w:rPr>
          <w:color w:val="000000"/>
          <w:sz w:val="20"/>
          <w:szCs w:val="20"/>
        </w:rPr>
        <w:t xml:space="preserve"> Chen</w:t>
      </w:r>
      <w:r w:rsidRPr="002400F1">
        <w:rPr>
          <w:color w:val="000000"/>
          <w:sz w:val="20"/>
          <w:szCs w:val="20"/>
          <w:vertAlign w:val="superscript"/>
        </w:rPr>
        <w:t>1</w:t>
      </w:r>
      <w:r w:rsidRPr="002400F1">
        <w:rPr>
          <w:color w:val="000000"/>
          <w:sz w:val="20"/>
          <w:szCs w:val="20"/>
        </w:rPr>
        <w:t xml:space="preserve">, </w:t>
      </w:r>
      <w:r>
        <w:rPr>
          <w:color w:val="000000"/>
          <w:sz w:val="20"/>
          <w:szCs w:val="20"/>
        </w:rPr>
        <w:t>Wei Han</w:t>
      </w:r>
      <w:r w:rsidRPr="002400F1">
        <w:rPr>
          <w:color w:val="000000"/>
          <w:sz w:val="20"/>
          <w:szCs w:val="20"/>
          <w:vertAlign w:val="superscript"/>
        </w:rPr>
        <w:t>1</w:t>
      </w:r>
      <w:r>
        <w:rPr>
          <w:color w:val="000000"/>
          <w:sz w:val="20"/>
          <w:szCs w:val="20"/>
        </w:rPr>
        <w:t xml:space="preserve">, </w:t>
      </w:r>
      <w:proofErr w:type="spellStart"/>
      <w:r>
        <w:rPr>
          <w:rFonts w:hint="eastAsia"/>
          <w:color w:val="000000"/>
          <w:sz w:val="20"/>
          <w:szCs w:val="20"/>
        </w:rPr>
        <w:t>Fengrong</w:t>
      </w:r>
      <w:proofErr w:type="spellEnd"/>
      <w:r>
        <w:rPr>
          <w:color w:val="000000"/>
          <w:sz w:val="20"/>
          <w:szCs w:val="20"/>
        </w:rPr>
        <w:t xml:space="preserve"> </w:t>
      </w:r>
      <w:r>
        <w:rPr>
          <w:rFonts w:hint="eastAsia"/>
          <w:color w:val="000000"/>
          <w:sz w:val="20"/>
          <w:szCs w:val="20"/>
        </w:rPr>
        <w:t>Wang</w:t>
      </w:r>
      <w:r w:rsidRPr="00F239D1">
        <w:rPr>
          <w:color w:val="000000"/>
          <w:sz w:val="20"/>
          <w:szCs w:val="20"/>
          <w:vertAlign w:val="superscript"/>
        </w:rPr>
        <w:t>1</w:t>
      </w:r>
      <w:r>
        <w:rPr>
          <w:rFonts w:hint="eastAsia"/>
          <w:color w:val="000000"/>
          <w:sz w:val="20"/>
          <w:szCs w:val="20"/>
        </w:rPr>
        <w:t xml:space="preserve">, </w:t>
      </w:r>
      <w:proofErr w:type="spellStart"/>
      <w:r>
        <w:rPr>
          <w:color w:val="000000"/>
          <w:sz w:val="20"/>
          <w:szCs w:val="20"/>
        </w:rPr>
        <w:t>Jingzhi</w:t>
      </w:r>
      <w:proofErr w:type="spellEnd"/>
      <w:r>
        <w:rPr>
          <w:color w:val="000000"/>
          <w:sz w:val="20"/>
          <w:szCs w:val="20"/>
        </w:rPr>
        <w:t xml:space="preserve"> Wang</w:t>
      </w:r>
      <w:r w:rsidRPr="002400F1">
        <w:rPr>
          <w:color w:val="000000"/>
          <w:sz w:val="20"/>
          <w:szCs w:val="20"/>
          <w:vertAlign w:val="superscript"/>
        </w:rPr>
        <w:t>1</w:t>
      </w:r>
      <w:r w:rsidRPr="004128A9">
        <w:rPr>
          <w:color w:val="000000"/>
          <w:sz w:val="20"/>
          <w:szCs w:val="20"/>
        </w:rPr>
        <w:t>,</w:t>
      </w:r>
      <w:r w:rsidRPr="00D210C6">
        <w:rPr>
          <w:color w:val="000000"/>
          <w:sz w:val="20"/>
          <w:szCs w:val="20"/>
        </w:rPr>
        <w:t xml:space="preserve"> </w:t>
      </w:r>
      <w:proofErr w:type="spellStart"/>
      <w:r>
        <w:rPr>
          <w:color w:val="000000"/>
          <w:sz w:val="20"/>
          <w:szCs w:val="20"/>
        </w:rPr>
        <w:t>Kaiyan</w:t>
      </w:r>
      <w:proofErr w:type="spellEnd"/>
      <w:r>
        <w:rPr>
          <w:color w:val="000000"/>
          <w:sz w:val="20"/>
          <w:szCs w:val="20"/>
        </w:rPr>
        <w:t xml:space="preserve"> Liu</w:t>
      </w:r>
      <w:r w:rsidRPr="002400F1">
        <w:rPr>
          <w:color w:val="000000"/>
          <w:sz w:val="20"/>
          <w:szCs w:val="20"/>
          <w:vertAlign w:val="superscript"/>
        </w:rPr>
        <w:t>1</w:t>
      </w:r>
      <w:r w:rsidRPr="002400F1">
        <w:rPr>
          <w:color w:val="000000"/>
          <w:sz w:val="20"/>
          <w:szCs w:val="20"/>
        </w:rPr>
        <w:t>,</w:t>
      </w:r>
      <w:r w:rsidRPr="002400F1">
        <w:rPr>
          <w:color w:val="000000"/>
          <w:sz w:val="20"/>
          <w:szCs w:val="20"/>
          <w:vertAlign w:val="superscript"/>
        </w:rPr>
        <w:t xml:space="preserve"> </w:t>
      </w:r>
      <w:proofErr w:type="spellStart"/>
      <w:r>
        <w:rPr>
          <w:color w:val="000000"/>
          <w:sz w:val="20"/>
          <w:szCs w:val="20"/>
        </w:rPr>
        <w:t>Xiaojun</w:t>
      </w:r>
      <w:proofErr w:type="spellEnd"/>
      <w:r>
        <w:rPr>
          <w:color w:val="000000"/>
          <w:sz w:val="20"/>
          <w:szCs w:val="20"/>
        </w:rPr>
        <w:t xml:space="preserve"> </w:t>
      </w:r>
      <w:r>
        <w:rPr>
          <w:rFonts w:hint="eastAsia"/>
          <w:color w:val="000000"/>
          <w:sz w:val="20"/>
          <w:szCs w:val="20"/>
        </w:rPr>
        <w:t>Huang</w:t>
      </w:r>
      <w:r w:rsidRPr="002400F1">
        <w:rPr>
          <w:color w:val="000000"/>
          <w:sz w:val="20"/>
          <w:szCs w:val="20"/>
          <w:vertAlign w:val="superscript"/>
        </w:rPr>
        <w:t>1,2</w:t>
      </w:r>
      <w:r>
        <w:rPr>
          <w:color w:val="000000"/>
          <w:sz w:val="20"/>
          <w:szCs w:val="20"/>
        </w:rPr>
        <w:t xml:space="preserve">, </w:t>
      </w:r>
      <w:r w:rsidRPr="002400F1">
        <w:rPr>
          <w:color w:val="000000"/>
          <w:sz w:val="20"/>
          <w:szCs w:val="20"/>
        </w:rPr>
        <w:t xml:space="preserve">and </w:t>
      </w:r>
      <w:bookmarkStart w:id="4" w:name="OLE_LINK45"/>
      <w:bookmarkStart w:id="5" w:name="OLE_LINK46"/>
      <w:proofErr w:type="spellStart"/>
      <w:r w:rsidRPr="002400F1">
        <w:rPr>
          <w:color w:val="000000"/>
          <w:sz w:val="20"/>
          <w:szCs w:val="20"/>
        </w:rPr>
        <w:t>Xiao</w:t>
      </w:r>
      <w:r>
        <w:rPr>
          <w:color w:val="000000"/>
          <w:sz w:val="20"/>
          <w:szCs w:val="20"/>
        </w:rPr>
        <w:t>dong</w:t>
      </w:r>
      <w:proofErr w:type="spellEnd"/>
      <w:r w:rsidRPr="00D210C6">
        <w:rPr>
          <w:color w:val="000000"/>
          <w:sz w:val="20"/>
          <w:szCs w:val="20"/>
        </w:rPr>
        <w:t xml:space="preserve"> </w:t>
      </w:r>
      <w:r>
        <w:rPr>
          <w:color w:val="000000"/>
          <w:sz w:val="20"/>
          <w:szCs w:val="20"/>
        </w:rPr>
        <w:t>Mo</w:t>
      </w:r>
      <w:r w:rsidRPr="00B21CEA">
        <w:t xml:space="preserve"> </w:t>
      </w:r>
      <w:r w:rsidRPr="00B21CEA">
        <w:rPr>
          <w:color w:val="000000"/>
          <w:sz w:val="24"/>
        </w:rPr>
        <w:t>(</w:t>
      </w:r>
      <w:r w:rsidRPr="00B21CEA">
        <w:rPr>
          <w:rFonts w:ascii="Wingdings" w:hAnsi="Wingdings" w:hint="eastAsia"/>
          <w:color w:val="000000"/>
          <w:sz w:val="24"/>
        </w:rPr>
        <w:sym w:font="Wingdings" w:char="F02A"/>
      </w:r>
      <w:r w:rsidRPr="00B21CEA">
        <w:rPr>
          <w:color w:val="000000"/>
          <w:sz w:val="24"/>
        </w:rPr>
        <w:t>)</w:t>
      </w:r>
      <w:r w:rsidRPr="002400F1">
        <w:rPr>
          <w:color w:val="000000"/>
          <w:sz w:val="20"/>
          <w:szCs w:val="20"/>
          <w:vertAlign w:val="superscript"/>
        </w:rPr>
        <w:t>1</w:t>
      </w:r>
      <w:bookmarkEnd w:id="4"/>
      <w:bookmarkEnd w:id="5"/>
    </w:p>
    <w:p w14:paraId="651D1C8B" w14:textId="77777777" w:rsidR="00885485" w:rsidRDefault="00885485" w:rsidP="00885485">
      <w:pPr>
        <w:rPr>
          <w:color w:val="000000"/>
          <w:sz w:val="20"/>
          <w:szCs w:val="20"/>
          <w:vertAlign w:val="superscript"/>
        </w:rPr>
      </w:pPr>
    </w:p>
    <w:p w14:paraId="28DCE0C8" w14:textId="77777777" w:rsidR="00885485" w:rsidRDefault="00885485" w:rsidP="00885485">
      <w:pPr>
        <w:rPr>
          <w:color w:val="000000"/>
          <w:sz w:val="20"/>
          <w:szCs w:val="20"/>
          <w:vertAlign w:val="superscript"/>
        </w:rPr>
      </w:pPr>
    </w:p>
    <w:p w14:paraId="3CA81BCB" w14:textId="77777777" w:rsidR="00885485" w:rsidRDefault="00885485" w:rsidP="00885485">
      <w:pPr>
        <w:rPr>
          <w:color w:val="000000"/>
          <w:sz w:val="20"/>
          <w:szCs w:val="20"/>
          <w:vertAlign w:val="superscript"/>
        </w:rPr>
      </w:pPr>
    </w:p>
    <w:p w14:paraId="183F0AFF" w14:textId="77777777" w:rsidR="00885485" w:rsidRDefault="00885485" w:rsidP="00885485">
      <w:pPr>
        <w:rPr>
          <w:color w:val="000000"/>
          <w:sz w:val="20"/>
          <w:szCs w:val="20"/>
          <w:vertAlign w:val="superscript"/>
        </w:rPr>
      </w:pPr>
    </w:p>
    <w:p w14:paraId="4595A0B8" w14:textId="77777777" w:rsidR="00885485" w:rsidRDefault="00885485" w:rsidP="00885485">
      <w:pPr>
        <w:rPr>
          <w:color w:val="000000"/>
          <w:sz w:val="20"/>
          <w:szCs w:val="20"/>
          <w:vertAlign w:val="superscript"/>
        </w:rPr>
      </w:pPr>
    </w:p>
    <w:p w14:paraId="184382A5" w14:textId="77777777" w:rsidR="00885485" w:rsidRDefault="00885485" w:rsidP="00885485">
      <w:pPr>
        <w:rPr>
          <w:color w:val="000000"/>
          <w:sz w:val="20"/>
          <w:szCs w:val="20"/>
          <w:vertAlign w:val="superscript"/>
        </w:rPr>
      </w:pPr>
    </w:p>
    <w:p w14:paraId="70F7B893" w14:textId="77777777" w:rsidR="00885485" w:rsidRDefault="00885485" w:rsidP="00885485">
      <w:pPr>
        <w:rPr>
          <w:color w:val="000000"/>
          <w:sz w:val="20"/>
          <w:szCs w:val="20"/>
          <w:vertAlign w:val="superscript"/>
        </w:rPr>
      </w:pPr>
    </w:p>
    <w:p w14:paraId="6A70C7ED" w14:textId="77777777" w:rsidR="00885485" w:rsidRDefault="00885485" w:rsidP="00885485">
      <w:pPr>
        <w:rPr>
          <w:color w:val="000000"/>
          <w:sz w:val="20"/>
          <w:szCs w:val="20"/>
          <w:vertAlign w:val="superscript"/>
        </w:rPr>
      </w:pPr>
    </w:p>
    <w:p w14:paraId="03B2B7ED" w14:textId="77777777" w:rsidR="00885485" w:rsidRDefault="00885485" w:rsidP="00885485">
      <w:pPr>
        <w:rPr>
          <w:color w:val="000000"/>
          <w:sz w:val="20"/>
          <w:szCs w:val="20"/>
          <w:vertAlign w:val="superscript"/>
        </w:rPr>
      </w:pPr>
    </w:p>
    <w:p w14:paraId="7A46B6FE" w14:textId="12FB0284" w:rsidR="00885485" w:rsidRDefault="00885485" w:rsidP="00885485">
      <w:pPr>
        <w:rPr>
          <w:color w:val="000000"/>
          <w:sz w:val="20"/>
          <w:szCs w:val="20"/>
          <w:vertAlign w:val="superscript"/>
        </w:rPr>
      </w:pPr>
    </w:p>
    <w:p w14:paraId="429C508E" w14:textId="77777777" w:rsidR="00D67234" w:rsidRDefault="00D67234" w:rsidP="00885485">
      <w:pPr>
        <w:rPr>
          <w:rFonts w:hint="eastAsia"/>
          <w:color w:val="000000"/>
          <w:sz w:val="20"/>
          <w:szCs w:val="20"/>
          <w:vertAlign w:val="superscript"/>
        </w:rPr>
      </w:pPr>
      <w:bookmarkStart w:id="6" w:name="_GoBack"/>
      <w:bookmarkEnd w:id="6"/>
    </w:p>
    <w:p w14:paraId="05E71B73" w14:textId="77777777" w:rsidR="00885485" w:rsidRDefault="00885485" w:rsidP="00885485">
      <w:pPr>
        <w:rPr>
          <w:color w:val="000000"/>
          <w:sz w:val="20"/>
          <w:szCs w:val="20"/>
          <w:vertAlign w:val="superscript"/>
        </w:rPr>
      </w:pPr>
    </w:p>
    <w:p w14:paraId="0E14B0EB" w14:textId="77777777" w:rsidR="00885485" w:rsidRDefault="00885485" w:rsidP="00885485">
      <w:pPr>
        <w:rPr>
          <w:color w:val="000000"/>
          <w:sz w:val="20"/>
          <w:szCs w:val="20"/>
          <w:vertAlign w:val="superscript"/>
        </w:rPr>
      </w:pPr>
    </w:p>
    <w:p w14:paraId="4AD3EC4E" w14:textId="77777777" w:rsidR="00885485" w:rsidRDefault="00885485" w:rsidP="00885485">
      <w:pPr>
        <w:rPr>
          <w:color w:val="000000"/>
          <w:sz w:val="20"/>
          <w:szCs w:val="20"/>
          <w:vertAlign w:val="superscript"/>
        </w:rPr>
      </w:pPr>
    </w:p>
    <w:p w14:paraId="3F1D4A5F" w14:textId="77777777" w:rsidR="00885485" w:rsidRDefault="00885485" w:rsidP="00885485">
      <w:pPr>
        <w:rPr>
          <w:color w:val="000000"/>
          <w:sz w:val="20"/>
          <w:szCs w:val="20"/>
          <w:vertAlign w:val="superscript"/>
        </w:rPr>
      </w:pPr>
    </w:p>
    <w:p w14:paraId="61BAF6C7" w14:textId="77777777" w:rsidR="00885485" w:rsidRDefault="00885485" w:rsidP="00885485">
      <w:pPr>
        <w:rPr>
          <w:color w:val="000000"/>
          <w:sz w:val="20"/>
          <w:szCs w:val="20"/>
          <w:vertAlign w:val="superscript"/>
        </w:rPr>
      </w:pPr>
    </w:p>
    <w:p w14:paraId="5C9A0915" w14:textId="77777777" w:rsidR="00885485" w:rsidRDefault="00885485" w:rsidP="00885485">
      <w:pPr>
        <w:rPr>
          <w:color w:val="000000"/>
          <w:sz w:val="20"/>
          <w:szCs w:val="20"/>
          <w:vertAlign w:val="superscript"/>
        </w:rPr>
      </w:pPr>
    </w:p>
    <w:p w14:paraId="1C5B4DD6" w14:textId="77777777" w:rsidR="00885485" w:rsidRPr="004128A9" w:rsidRDefault="00885485" w:rsidP="00885485">
      <w:pPr>
        <w:rPr>
          <w:color w:val="000000"/>
          <w:sz w:val="20"/>
          <w:szCs w:val="20"/>
        </w:rPr>
      </w:pPr>
    </w:p>
    <w:p w14:paraId="75C5D119" w14:textId="77777777" w:rsidR="00BD098D" w:rsidRPr="00474EA9" w:rsidRDefault="00BD098D" w:rsidP="00BA366A">
      <w:pPr>
        <w:snapToGrid w:val="0"/>
        <w:rPr>
          <w:b/>
          <w:sz w:val="20"/>
          <w:szCs w:val="20"/>
        </w:rPr>
      </w:pPr>
      <w:r w:rsidRPr="00474EA9">
        <w:rPr>
          <w:rFonts w:hint="eastAsia"/>
          <w:b/>
          <w:sz w:val="20"/>
          <w:szCs w:val="20"/>
        </w:rPr>
        <w:lastRenderedPageBreak/>
        <w:t>Supplementary methods</w:t>
      </w:r>
    </w:p>
    <w:p w14:paraId="40F39B6D" w14:textId="77777777" w:rsidR="00BD4B5D" w:rsidRPr="00474EA9" w:rsidRDefault="00BD4B5D" w:rsidP="00BA366A">
      <w:pPr>
        <w:snapToGrid w:val="0"/>
        <w:rPr>
          <w:b/>
          <w:sz w:val="20"/>
          <w:szCs w:val="20"/>
        </w:rPr>
      </w:pPr>
      <w:r w:rsidRPr="00474EA9">
        <w:rPr>
          <w:rFonts w:hint="eastAsia"/>
          <w:b/>
          <w:sz w:val="20"/>
          <w:szCs w:val="20"/>
        </w:rPr>
        <w:t xml:space="preserve">Inclusion criteria </w:t>
      </w:r>
      <w:r w:rsidR="00C43608" w:rsidRPr="00474EA9">
        <w:rPr>
          <w:rFonts w:hint="eastAsia"/>
          <w:b/>
          <w:sz w:val="20"/>
          <w:szCs w:val="20"/>
        </w:rPr>
        <w:t>and exclusion criteria</w:t>
      </w:r>
    </w:p>
    <w:p w14:paraId="5C9E7B70" w14:textId="77777777" w:rsidR="00C43608" w:rsidRPr="00474EA9" w:rsidRDefault="00D9614C" w:rsidP="00BA366A">
      <w:pPr>
        <w:snapToGrid w:val="0"/>
        <w:rPr>
          <w:b/>
          <w:sz w:val="20"/>
          <w:szCs w:val="20"/>
        </w:rPr>
      </w:pPr>
      <w:r w:rsidRPr="00474EA9">
        <w:rPr>
          <w:b/>
          <w:i/>
          <w:sz w:val="20"/>
          <w:szCs w:val="20"/>
        </w:rPr>
        <w:t>Inclusion criteria</w:t>
      </w:r>
      <w:r w:rsidRPr="00474EA9">
        <w:rPr>
          <w:b/>
          <w:sz w:val="20"/>
          <w:szCs w:val="20"/>
        </w:rPr>
        <w:t>:</w:t>
      </w:r>
    </w:p>
    <w:p w14:paraId="46F26588" w14:textId="77777777" w:rsidR="00C43608" w:rsidRPr="00474EA9" w:rsidRDefault="00C43608" w:rsidP="00BA366A">
      <w:pPr>
        <w:snapToGrid w:val="0"/>
        <w:rPr>
          <w:sz w:val="20"/>
          <w:szCs w:val="20"/>
        </w:rPr>
      </w:pPr>
      <w:r w:rsidRPr="00474EA9">
        <w:rPr>
          <w:sz w:val="20"/>
          <w:szCs w:val="20"/>
        </w:rPr>
        <w:t xml:space="preserve">Consecutive patients subjects receiving non-T-cell–depleted </w:t>
      </w:r>
      <w:proofErr w:type="spellStart"/>
      <w:r w:rsidRPr="00474EA9">
        <w:rPr>
          <w:sz w:val="20"/>
          <w:szCs w:val="20"/>
        </w:rPr>
        <w:t>allo</w:t>
      </w:r>
      <w:proofErr w:type="spellEnd"/>
      <w:r w:rsidRPr="00474EA9">
        <w:rPr>
          <w:sz w:val="20"/>
          <w:szCs w:val="20"/>
        </w:rPr>
        <w:t xml:space="preserve">-HSCT at the Peking University Institute of Hematology were enrolled if they met the following criteria: (1) acute </w:t>
      </w:r>
      <w:r w:rsidR="0027388A">
        <w:rPr>
          <w:rFonts w:hint="eastAsia"/>
          <w:sz w:val="20"/>
          <w:szCs w:val="20"/>
        </w:rPr>
        <w:t>lymphoblastic</w:t>
      </w:r>
      <w:r w:rsidR="0027388A">
        <w:rPr>
          <w:sz w:val="20"/>
          <w:szCs w:val="20"/>
        </w:rPr>
        <w:t xml:space="preserve"> </w:t>
      </w:r>
      <w:r w:rsidRPr="00474EA9">
        <w:rPr>
          <w:sz w:val="20"/>
          <w:szCs w:val="20"/>
        </w:rPr>
        <w:t>leukemia</w:t>
      </w:r>
      <w:r w:rsidR="00C563A6">
        <w:rPr>
          <w:sz w:val="20"/>
          <w:szCs w:val="20"/>
        </w:rPr>
        <w:t xml:space="preserve"> (ALL)</w:t>
      </w:r>
      <w:r w:rsidRPr="00474EA9">
        <w:rPr>
          <w:sz w:val="20"/>
          <w:szCs w:val="20"/>
        </w:rPr>
        <w:t xml:space="preserve"> defined as first or second </w:t>
      </w:r>
      <w:r w:rsidR="000626A0">
        <w:rPr>
          <w:sz w:val="20"/>
          <w:szCs w:val="20"/>
        </w:rPr>
        <w:t>complete</w:t>
      </w:r>
      <w:r w:rsidR="000626A0">
        <w:rPr>
          <w:rFonts w:hint="eastAsia"/>
          <w:sz w:val="20"/>
          <w:szCs w:val="20"/>
        </w:rPr>
        <w:t xml:space="preserve"> re</w:t>
      </w:r>
      <w:r w:rsidR="000626A0">
        <w:rPr>
          <w:sz w:val="20"/>
          <w:szCs w:val="20"/>
        </w:rPr>
        <w:t>mission</w:t>
      </w:r>
      <w:r w:rsidR="000626A0">
        <w:rPr>
          <w:rFonts w:hint="eastAsia"/>
          <w:sz w:val="20"/>
          <w:szCs w:val="20"/>
        </w:rPr>
        <w:t xml:space="preserve"> (</w:t>
      </w:r>
      <w:r w:rsidRPr="00474EA9">
        <w:rPr>
          <w:sz w:val="20"/>
          <w:szCs w:val="20"/>
        </w:rPr>
        <w:t>CR</w:t>
      </w:r>
      <w:r w:rsidR="000626A0">
        <w:rPr>
          <w:rFonts w:hint="eastAsia"/>
          <w:sz w:val="20"/>
          <w:szCs w:val="20"/>
        </w:rPr>
        <w:t>)</w:t>
      </w:r>
      <w:r w:rsidRPr="00474EA9">
        <w:rPr>
          <w:sz w:val="20"/>
          <w:szCs w:val="20"/>
        </w:rPr>
        <w:t xml:space="preserve"> without t(9;22) mutations; (2) </w:t>
      </w:r>
      <w:r w:rsidR="00350D05" w:rsidRPr="00474EA9">
        <w:rPr>
          <w:sz w:val="20"/>
          <w:szCs w:val="20"/>
        </w:rPr>
        <w:t xml:space="preserve">regained </w:t>
      </w:r>
      <w:r w:rsidR="000626A0">
        <w:rPr>
          <w:rFonts w:hint="eastAsia"/>
          <w:sz w:val="20"/>
          <w:szCs w:val="20"/>
        </w:rPr>
        <w:t>minimal residual disease (</w:t>
      </w:r>
      <w:r w:rsidR="00350D05" w:rsidRPr="00474EA9">
        <w:rPr>
          <w:sz w:val="20"/>
          <w:szCs w:val="20"/>
        </w:rPr>
        <w:t>MRD</w:t>
      </w:r>
      <w:r w:rsidR="000626A0">
        <w:rPr>
          <w:rFonts w:hint="eastAsia"/>
          <w:sz w:val="20"/>
          <w:szCs w:val="20"/>
        </w:rPr>
        <w:t>)</w:t>
      </w:r>
      <w:r w:rsidR="00350D05" w:rsidRPr="00474EA9">
        <w:rPr>
          <w:sz w:val="20"/>
          <w:szCs w:val="20"/>
        </w:rPr>
        <w:t xml:space="preserve"> positivity after </w:t>
      </w:r>
      <w:proofErr w:type="spellStart"/>
      <w:r w:rsidR="00350D05" w:rsidRPr="00474EA9">
        <w:rPr>
          <w:sz w:val="20"/>
          <w:szCs w:val="20"/>
        </w:rPr>
        <w:t>allo</w:t>
      </w:r>
      <w:proofErr w:type="spellEnd"/>
      <w:r w:rsidR="00350D05" w:rsidRPr="00474EA9">
        <w:rPr>
          <w:sz w:val="20"/>
          <w:szCs w:val="20"/>
        </w:rPr>
        <w:t>-HSCT</w:t>
      </w:r>
      <w:r w:rsidRPr="00474EA9">
        <w:rPr>
          <w:rFonts w:hint="eastAsia"/>
          <w:sz w:val="20"/>
          <w:szCs w:val="20"/>
        </w:rPr>
        <w:t xml:space="preserve">. </w:t>
      </w:r>
    </w:p>
    <w:p w14:paraId="5C2DF72F" w14:textId="77777777" w:rsidR="00380CAF" w:rsidRPr="00474EA9" w:rsidRDefault="00D9614C" w:rsidP="00BA366A">
      <w:pPr>
        <w:snapToGrid w:val="0"/>
        <w:rPr>
          <w:b/>
          <w:sz w:val="20"/>
          <w:szCs w:val="20"/>
        </w:rPr>
      </w:pPr>
      <w:r w:rsidRPr="00474EA9">
        <w:rPr>
          <w:b/>
          <w:i/>
          <w:sz w:val="20"/>
          <w:szCs w:val="20"/>
        </w:rPr>
        <w:t>Exclusion criteria</w:t>
      </w:r>
      <w:r w:rsidR="00C43608" w:rsidRPr="00474EA9">
        <w:rPr>
          <w:b/>
          <w:sz w:val="20"/>
          <w:szCs w:val="20"/>
        </w:rPr>
        <w:t xml:space="preserve">: </w:t>
      </w:r>
    </w:p>
    <w:p w14:paraId="6A70ABAD" w14:textId="77777777" w:rsidR="00C43608" w:rsidRPr="00474EA9" w:rsidRDefault="00380CAF" w:rsidP="00BA366A">
      <w:pPr>
        <w:snapToGrid w:val="0"/>
        <w:rPr>
          <w:b/>
          <w:sz w:val="20"/>
          <w:szCs w:val="20"/>
        </w:rPr>
      </w:pPr>
      <w:r w:rsidRPr="00474EA9">
        <w:rPr>
          <w:rFonts w:hint="eastAsia"/>
          <w:sz w:val="20"/>
          <w:szCs w:val="20"/>
        </w:rPr>
        <w:tab/>
      </w:r>
      <w:r w:rsidR="007F1D1D" w:rsidRPr="00474EA9">
        <w:rPr>
          <w:rFonts w:hint="eastAsia"/>
          <w:sz w:val="20"/>
          <w:szCs w:val="20"/>
        </w:rPr>
        <w:t>A</w:t>
      </w:r>
      <w:r w:rsidR="007F1D1D" w:rsidRPr="00474EA9">
        <w:rPr>
          <w:sz w:val="20"/>
          <w:szCs w:val="20"/>
        </w:rPr>
        <w:t xml:space="preserve">ctive </w:t>
      </w:r>
      <w:r w:rsidR="00C43608" w:rsidRPr="00474EA9">
        <w:rPr>
          <w:sz w:val="20"/>
          <w:szCs w:val="20"/>
        </w:rPr>
        <w:t>acute GVHD (</w:t>
      </w:r>
      <w:proofErr w:type="spellStart"/>
      <w:r w:rsidR="00C43608" w:rsidRPr="00474EA9">
        <w:rPr>
          <w:sz w:val="20"/>
          <w:szCs w:val="20"/>
        </w:rPr>
        <w:t>aGVHD</w:t>
      </w:r>
      <w:proofErr w:type="spellEnd"/>
      <w:r w:rsidR="00C43608" w:rsidRPr="00474EA9">
        <w:rPr>
          <w:sz w:val="20"/>
          <w:szCs w:val="20"/>
        </w:rPr>
        <w:t>), active chronic GVHD (</w:t>
      </w:r>
      <w:proofErr w:type="spellStart"/>
      <w:r w:rsidR="00C43608" w:rsidRPr="00474EA9">
        <w:rPr>
          <w:sz w:val="20"/>
          <w:szCs w:val="20"/>
        </w:rPr>
        <w:t>cGVHD</w:t>
      </w:r>
      <w:proofErr w:type="spellEnd"/>
      <w:r w:rsidR="00C43608" w:rsidRPr="00474EA9">
        <w:rPr>
          <w:sz w:val="20"/>
          <w:szCs w:val="20"/>
        </w:rPr>
        <w:t>), active infections, severe myelosuppression (white blood cell count &lt;1.0×10</w:t>
      </w:r>
      <w:r w:rsidR="00C43608" w:rsidRPr="00474EA9">
        <w:rPr>
          <w:sz w:val="20"/>
          <w:szCs w:val="20"/>
          <w:vertAlign w:val="superscript"/>
        </w:rPr>
        <w:t>9</w:t>
      </w:r>
      <w:r w:rsidR="00C43608" w:rsidRPr="00474EA9">
        <w:rPr>
          <w:sz w:val="20"/>
          <w:szCs w:val="20"/>
        </w:rPr>
        <w:t xml:space="preserve"> cells/L, absolute neutrophil count &lt;0.5×10</w:t>
      </w:r>
      <w:r w:rsidR="00C43608" w:rsidRPr="00474EA9">
        <w:rPr>
          <w:sz w:val="20"/>
          <w:szCs w:val="20"/>
          <w:vertAlign w:val="superscript"/>
        </w:rPr>
        <w:t>9</w:t>
      </w:r>
      <w:r w:rsidR="00C43608" w:rsidRPr="00474EA9">
        <w:rPr>
          <w:sz w:val="20"/>
          <w:szCs w:val="20"/>
        </w:rPr>
        <w:t xml:space="preserve"> cells/L, hemoglobin count &lt;</w:t>
      </w:r>
      <w:r w:rsidR="00C43608" w:rsidRPr="00474EA9">
        <w:rPr>
          <w:rFonts w:hint="eastAsia"/>
          <w:sz w:val="20"/>
          <w:szCs w:val="20"/>
        </w:rPr>
        <w:t>6</w:t>
      </w:r>
      <w:r w:rsidR="00C43608" w:rsidRPr="00474EA9">
        <w:rPr>
          <w:sz w:val="20"/>
          <w:szCs w:val="20"/>
        </w:rPr>
        <w:t>5 g/L, or platelet count &lt;25×10</w:t>
      </w:r>
      <w:r w:rsidR="00C43608" w:rsidRPr="00474EA9">
        <w:rPr>
          <w:sz w:val="20"/>
          <w:szCs w:val="20"/>
          <w:vertAlign w:val="superscript"/>
        </w:rPr>
        <w:t>9</w:t>
      </w:r>
      <w:r w:rsidR="00C43608" w:rsidRPr="00474EA9">
        <w:rPr>
          <w:sz w:val="20"/>
          <w:szCs w:val="20"/>
        </w:rPr>
        <w:t xml:space="preserve"> cells/L), and organ failure.</w:t>
      </w:r>
    </w:p>
    <w:p w14:paraId="7F76F15F" w14:textId="77777777" w:rsidR="00DA42AF" w:rsidRPr="00474EA9" w:rsidRDefault="00DA42AF" w:rsidP="00BA366A">
      <w:pPr>
        <w:snapToGrid w:val="0"/>
        <w:rPr>
          <w:b/>
          <w:sz w:val="20"/>
          <w:szCs w:val="20"/>
        </w:rPr>
      </w:pPr>
      <w:r w:rsidRPr="00474EA9">
        <w:rPr>
          <w:b/>
          <w:sz w:val="20"/>
          <w:szCs w:val="20"/>
        </w:rPr>
        <w:t>Transplant regimens</w:t>
      </w:r>
    </w:p>
    <w:p w14:paraId="1116CE70" w14:textId="06CE3503" w:rsidR="00D9614C" w:rsidRPr="00474EA9" w:rsidRDefault="00BD098D" w:rsidP="00BA366A">
      <w:pPr>
        <w:rPr>
          <w:sz w:val="20"/>
          <w:szCs w:val="20"/>
        </w:rPr>
      </w:pPr>
      <w:r w:rsidRPr="00474EA9">
        <w:rPr>
          <w:rFonts w:hint="eastAsia"/>
          <w:sz w:val="20"/>
          <w:szCs w:val="20"/>
        </w:rPr>
        <w:tab/>
      </w:r>
      <w:r w:rsidR="0084027C">
        <w:rPr>
          <w:sz w:val="20"/>
          <w:szCs w:val="20"/>
        </w:rPr>
        <w:t>The major p</w:t>
      </w:r>
      <w:r w:rsidR="00DA42AF" w:rsidRPr="00474EA9">
        <w:rPr>
          <w:sz w:val="20"/>
          <w:szCs w:val="20"/>
        </w:rPr>
        <w:t>reconditioning consisted of cytarabine (Ara-C), busulfan (3.2 mg·kg</w:t>
      </w:r>
      <w:r w:rsidR="00DA42AF" w:rsidRPr="00474EA9">
        <w:rPr>
          <w:sz w:val="20"/>
          <w:szCs w:val="20"/>
          <w:vertAlign w:val="superscript"/>
        </w:rPr>
        <w:t>−1</w:t>
      </w:r>
      <w:r w:rsidR="00DA42AF" w:rsidRPr="00474EA9">
        <w:rPr>
          <w:sz w:val="20"/>
          <w:szCs w:val="20"/>
        </w:rPr>
        <w:t>·day</w:t>
      </w:r>
      <w:r w:rsidR="00DA42AF" w:rsidRPr="00474EA9">
        <w:rPr>
          <w:sz w:val="20"/>
          <w:szCs w:val="20"/>
          <w:vertAlign w:val="superscript"/>
        </w:rPr>
        <w:t>−1</w:t>
      </w:r>
      <w:r w:rsidR="00DA42AF" w:rsidRPr="00474EA9">
        <w:rPr>
          <w:sz w:val="20"/>
          <w:szCs w:val="20"/>
        </w:rPr>
        <w:t xml:space="preserve"> administered intravenously on days −8 to −6)</w:t>
      </w:r>
      <w:r w:rsidR="00DA42AF" w:rsidRPr="00474EA9">
        <w:rPr>
          <w:rFonts w:hint="eastAsia"/>
          <w:sz w:val="20"/>
          <w:szCs w:val="20"/>
        </w:rPr>
        <w:t xml:space="preserve"> </w:t>
      </w:r>
      <w:r w:rsidR="00DA42AF" w:rsidRPr="00474EA9">
        <w:rPr>
          <w:sz w:val="20"/>
          <w:szCs w:val="20"/>
        </w:rPr>
        <w:t>(day 0 being</w:t>
      </w:r>
      <w:r w:rsidR="00DA42AF" w:rsidRPr="00474EA9">
        <w:rPr>
          <w:rFonts w:hint="eastAsia"/>
          <w:sz w:val="20"/>
          <w:szCs w:val="20"/>
        </w:rPr>
        <w:t xml:space="preserve"> </w:t>
      </w:r>
      <w:r w:rsidR="00DA42AF" w:rsidRPr="00474EA9">
        <w:rPr>
          <w:sz w:val="20"/>
          <w:szCs w:val="20"/>
        </w:rPr>
        <w:t>the first day of donor cell infusion), cyclophosphamide (</w:t>
      </w:r>
      <w:r w:rsidR="000002DE" w:rsidRPr="00474EA9">
        <w:rPr>
          <w:rFonts w:hint="eastAsia"/>
          <w:sz w:val="20"/>
          <w:szCs w:val="20"/>
        </w:rPr>
        <w:t xml:space="preserve">CY, </w:t>
      </w:r>
      <w:r w:rsidR="00DA42AF" w:rsidRPr="00474EA9">
        <w:rPr>
          <w:sz w:val="20"/>
          <w:szCs w:val="20"/>
        </w:rPr>
        <w:t>1.8 g·m</w:t>
      </w:r>
      <w:r w:rsidR="00DA42AF" w:rsidRPr="00474EA9">
        <w:rPr>
          <w:sz w:val="20"/>
          <w:szCs w:val="20"/>
          <w:vertAlign w:val="superscript"/>
        </w:rPr>
        <w:t>−2</w:t>
      </w:r>
      <w:r w:rsidR="00DA42AF" w:rsidRPr="00474EA9">
        <w:rPr>
          <w:sz w:val="20"/>
          <w:szCs w:val="20"/>
        </w:rPr>
        <w:t>·day</w:t>
      </w:r>
      <w:r w:rsidR="00DA42AF" w:rsidRPr="00474EA9">
        <w:rPr>
          <w:sz w:val="20"/>
          <w:szCs w:val="20"/>
          <w:vertAlign w:val="superscript"/>
        </w:rPr>
        <w:t>−1</w:t>
      </w:r>
      <w:r w:rsidR="00DA42AF" w:rsidRPr="00474EA9">
        <w:rPr>
          <w:sz w:val="20"/>
          <w:szCs w:val="20"/>
        </w:rPr>
        <w:t xml:space="preserve">, days −5 to −4), and </w:t>
      </w:r>
      <w:proofErr w:type="spellStart"/>
      <w:r w:rsidR="00DA42AF" w:rsidRPr="00474EA9">
        <w:rPr>
          <w:sz w:val="20"/>
          <w:szCs w:val="20"/>
        </w:rPr>
        <w:t>s</w:t>
      </w:r>
      <w:r w:rsidR="006B305C" w:rsidRPr="00474EA9">
        <w:rPr>
          <w:rFonts w:hint="eastAsia"/>
          <w:sz w:val="20"/>
          <w:szCs w:val="20"/>
        </w:rPr>
        <w:t>e</w:t>
      </w:r>
      <w:r w:rsidR="00DA42AF" w:rsidRPr="00474EA9">
        <w:rPr>
          <w:sz w:val="20"/>
          <w:szCs w:val="20"/>
        </w:rPr>
        <w:t>mustine</w:t>
      </w:r>
      <w:proofErr w:type="spellEnd"/>
      <w:r w:rsidR="00DA42AF" w:rsidRPr="00474EA9">
        <w:rPr>
          <w:sz w:val="20"/>
          <w:szCs w:val="20"/>
        </w:rPr>
        <w:t xml:space="preserve"> (250 mg</w:t>
      </w:r>
      <w:r w:rsidR="00BF72EB" w:rsidRPr="00474EA9">
        <w:rPr>
          <w:sz w:val="20"/>
          <w:szCs w:val="20"/>
        </w:rPr>
        <w:t>·</w:t>
      </w:r>
      <w:r w:rsidR="00DA42AF" w:rsidRPr="00474EA9">
        <w:rPr>
          <w:sz w:val="20"/>
          <w:szCs w:val="20"/>
        </w:rPr>
        <w:t>m</w:t>
      </w:r>
      <w:r w:rsidR="00DA42AF" w:rsidRPr="00474EA9">
        <w:rPr>
          <w:sz w:val="20"/>
          <w:szCs w:val="20"/>
          <w:vertAlign w:val="superscript"/>
        </w:rPr>
        <w:t>−2</w:t>
      </w:r>
      <w:r w:rsidR="00DA42AF" w:rsidRPr="00474EA9">
        <w:rPr>
          <w:sz w:val="20"/>
          <w:szCs w:val="20"/>
        </w:rPr>
        <w:t>, day −3). Ara-C was administered at 4 g·m</w:t>
      </w:r>
      <w:r w:rsidR="00DA42AF" w:rsidRPr="00474EA9">
        <w:rPr>
          <w:sz w:val="20"/>
          <w:szCs w:val="20"/>
          <w:vertAlign w:val="superscript"/>
        </w:rPr>
        <w:t>−2</w:t>
      </w:r>
      <w:r w:rsidR="00DA42AF" w:rsidRPr="00474EA9">
        <w:rPr>
          <w:sz w:val="20"/>
          <w:szCs w:val="20"/>
        </w:rPr>
        <w:t>·day</w:t>
      </w:r>
      <w:r w:rsidR="00DA42AF" w:rsidRPr="00474EA9">
        <w:rPr>
          <w:sz w:val="20"/>
          <w:szCs w:val="20"/>
          <w:vertAlign w:val="superscript"/>
        </w:rPr>
        <w:t>−1</w:t>
      </w:r>
      <w:r w:rsidR="00DA42AF" w:rsidRPr="00474EA9">
        <w:rPr>
          <w:sz w:val="20"/>
          <w:szCs w:val="20"/>
        </w:rPr>
        <w:t xml:space="preserve"> (days −10 to −9) to the human leukocyte antigen (HLA)-haploidentical related donor (haplo-RD) group, at 2 g·m</w:t>
      </w:r>
      <w:r w:rsidR="00DA42AF" w:rsidRPr="00474EA9">
        <w:rPr>
          <w:sz w:val="20"/>
          <w:szCs w:val="20"/>
          <w:vertAlign w:val="superscript"/>
        </w:rPr>
        <w:t>−2</w:t>
      </w:r>
      <w:r w:rsidR="00DA42AF" w:rsidRPr="00474EA9">
        <w:rPr>
          <w:sz w:val="20"/>
          <w:szCs w:val="20"/>
        </w:rPr>
        <w:t>·day</w:t>
      </w:r>
      <w:r w:rsidR="00DA42AF" w:rsidRPr="00474EA9">
        <w:rPr>
          <w:sz w:val="20"/>
          <w:szCs w:val="20"/>
          <w:vertAlign w:val="superscript"/>
        </w:rPr>
        <w:t>−1</w:t>
      </w:r>
      <w:r w:rsidR="00DA42AF" w:rsidRPr="00474EA9">
        <w:rPr>
          <w:sz w:val="20"/>
          <w:szCs w:val="20"/>
        </w:rPr>
        <w:t xml:space="preserve"> (days −10 to −9) to the HLA-unrelated donor (URD) group, and at 2 g·m</w:t>
      </w:r>
      <w:r w:rsidR="00DA42AF" w:rsidRPr="00474EA9">
        <w:rPr>
          <w:sz w:val="20"/>
          <w:szCs w:val="20"/>
          <w:vertAlign w:val="superscript"/>
        </w:rPr>
        <w:t>−2</w:t>
      </w:r>
      <w:r w:rsidR="00DA42AF" w:rsidRPr="00474EA9">
        <w:rPr>
          <w:sz w:val="20"/>
          <w:szCs w:val="20"/>
        </w:rPr>
        <w:t>·day</w:t>
      </w:r>
      <w:r w:rsidR="00DA42AF" w:rsidRPr="00474EA9">
        <w:rPr>
          <w:sz w:val="20"/>
          <w:szCs w:val="20"/>
          <w:vertAlign w:val="superscript"/>
        </w:rPr>
        <w:t>−1</w:t>
      </w:r>
      <w:r w:rsidR="00DA42AF" w:rsidRPr="00474EA9">
        <w:rPr>
          <w:sz w:val="20"/>
          <w:szCs w:val="20"/>
        </w:rPr>
        <w:t xml:space="preserve"> (day −9) to the HLA-identical sibling donor (ISD) group. Rabbit </w:t>
      </w:r>
      <w:proofErr w:type="spellStart"/>
      <w:r w:rsidR="00DA42AF" w:rsidRPr="00474EA9">
        <w:rPr>
          <w:sz w:val="20"/>
          <w:szCs w:val="20"/>
        </w:rPr>
        <w:t>antithymocyte</w:t>
      </w:r>
      <w:proofErr w:type="spellEnd"/>
      <w:r w:rsidR="00DA42AF" w:rsidRPr="00474EA9">
        <w:rPr>
          <w:sz w:val="20"/>
          <w:szCs w:val="20"/>
        </w:rPr>
        <w:t xml:space="preserve"> globulin (thymoglobulin, 2.5 </w:t>
      </w:r>
      <w:r w:rsidR="000F1A80" w:rsidRPr="00474EA9">
        <w:rPr>
          <w:sz w:val="20"/>
          <w:szCs w:val="20"/>
        </w:rPr>
        <w:t>mg·kg</w:t>
      </w:r>
      <w:r w:rsidR="000F1A80" w:rsidRPr="00474EA9">
        <w:rPr>
          <w:sz w:val="20"/>
          <w:szCs w:val="20"/>
          <w:vertAlign w:val="superscript"/>
        </w:rPr>
        <w:t>−1</w:t>
      </w:r>
      <w:r w:rsidR="000F1A80" w:rsidRPr="00474EA9">
        <w:rPr>
          <w:sz w:val="20"/>
          <w:szCs w:val="20"/>
        </w:rPr>
        <w:t>·day</w:t>
      </w:r>
      <w:r w:rsidR="000F1A80" w:rsidRPr="00474EA9">
        <w:rPr>
          <w:sz w:val="20"/>
          <w:szCs w:val="20"/>
          <w:vertAlign w:val="superscript"/>
        </w:rPr>
        <w:t>−1</w:t>
      </w:r>
      <w:r w:rsidR="00DA42AF" w:rsidRPr="00474EA9">
        <w:rPr>
          <w:sz w:val="20"/>
          <w:szCs w:val="20"/>
        </w:rPr>
        <w:t>, days −5 to −2; Sanofi, France) was administered to the hap</w:t>
      </w:r>
      <w:r w:rsidR="00DA42AF" w:rsidRPr="00133DB1">
        <w:rPr>
          <w:sz w:val="20"/>
          <w:szCs w:val="20"/>
        </w:rPr>
        <w:t>lo-RD and URD groups</w:t>
      </w:r>
      <w:r w:rsidR="00DA42AF" w:rsidRPr="00133DB1">
        <w:rPr>
          <w:rFonts w:hint="eastAsia"/>
          <w:sz w:val="20"/>
          <w:szCs w:val="20"/>
        </w:rPr>
        <w:t>.</w:t>
      </w:r>
      <w:r w:rsidR="00DA42AF" w:rsidRPr="00133DB1">
        <w:rPr>
          <w:sz w:val="20"/>
          <w:szCs w:val="20"/>
        </w:rPr>
        <w:t xml:space="preserve"> </w:t>
      </w:r>
      <w:r w:rsidR="0084027C" w:rsidRPr="00133DB1">
        <w:rPr>
          <w:color w:val="000000"/>
          <w:sz w:val="20"/>
          <w:szCs w:val="20"/>
        </w:rPr>
        <w:t xml:space="preserve">One patient received a conditioning regimen including total body irradiation (TBI). </w:t>
      </w:r>
      <w:r w:rsidR="00DA42AF" w:rsidRPr="00133DB1">
        <w:rPr>
          <w:sz w:val="20"/>
          <w:szCs w:val="20"/>
        </w:rPr>
        <w:t xml:space="preserve">Granulocyte colony-stimulating factor (G-CSF)-mobilized, fresh, and unmanipulated bone marrow (BM) and peripheral blood harvests were infused into </w:t>
      </w:r>
      <w:r w:rsidR="00035E20" w:rsidRPr="00133DB1">
        <w:rPr>
          <w:sz w:val="20"/>
          <w:szCs w:val="20"/>
        </w:rPr>
        <w:t xml:space="preserve">the </w:t>
      </w:r>
      <w:r w:rsidR="00DA42AF" w:rsidRPr="00133DB1">
        <w:rPr>
          <w:sz w:val="20"/>
          <w:szCs w:val="20"/>
        </w:rPr>
        <w:t>recipients on the day of collection. In addition, patients received cyclosporine A (CSA), mycophenolate mofetil (MMF), and short-term met</w:t>
      </w:r>
      <w:r w:rsidR="00DA42AF" w:rsidRPr="00474EA9">
        <w:rPr>
          <w:sz w:val="20"/>
          <w:szCs w:val="20"/>
        </w:rPr>
        <w:t>hotrexate (MTX) as GVHD prophylaxis</w:t>
      </w:r>
      <w:r w:rsidR="00DA42AF" w:rsidRPr="00474EA9">
        <w:rPr>
          <w:rFonts w:hint="eastAsia"/>
          <w:sz w:val="20"/>
          <w:szCs w:val="20"/>
        </w:rPr>
        <w:t>.</w:t>
      </w:r>
    </w:p>
    <w:p w14:paraId="32FA5B28" w14:textId="77777777" w:rsidR="00D9614C" w:rsidRPr="00474EA9" w:rsidRDefault="00DA42AF" w:rsidP="00BA366A">
      <w:pPr>
        <w:pStyle w:val="Pa3"/>
        <w:snapToGrid w:val="0"/>
        <w:spacing w:line="480" w:lineRule="auto"/>
        <w:jc w:val="both"/>
        <w:rPr>
          <w:sz w:val="20"/>
          <w:szCs w:val="20"/>
        </w:rPr>
      </w:pPr>
      <w:r w:rsidRPr="00474EA9">
        <w:rPr>
          <w:b/>
          <w:bCs/>
          <w:sz w:val="20"/>
          <w:szCs w:val="20"/>
        </w:rPr>
        <w:t xml:space="preserve">MRD monitoring and definition </w:t>
      </w:r>
    </w:p>
    <w:p w14:paraId="4987D769" w14:textId="77777777" w:rsidR="00D9614C" w:rsidRPr="00474EA9" w:rsidRDefault="00787206" w:rsidP="00BA366A">
      <w:pPr>
        <w:snapToGrid w:val="0"/>
        <w:ind w:firstLine="420"/>
        <w:rPr>
          <w:sz w:val="20"/>
          <w:szCs w:val="20"/>
        </w:rPr>
      </w:pPr>
      <w:r w:rsidRPr="00474EA9">
        <w:rPr>
          <w:rFonts w:hint="eastAsia"/>
          <w:sz w:val="20"/>
          <w:szCs w:val="20"/>
        </w:rPr>
        <w:lastRenderedPageBreak/>
        <w:t xml:space="preserve">MRD </w:t>
      </w:r>
      <w:r w:rsidR="00E23526">
        <w:rPr>
          <w:rFonts w:hint="eastAsia"/>
          <w:sz w:val="20"/>
          <w:szCs w:val="20"/>
        </w:rPr>
        <w:t xml:space="preserve">was </w:t>
      </w:r>
      <w:r w:rsidRPr="00474EA9">
        <w:rPr>
          <w:rFonts w:hint="eastAsia"/>
          <w:sz w:val="20"/>
          <w:szCs w:val="20"/>
        </w:rPr>
        <w:t>monitored</w:t>
      </w:r>
      <w:r w:rsidRPr="00474EA9">
        <w:rPr>
          <w:sz w:val="20"/>
          <w:szCs w:val="20"/>
        </w:rPr>
        <w:t xml:space="preserve"> according to </w:t>
      </w:r>
      <w:r w:rsidR="00152CB6">
        <w:rPr>
          <w:sz w:val="20"/>
          <w:szCs w:val="20"/>
        </w:rPr>
        <w:t>leukemia</w:t>
      </w:r>
      <w:r w:rsidRPr="00474EA9">
        <w:rPr>
          <w:sz w:val="20"/>
          <w:szCs w:val="20"/>
        </w:rPr>
        <w:t xml:space="preserve">-associated aberrant immune phenotypes (LAIPs) and </w:t>
      </w:r>
      <w:r w:rsidRPr="00474EA9">
        <w:rPr>
          <w:kern w:val="0"/>
          <w:sz w:val="20"/>
          <w:szCs w:val="20"/>
        </w:rPr>
        <w:t xml:space="preserve">Wilms’ tumor gene 1 </w:t>
      </w:r>
      <w:r w:rsidRPr="00474EA9">
        <w:rPr>
          <w:sz w:val="20"/>
          <w:szCs w:val="20"/>
        </w:rPr>
        <w:t>(</w:t>
      </w:r>
      <w:r w:rsidRPr="00474EA9">
        <w:rPr>
          <w:i/>
          <w:kern w:val="0"/>
          <w:sz w:val="20"/>
          <w:szCs w:val="20"/>
        </w:rPr>
        <w:t>WT1</w:t>
      </w:r>
      <w:r w:rsidRPr="00474EA9">
        <w:rPr>
          <w:sz w:val="20"/>
          <w:szCs w:val="20"/>
        </w:rPr>
        <w:t>)</w:t>
      </w:r>
      <w:r w:rsidRPr="00474EA9">
        <w:rPr>
          <w:rFonts w:hint="eastAsia"/>
          <w:sz w:val="20"/>
          <w:szCs w:val="20"/>
        </w:rPr>
        <w:t xml:space="preserve"> in patients with acute </w:t>
      </w:r>
      <w:r w:rsidR="00152CB6">
        <w:rPr>
          <w:rFonts w:hint="eastAsia"/>
          <w:sz w:val="20"/>
          <w:szCs w:val="20"/>
        </w:rPr>
        <w:t>leukemia</w:t>
      </w:r>
      <w:r w:rsidRPr="00474EA9">
        <w:rPr>
          <w:rFonts w:hint="eastAsia"/>
          <w:sz w:val="20"/>
          <w:szCs w:val="20"/>
        </w:rPr>
        <w:t xml:space="preserve">. </w:t>
      </w:r>
      <w:r w:rsidR="00416D8F" w:rsidRPr="00474EA9">
        <w:rPr>
          <w:sz w:val="20"/>
          <w:szCs w:val="20"/>
        </w:rPr>
        <w:t xml:space="preserve">In brief, multiparameter flow cytometry (MFC) was performed in all patients as a routine clinical test on bone marrow aspirate samples. </w:t>
      </w:r>
      <w:r w:rsidR="00E665A8" w:rsidRPr="00474EA9">
        <w:rPr>
          <w:sz w:val="20"/>
          <w:szCs w:val="20"/>
        </w:rPr>
        <w:t xml:space="preserve">A panel of eight antibody combinations that recognize cCD3, mCD3, CD2, CD5, CD7, CD10, CD19, CD20, CD34, CD38, CD45, CD58, CD99, CD123, and </w:t>
      </w:r>
      <w:proofErr w:type="spellStart"/>
      <w:r w:rsidR="00E665A8" w:rsidRPr="00474EA9">
        <w:rPr>
          <w:sz w:val="20"/>
          <w:szCs w:val="20"/>
        </w:rPr>
        <w:t>cTDT</w:t>
      </w:r>
      <w:proofErr w:type="spellEnd"/>
      <w:r w:rsidR="00E665A8" w:rsidRPr="00474EA9">
        <w:rPr>
          <w:sz w:val="20"/>
          <w:szCs w:val="20"/>
        </w:rPr>
        <w:t xml:space="preserve"> was used for </w:t>
      </w:r>
      <w:r w:rsidR="00E665A8" w:rsidRPr="00474EA9">
        <w:rPr>
          <w:color w:val="000000"/>
          <w:kern w:val="0"/>
          <w:sz w:val="20"/>
          <w:szCs w:val="20"/>
        </w:rPr>
        <w:t>ALL</w:t>
      </w:r>
      <w:r w:rsidR="00E665A8" w:rsidRPr="00474EA9">
        <w:rPr>
          <w:sz w:val="20"/>
          <w:szCs w:val="20"/>
        </w:rPr>
        <w:t>-LAIP detection</w:t>
      </w:r>
      <w:r w:rsidR="00E665A8">
        <w:rPr>
          <w:sz w:val="20"/>
          <w:szCs w:val="20"/>
        </w:rPr>
        <w:t>.</w:t>
      </w:r>
      <w:r w:rsidR="00416D8F" w:rsidRPr="00474EA9">
        <w:rPr>
          <w:sz w:val="20"/>
          <w:szCs w:val="20"/>
        </w:rPr>
        <w:t xml:space="preserve"> The isotype control monoclonal antibodies were used, and 0.2-1 million events per tube were acquired on a FACS Cant II. Positive MRD was considered when a cluster of more than 20 cells with LAIP and SSC characteristics, identified in all plots of interest and carrying at least two LAIP markers identified at diagnosis, was observed. For those without LAIP markers at diagnosis, MRD was identified as a cell population showing deviation from the normal patterns of antigen expression seen on specific cell lineages at specific stages of maturation compared with either normal or regenerating marrow.</w:t>
      </w:r>
      <w:r w:rsidR="00DA42AF" w:rsidRPr="00474EA9">
        <w:rPr>
          <w:sz w:val="20"/>
          <w:szCs w:val="20"/>
        </w:rPr>
        <w:t xml:space="preserve"> </w:t>
      </w:r>
      <w:r w:rsidR="00D9614C" w:rsidRPr="00474EA9">
        <w:rPr>
          <w:sz w:val="20"/>
          <w:szCs w:val="20"/>
        </w:rPr>
        <w:t xml:space="preserve">The expressions of </w:t>
      </w:r>
      <w:r w:rsidR="00D9614C" w:rsidRPr="00474EA9">
        <w:rPr>
          <w:i/>
          <w:kern w:val="0"/>
          <w:sz w:val="20"/>
          <w:szCs w:val="20"/>
        </w:rPr>
        <w:t>WT1</w:t>
      </w:r>
      <w:r w:rsidR="00D9614C" w:rsidRPr="00474EA9">
        <w:rPr>
          <w:kern w:val="0"/>
          <w:sz w:val="20"/>
          <w:szCs w:val="20"/>
        </w:rPr>
        <w:t xml:space="preserve"> </w:t>
      </w:r>
      <w:r w:rsidR="00D9614C" w:rsidRPr="00474EA9">
        <w:rPr>
          <w:sz w:val="20"/>
          <w:szCs w:val="20"/>
        </w:rPr>
        <w:t>were evaluated by TaqMan-based</w:t>
      </w:r>
      <w:r w:rsidR="00805855" w:rsidRPr="00474EA9">
        <w:rPr>
          <w:rFonts w:hint="eastAsia"/>
          <w:sz w:val="20"/>
          <w:szCs w:val="20"/>
        </w:rPr>
        <w:t xml:space="preserve"> </w:t>
      </w:r>
      <w:r w:rsidR="000145AA" w:rsidRPr="002F72BC">
        <w:rPr>
          <w:color w:val="000000"/>
          <w:sz w:val="20"/>
          <w:szCs w:val="20"/>
        </w:rPr>
        <w:t xml:space="preserve">real time quantitative </w:t>
      </w:r>
      <w:r w:rsidR="000145AA" w:rsidRPr="00824906">
        <w:rPr>
          <w:color w:val="000000"/>
          <w:sz w:val="20"/>
          <w:szCs w:val="20"/>
        </w:rPr>
        <w:t>reverse transcription</w:t>
      </w:r>
      <w:r w:rsidR="000145AA">
        <w:rPr>
          <w:rFonts w:hint="eastAsia"/>
          <w:color w:val="000000"/>
          <w:sz w:val="20"/>
          <w:szCs w:val="20"/>
        </w:rPr>
        <w:t xml:space="preserve"> </w:t>
      </w:r>
      <w:r w:rsidR="00416D8F" w:rsidRPr="00474EA9">
        <w:rPr>
          <w:sz w:val="20"/>
          <w:szCs w:val="20"/>
        </w:rPr>
        <w:t>polymerase chain reaction (</w:t>
      </w:r>
      <w:r w:rsidR="000145AA">
        <w:rPr>
          <w:rFonts w:hint="eastAsia"/>
          <w:sz w:val="20"/>
          <w:szCs w:val="20"/>
        </w:rPr>
        <w:t>RQ-</w:t>
      </w:r>
      <w:r w:rsidR="00416D8F" w:rsidRPr="00474EA9">
        <w:rPr>
          <w:sz w:val="20"/>
          <w:szCs w:val="20"/>
        </w:rPr>
        <w:t xml:space="preserve">PCR). We selected ABL as a control gene. The experiments were performed in duplicate. </w:t>
      </w:r>
      <w:r w:rsidR="00394DF0" w:rsidRPr="00394DF0">
        <w:rPr>
          <w:sz w:val="20"/>
          <w:szCs w:val="20"/>
        </w:rPr>
        <w:t xml:space="preserve">The transcript level was calculated as </w:t>
      </w:r>
      <w:r w:rsidR="00394DF0" w:rsidRPr="00A037E8">
        <w:rPr>
          <w:i/>
          <w:sz w:val="20"/>
          <w:szCs w:val="20"/>
        </w:rPr>
        <w:t>WT1</w:t>
      </w:r>
      <w:r w:rsidR="00394DF0" w:rsidRPr="00394DF0">
        <w:rPr>
          <w:sz w:val="20"/>
          <w:szCs w:val="20"/>
        </w:rPr>
        <w:t xml:space="preserve"> transcript </w:t>
      </w:r>
      <w:r w:rsidR="00394DF0">
        <w:rPr>
          <w:sz w:val="20"/>
          <w:szCs w:val="20"/>
        </w:rPr>
        <w:t>copies/ABL copies in percentage</w:t>
      </w:r>
      <w:r w:rsidR="00416D8F" w:rsidRPr="00474EA9">
        <w:rPr>
          <w:color w:val="211D1E"/>
          <w:sz w:val="20"/>
          <w:szCs w:val="20"/>
        </w:rPr>
        <w:t>.</w:t>
      </w:r>
      <w:r w:rsidR="00416D8F" w:rsidRPr="00474EA9">
        <w:rPr>
          <w:sz w:val="20"/>
          <w:szCs w:val="20"/>
        </w:rPr>
        <w:t xml:space="preserve"> </w:t>
      </w:r>
      <w:r w:rsidR="00416D8F" w:rsidRPr="00474EA9">
        <w:rPr>
          <w:i/>
          <w:iCs/>
          <w:sz w:val="20"/>
          <w:szCs w:val="20"/>
        </w:rPr>
        <w:t xml:space="preserve">WT1 </w:t>
      </w:r>
      <w:r w:rsidR="00416D8F" w:rsidRPr="00474EA9">
        <w:rPr>
          <w:sz w:val="20"/>
          <w:szCs w:val="20"/>
        </w:rPr>
        <w:t xml:space="preserve">transcript level &gt;0.60% was defined as positive. Routine </w:t>
      </w:r>
      <w:r w:rsidR="00416D8F" w:rsidRPr="00474EA9">
        <w:rPr>
          <w:rStyle w:val="hps"/>
          <w:sz w:val="20"/>
          <w:szCs w:val="20"/>
        </w:rPr>
        <w:t>MRD monitoring was performed 1, 2, 3, 4.5, 6, 9, and 12 months post-transplantation</w:t>
      </w:r>
      <w:r w:rsidR="00416D8F" w:rsidRPr="00474EA9">
        <w:rPr>
          <w:sz w:val="20"/>
          <w:szCs w:val="20"/>
        </w:rPr>
        <w:t xml:space="preserve"> </w:t>
      </w:r>
      <w:r w:rsidR="00416D8F" w:rsidRPr="00474EA9">
        <w:rPr>
          <w:rStyle w:val="hps"/>
          <w:sz w:val="20"/>
          <w:szCs w:val="20"/>
        </w:rPr>
        <w:t>and at 6-month intervals thereafter</w:t>
      </w:r>
      <w:r w:rsidR="00416D8F" w:rsidRPr="00474EA9">
        <w:rPr>
          <w:sz w:val="20"/>
          <w:szCs w:val="20"/>
        </w:rPr>
        <w:t xml:space="preserve">. Because we demonstrated that the combined use of </w:t>
      </w:r>
      <w:r w:rsidR="00416D8F" w:rsidRPr="00474EA9">
        <w:rPr>
          <w:iCs/>
          <w:sz w:val="20"/>
          <w:szCs w:val="20"/>
        </w:rPr>
        <w:t>PCR</w:t>
      </w:r>
      <w:r w:rsidR="00416D8F" w:rsidRPr="00474EA9">
        <w:rPr>
          <w:sz w:val="20"/>
          <w:szCs w:val="20"/>
        </w:rPr>
        <w:t xml:space="preserve"> and MFC might achieve higher sensitivity without sacrificing specificity, a patient was considered to have a</w:t>
      </w:r>
      <w:r w:rsidR="00334AB6">
        <w:rPr>
          <w:rFonts w:hint="eastAsia"/>
          <w:sz w:val="20"/>
          <w:szCs w:val="20"/>
        </w:rPr>
        <w:t>n</w:t>
      </w:r>
      <w:r w:rsidR="00416D8F" w:rsidRPr="00474EA9">
        <w:rPr>
          <w:sz w:val="20"/>
          <w:szCs w:val="20"/>
        </w:rPr>
        <w:t xml:space="preserve"> MRD-positive status when a single BM sample tested positive for MFC or PCR. </w:t>
      </w:r>
    </w:p>
    <w:p w14:paraId="7B5FB4BA" w14:textId="77777777" w:rsidR="00D9614C" w:rsidRPr="00474EA9" w:rsidRDefault="00416D8F" w:rsidP="00BA366A">
      <w:pPr>
        <w:snapToGrid w:val="0"/>
        <w:rPr>
          <w:b/>
          <w:sz w:val="20"/>
          <w:szCs w:val="20"/>
        </w:rPr>
      </w:pPr>
      <w:r w:rsidRPr="00474EA9">
        <w:rPr>
          <w:b/>
          <w:sz w:val="20"/>
          <w:szCs w:val="20"/>
        </w:rPr>
        <w:t xml:space="preserve">Preemptive IFN-α treatment protocol </w:t>
      </w:r>
    </w:p>
    <w:p w14:paraId="21A53EC1" w14:textId="77777777" w:rsidR="00A67FF8" w:rsidRPr="00474EA9" w:rsidRDefault="00416D8F" w:rsidP="00BA366A">
      <w:pPr>
        <w:snapToGrid w:val="0"/>
        <w:rPr>
          <w:sz w:val="20"/>
          <w:szCs w:val="20"/>
        </w:rPr>
      </w:pPr>
      <w:r w:rsidRPr="00474EA9">
        <w:rPr>
          <w:b/>
          <w:sz w:val="20"/>
          <w:szCs w:val="20"/>
        </w:rPr>
        <w:tab/>
      </w:r>
      <w:r w:rsidRPr="00474EA9">
        <w:rPr>
          <w:sz w:val="20"/>
          <w:szCs w:val="20"/>
        </w:rPr>
        <w:t>Cases in which a single BM sample tested positive for PCR or MFC</w:t>
      </w:r>
      <w:r w:rsidRPr="00474EA9">
        <w:rPr>
          <w:i/>
          <w:sz w:val="20"/>
          <w:szCs w:val="20"/>
        </w:rPr>
        <w:t xml:space="preserve"> </w:t>
      </w:r>
      <w:r w:rsidRPr="00474EA9">
        <w:rPr>
          <w:sz w:val="20"/>
          <w:szCs w:val="20"/>
        </w:rPr>
        <w:t xml:space="preserve">were defined as </w:t>
      </w:r>
      <w:proofErr w:type="spellStart"/>
      <w:r w:rsidRPr="00474EA9">
        <w:rPr>
          <w:sz w:val="20"/>
          <w:szCs w:val="20"/>
        </w:rPr>
        <w:t>MRD</w:t>
      </w:r>
      <w:r w:rsidRPr="00474EA9">
        <w:rPr>
          <w:sz w:val="20"/>
          <w:szCs w:val="20"/>
          <w:vertAlign w:val="subscript"/>
        </w:rPr>
        <w:t>sin</w:t>
      </w:r>
      <w:proofErr w:type="spellEnd"/>
      <w:r w:rsidRPr="00474EA9">
        <w:rPr>
          <w:sz w:val="20"/>
          <w:szCs w:val="20"/>
          <w:vertAlign w:val="subscript"/>
        </w:rPr>
        <w:t>+</w:t>
      </w:r>
      <w:r w:rsidRPr="00474EA9">
        <w:rPr>
          <w:sz w:val="20"/>
          <w:szCs w:val="20"/>
        </w:rPr>
        <w:t xml:space="preserve"> group. Cases in which 2 consecutive BM samples within a 2-week interval tested positive for PCR or MFC or those in which a single BM sample tested positive for both PCR and MFC were defined as </w:t>
      </w:r>
      <w:proofErr w:type="spellStart"/>
      <w:r w:rsidRPr="00474EA9">
        <w:rPr>
          <w:sz w:val="20"/>
          <w:szCs w:val="20"/>
        </w:rPr>
        <w:t>MRD</w:t>
      </w:r>
      <w:r w:rsidRPr="00474EA9">
        <w:rPr>
          <w:sz w:val="20"/>
          <w:szCs w:val="20"/>
          <w:vertAlign w:val="subscript"/>
        </w:rPr>
        <w:t>co</w:t>
      </w:r>
      <w:proofErr w:type="spellEnd"/>
      <w:r w:rsidRPr="00474EA9">
        <w:rPr>
          <w:sz w:val="20"/>
          <w:szCs w:val="20"/>
          <w:vertAlign w:val="subscript"/>
        </w:rPr>
        <w:t>+</w:t>
      </w:r>
      <w:r w:rsidRPr="00474EA9">
        <w:rPr>
          <w:sz w:val="20"/>
          <w:szCs w:val="20"/>
        </w:rPr>
        <w:t xml:space="preserve"> group. </w:t>
      </w:r>
    </w:p>
    <w:p w14:paraId="5B653D44" w14:textId="77777777" w:rsidR="00D9614C" w:rsidRPr="00474EA9" w:rsidRDefault="00416D8F" w:rsidP="00BA366A">
      <w:pPr>
        <w:snapToGrid w:val="0"/>
        <w:rPr>
          <w:sz w:val="20"/>
          <w:szCs w:val="20"/>
        </w:rPr>
      </w:pPr>
      <w:r w:rsidRPr="00474EA9">
        <w:rPr>
          <w:sz w:val="20"/>
          <w:szCs w:val="20"/>
        </w:rPr>
        <w:tab/>
        <w:t xml:space="preserve">Patients with </w:t>
      </w:r>
      <w:proofErr w:type="spellStart"/>
      <w:r w:rsidRPr="00474EA9">
        <w:rPr>
          <w:sz w:val="20"/>
          <w:szCs w:val="20"/>
        </w:rPr>
        <w:t>MRD</w:t>
      </w:r>
      <w:r w:rsidRPr="00474EA9">
        <w:rPr>
          <w:sz w:val="20"/>
          <w:szCs w:val="20"/>
          <w:vertAlign w:val="subscript"/>
        </w:rPr>
        <w:t>sin</w:t>
      </w:r>
      <w:proofErr w:type="spellEnd"/>
      <w:r w:rsidRPr="00474EA9">
        <w:rPr>
          <w:sz w:val="20"/>
          <w:szCs w:val="20"/>
          <w:vertAlign w:val="subscript"/>
        </w:rPr>
        <w:t>+</w:t>
      </w:r>
      <w:r w:rsidRPr="00474EA9">
        <w:rPr>
          <w:i/>
          <w:sz w:val="20"/>
          <w:szCs w:val="20"/>
        </w:rPr>
        <w:t xml:space="preserve"> </w:t>
      </w:r>
      <w:r w:rsidR="0080065D" w:rsidRPr="0080065D">
        <w:rPr>
          <w:sz w:val="20"/>
          <w:szCs w:val="20"/>
        </w:rPr>
        <w:t>were recommended to</w:t>
      </w:r>
      <w:r w:rsidRPr="00474EA9">
        <w:rPr>
          <w:sz w:val="20"/>
          <w:szCs w:val="20"/>
        </w:rPr>
        <w:t xml:space="preserve"> receive IFN-α treatment. For the patients who did not agree to receive </w:t>
      </w:r>
      <w:r w:rsidR="000E4A59" w:rsidRPr="00474EA9">
        <w:rPr>
          <w:sz w:val="20"/>
          <w:szCs w:val="20"/>
        </w:rPr>
        <w:t>IFN-α treatment</w:t>
      </w:r>
      <w:r w:rsidR="0066740D">
        <w:rPr>
          <w:rFonts w:hint="eastAsia"/>
          <w:sz w:val="20"/>
          <w:szCs w:val="20"/>
        </w:rPr>
        <w:t xml:space="preserve">, </w:t>
      </w:r>
      <w:r w:rsidRPr="00474EA9">
        <w:rPr>
          <w:sz w:val="20"/>
          <w:szCs w:val="20"/>
        </w:rPr>
        <w:t>the tests were repeated 2 weeks after positive results for PCR or MFC results were obtained</w:t>
      </w:r>
      <w:r w:rsidR="007738CC">
        <w:rPr>
          <w:sz w:val="20"/>
          <w:szCs w:val="20"/>
        </w:rPr>
        <w:t xml:space="preserve"> </w:t>
      </w:r>
      <w:r w:rsidR="007738CC" w:rsidRPr="00A037E8">
        <w:rPr>
          <w:sz w:val="20"/>
          <w:szCs w:val="20"/>
        </w:rPr>
        <w:t>(</w:t>
      </w:r>
      <w:r w:rsidR="00110340" w:rsidRPr="00A037E8">
        <w:rPr>
          <w:color w:val="000000"/>
          <w:sz w:val="20"/>
          <w:szCs w:val="20"/>
        </w:rPr>
        <w:t>r</w:t>
      </w:r>
      <w:r w:rsidR="007738CC" w:rsidRPr="00A037E8">
        <w:rPr>
          <w:color w:val="000000"/>
          <w:sz w:val="20"/>
          <w:szCs w:val="20"/>
        </w:rPr>
        <w:t>educ</w:t>
      </w:r>
      <w:r w:rsidR="007738CC" w:rsidRPr="00A037E8">
        <w:rPr>
          <w:rFonts w:hint="eastAsia"/>
          <w:color w:val="000000"/>
          <w:sz w:val="20"/>
          <w:szCs w:val="20"/>
        </w:rPr>
        <w:t>ing</w:t>
      </w:r>
      <w:r w:rsidR="007738CC" w:rsidRPr="00A037E8">
        <w:rPr>
          <w:color w:val="000000"/>
          <w:sz w:val="20"/>
          <w:szCs w:val="20"/>
        </w:rPr>
        <w:t xml:space="preserve"> immunosuppression</w:t>
      </w:r>
      <w:r w:rsidR="007738CC" w:rsidRPr="00A037E8">
        <w:rPr>
          <w:rFonts w:hint="eastAsia"/>
          <w:color w:val="000000"/>
          <w:sz w:val="20"/>
          <w:szCs w:val="20"/>
        </w:rPr>
        <w:t xml:space="preserve"> alone was not considered as preemptive intervention in the present studies</w:t>
      </w:r>
      <w:r w:rsidR="009F376F" w:rsidRPr="00A037E8">
        <w:rPr>
          <w:color w:val="000000"/>
          <w:sz w:val="20"/>
          <w:szCs w:val="20"/>
        </w:rPr>
        <w:t>; n=</w:t>
      </w:r>
      <w:r w:rsidR="0049424E" w:rsidRPr="00A037E8">
        <w:rPr>
          <w:color w:val="000000"/>
          <w:sz w:val="20"/>
          <w:szCs w:val="20"/>
        </w:rPr>
        <w:t>21</w:t>
      </w:r>
      <w:r w:rsidR="007738CC" w:rsidRPr="00A037E8">
        <w:rPr>
          <w:sz w:val="20"/>
          <w:szCs w:val="20"/>
        </w:rPr>
        <w:t>)</w:t>
      </w:r>
      <w:r w:rsidRPr="00474EA9">
        <w:rPr>
          <w:sz w:val="20"/>
          <w:szCs w:val="20"/>
        </w:rPr>
        <w:t>. If 2 consecutive BM samples tested positive for PCR or MFC (</w:t>
      </w:r>
      <w:proofErr w:type="spellStart"/>
      <w:r w:rsidRPr="00474EA9">
        <w:rPr>
          <w:sz w:val="20"/>
          <w:szCs w:val="20"/>
        </w:rPr>
        <w:t>MRD</w:t>
      </w:r>
      <w:r w:rsidRPr="00474EA9">
        <w:rPr>
          <w:sz w:val="20"/>
          <w:szCs w:val="20"/>
          <w:vertAlign w:val="subscript"/>
        </w:rPr>
        <w:t>co</w:t>
      </w:r>
      <w:proofErr w:type="spellEnd"/>
      <w:r w:rsidRPr="00474EA9">
        <w:rPr>
          <w:sz w:val="20"/>
          <w:szCs w:val="20"/>
          <w:vertAlign w:val="subscript"/>
        </w:rPr>
        <w:t>+</w:t>
      </w:r>
      <w:r w:rsidRPr="00474EA9">
        <w:rPr>
          <w:sz w:val="20"/>
          <w:szCs w:val="20"/>
        </w:rPr>
        <w:t>) within a 2-week interval, patients should receive preemptive intervention. In addition, cases in which a single BM sample tests positive for both PCR and MFC (</w:t>
      </w:r>
      <w:proofErr w:type="spellStart"/>
      <w:r w:rsidRPr="00474EA9">
        <w:rPr>
          <w:sz w:val="20"/>
          <w:szCs w:val="20"/>
        </w:rPr>
        <w:t>MRD</w:t>
      </w:r>
      <w:r w:rsidRPr="00474EA9">
        <w:rPr>
          <w:sz w:val="20"/>
          <w:szCs w:val="20"/>
          <w:vertAlign w:val="subscript"/>
        </w:rPr>
        <w:t>co</w:t>
      </w:r>
      <w:proofErr w:type="spellEnd"/>
      <w:r w:rsidRPr="00474EA9">
        <w:rPr>
          <w:sz w:val="20"/>
          <w:szCs w:val="20"/>
          <w:vertAlign w:val="subscript"/>
        </w:rPr>
        <w:t>+</w:t>
      </w:r>
      <w:r w:rsidRPr="00474EA9">
        <w:rPr>
          <w:sz w:val="20"/>
          <w:szCs w:val="20"/>
        </w:rPr>
        <w:t xml:space="preserve">) should also receive preemptive intervention. Because the efficacy of Chemo-DLI had been confirmed but the role of IFN-α treatment </w:t>
      </w:r>
      <w:r w:rsidRPr="00474EA9">
        <w:rPr>
          <w:sz w:val="20"/>
          <w:szCs w:val="20"/>
        </w:rPr>
        <w:lastRenderedPageBreak/>
        <w:t xml:space="preserve">was still undefined in </w:t>
      </w:r>
      <w:proofErr w:type="spellStart"/>
      <w:r w:rsidRPr="00474EA9">
        <w:rPr>
          <w:sz w:val="20"/>
          <w:szCs w:val="20"/>
        </w:rPr>
        <w:t>MRD</w:t>
      </w:r>
      <w:r w:rsidRPr="00474EA9">
        <w:rPr>
          <w:sz w:val="20"/>
          <w:szCs w:val="20"/>
          <w:vertAlign w:val="subscript"/>
        </w:rPr>
        <w:t>co</w:t>
      </w:r>
      <w:proofErr w:type="spellEnd"/>
      <w:r w:rsidRPr="00474EA9">
        <w:rPr>
          <w:sz w:val="20"/>
          <w:szCs w:val="20"/>
          <w:vertAlign w:val="subscript"/>
        </w:rPr>
        <w:t xml:space="preserve">+ </w:t>
      </w:r>
      <w:r w:rsidRPr="00474EA9">
        <w:rPr>
          <w:sz w:val="20"/>
          <w:szCs w:val="20"/>
        </w:rPr>
        <w:t xml:space="preserve">patients when these two studies started, preemptive Chemo-DLI was the first choice for patients in </w:t>
      </w:r>
      <w:proofErr w:type="spellStart"/>
      <w:r w:rsidRPr="00474EA9">
        <w:rPr>
          <w:sz w:val="20"/>
          <w:szCs w:val="20"/>
        </w:rPr>
        <w:t>MRD</w:t>
      </w:r>
      <w:r w:rsidRPr="00474EA9">
        <w:rPr>
          <w:sz w:val="20"/>
          <w:szCs w:val="20"/>
          <w:vertAlign w:val="subscript"/>
        </w:rPr>
        <w:t>co</w:t>
      </w:r>
      <w:proofErr w:type="spellEnd"/>
      <w:r w:rsidRPr="00474EA9">
        <w:rPr>
          <w:sz w:val="20"/>
          <w:szCs w:val="20"/>
          <w:vertAlign w:val="subscript"/>
        </w:rPr>
        <w:t xml:space="preserve">+ </w:t>
      </w:r>
      <w:r w:rsidRPr="00474EA9">
        <w:rPr>
          <w:sz w:val="20"/>
          <w:szCs w:val="20"/>
        </w:rPr>
        <w:t xml:space="preserve">group, and those who could not receive Chemo-DLI because of </w:t>
      </w:r>
      <w:r w:rsidRPr="00474EA9">
        <w:rPr>
          <w:color w:val="000000"/>
          <w:sz w:val="20"/>
          <w:szCs w:val="20"/>
        </w:rPr>
        <w:t>patient or provider refusal</w:t>
      </w:r>
      <w:r w:rsidRPr="00474EA9">
        <w:rPr>
          <w:sz w:val="20"/>
          <w:szCs w:val="20"/>
        </w:rPr>
        <w:t xml:space="preserve"> received IFN-α treatment and enrolled in these two studies.</w:t>
      </w:r>
    </w:p>
    <w:p w14:paraId="55EC3AA9" w14:textId="77777777" w:rsidR="00D9614C" w:rsidRPr="00474EA9" w:rsidRDefault="00416D8F" w:rsidP="00BA366A">
      <w:pPr>
        <w:snapToGrid w:val="0"/>
        <w:rPr>
          <w:sz w:val="20"/>
          <w:szCs w:val="20"/>
        </w:rPr>
      </w:pPr>
      <w:r w:rsidRPr="00474EA9">
        <w:rPr>
          <w:sz w:val="20"/>
          <w:szCs w:val="20"/>
        </w:rPr>
        <w:tab/>
        <w:t>Recombinant human IFN-α-2b injections (</w:t>
      </w:r>
      <w:proofErr w:type="spellStart"/>
      <w:r w:rsidRPr="00474EA9">
        <w:rPr>
          <w:sz w:val="20"/>
          <w:szCs w:val="20"/>
        </w:rPr>
        <w:t>Anferon</w:t>
      </w:r>
      <w:proofErr w:type="spellEnd"/>
      <w:r w:rsidRPr="00474EA9">
        <w:rPr>
          <w:sz w:val="20"/>
          <w:szCs w:val="20"/>
        </w:rPr>
        <w:t xml:space="preserve">; Tianjin </w:t>
      </w:r>
      <w:proofErr w:type="spellStart"/>
      <w:r w:rsidRPr="00474EA9">
        <w:rPr>
          <w:sz w:val="20"/>
          <w:szCs w:val="20"/>
        </w:rPr>
        <w:t>Hualida</w:t>
      </w:r>
      <w:proofErr w:type="spellEnd"/>
      <w:r w:rsidRPr="00474EA9">
        <w:rPr>
          <w:sz w:val="20"/>
          <w:szCs w:val="20"/>
        </w:rPr>
        <w:t xml:space="preserve"> Biotechnology Co., Ltd., Tianjin, China) were administered subcutaneously for 6 cycles (twice weekly in every 4 weeks cycle) at dosages of 3 million units for patients older than 16 years, and at 3 million units per square meter for those younger than 16 years (capped by 3 million units). Prolonged treatment with IFN-α was permitted at the request of patients. MRD status was monitored 1, 2, 3, 4.5, 6, 9, and 12 months after </w:t>
      </w:r>
      <w:r w:rsidR="00CF7287">
        <w:rPr>
          <w:rFonts w:hint="eastAsia"/>
          <w:sz w:val="20"/>
          <w:szCs w:val="20"/>
        </w:rPr>
        <w:t xml:space="preserve">preemptive </w:t>
      </w:r>
      <w:r w:rsidR="00B75086">
        <w:rPr>
          <w:rFonts w:hint="eastAsia"/>
          <w:sz w:val="20"/>
          <w:szCs w:val="20"/>
        </w:rPr>
        <w:t>I</w:t>
      </w:r>
      <w:r w:rsidRPr="00474EA9">
        <w:rPr>
          <w:sz w:val="20"/>
          <w:szCs w:val="20"/>
        </w:rPr>
        <w:t xml:space="preserve">FN-α treatment and at 6-month intervals thereafter. Adverse events were scored using the National Cancer Institute Common Toxicity Criteria version 4.0, and they were monitored every 1-2 weeks after IFN-α treatment. GVHD was excluded as an adverse event. Study medication with IFN-α was discontinued in any patient with active GVHD (grade II or higher </w:t>
      </w:r>
      <w:proofErr w:type="spellStart"/>
      <w:r w:rsidRPr="00474EA9">
        <w:rPr>
          <w:sz w:val="20"/>
          <w:szCs w:val="20"/>
        </w:rPr>
        <w:t>aGVHD</w:t>
      </w:r>
      <w:proofErr w:type="spellEnd"/>
      <w:r w:rsidRPr="00474EA9">
        <w:rPr>
          <w:sz w:val="20"/>
          <w:szCs w:val="20"/>
        </w:rPr>
        <w:t xml:space="preserve"> or </w:t>
      </w:r>
      <w:proofErr w:type="spellStart"/>
      <w:r w:rsidRPr="00474EA9">
        <w:rPr>
          <w:sz w:val="20"/>
          <w:szCs w:val="20"/>
        </w:rPr>
        <w:t>cGVHD</w:t>
      </w:r>
      <w:proofErr w:type="spellEnd"/>
      <w:r w:rsidRPr="00474EA9">
        <w:rPr>
          <w:sz w:val="20"/>
          <w:szCs w:val="20"/>
        </w:rPr>
        <w:t xml:space="preserve"> with moderate or higher severity), severe infection, </w:t>
      </w:r>
      <w:r w:rsidRPr="00474EA9">
        <w:rPr>
          <w:rFonts w:hint="eastAsia"/>
          <w:sz w:val="20"/>
          <w:szCs w:val="20"/>
        </w:rPr>
        <w:t xml:space="preserve">grade </w:t>
      </w:r>
      <w:r w:rsidRPr="00474EA9">
        <w:rPr>
          <w:sz w:val="20"/>
          <w:szCs w:val="20"/>
        </w:rPr>
        <w:t>≥</w:t>
      </w:r>
      <w:r w:rsidR="007F3608" w:rsidRPr="00474EA9">
        <w:rPr>
          <w:rFonts w:hint="eastAsia"/>
          <w:sz w:val="20"/>
          <w:szCs w:val="20"/>
        </w:rPr>
        <w:t xml:space="preserve"> </w:t>
      </w:r>
      <w:r w:rsidRPr="00474EA9">
        <w:rPr>
          <w:rFonts w:hint="eastAsia"/>
          <w:sz w:val="20"/>
          <w:szCs w:val="20"/>
        </w:rPr>
        <w:t xml:space="preserve">3 toxicity, salvage </w:t>
      </w:r>
      <w:r w:rsidRPr="00474EA9">
        <w:rPr>
          <w:sz w:val="20"/>
          <w:szCs w:val="20"/>
        </w:rPr>
        <w:t xml:space="preserve">Chemo-DLI use, relapse, or non-relapse mortality (NRM). </w:t>
      </w:r>
    </w:p>
    <w:p w14:paraId="629340E1" w14:textId="77777777" w:rsidR="00CA619A" w:rsidRPr="00474EA9" w:rsidRDefault="00CA619A" w:rsidP="00BA366A">
      <w:pPr>
        <w:snapToGrid w:val="0"/>
        <w:rPr>
          <w:sz w:val="20"/>
          <w:szCs w:val="20"/>
        </w:rPr>
      </w:pPr>
      <w:r w:rsidRPr="00474EA9">
        <w:rPr>
          <w:rFonts w:hint="eastAsia"/>
          <w:sz w:val="20"/>
          <w:szCs w:val="20"/>
        </w:rPr>
        <w:tab/>
      </w:r>
      <w:r w:rsidR="00416D8F" w:rsidRPr="00474EA9">
        <w:rPr>
          <w:sz w:val="20"/>
          <w:szCs w:val="20"/>
        </w:rPr>
        <w:t>The patients who showed unsatisfactory response to IFN-α treatment can receive salvage Chemo-DLI</w:t>
      </w:r>
      <w:r w:rsidR="00775338">
        <w:rPr>
          <w:sz w:val="20"/>
          <w:szCs w:val="20"/>
        </w:rPr>
        <w:t>,</w:t>
      </w:r>
      <w:r w:rsidR="00416D8F" w:rsidRPr="00474EA9">
        <w:rPr>
          <w:sz w:val="20"/>
          <w:szCs w:val="20"/>
        </w:rPr>
        <w:t xml:space="preserve"> </w:t>
      </w:r>
      <w:r w:rsidR="00775338">
        <w:rPr>
          <w:sz w:val="20"/>
          <w:szCs w:val="20"/>
        </w:rPr>
        <w:t>if they</w:t>
      </w:r>
      <w:r w:rsidR="00416D8F" w:rsidRPr="00474EA9">
        <w:rPr>
          <w:sz w:val="20"/>
          <w:szCs w:val="20"/>
        </w:rPr>
        <w:t xml:space="preserve"> </w:t>
      </w:r>
      <w:r w:rsidR="00775338">
        <w:rPr>
          <w:sz w:val="20"/>
          <w:szCs w:val="20"/>
        </w:rPr>
        <w:t xml:space="preserve">agreed to receive Chemo-DLI and </w:t>
      </w:r>
      <w:r w:rsidR="00416D8F" w:rsidRPr="00474EA9">
        <w:rPr>
          <w:sz w:val="20"/>
          <w:szCs w:val="20"/>
        </w:rPr>
        <w:t xml:space="preserve">did not have active GVHD, active infection, and organ failure were eligible for salvage Chemo-DLI: </w:t>
      </w:r>
      <w:r w:rsidR="00416D8F" w:rsidRPr="00AB0706">
        <w:rPr>
          <w:sz w:val="20"/>
          <w:szCs w:val="20"/>
        </w:rPr>
        <w:t>patients had positive MRD again after achieving MRD-negative status (n=</w:t>
      </w:r>
      <w:r w:rsidR="004F0F4B" w:rsidRPr="00AB0706">
        <w:rPr>
          <w:rFonts w:hint="eastAsia"/>
          <w:sz w:val="20"/>
          <w:szCs w:val="20"/>
        </w:rPr>
        <w:t>3</w:t>
      </w:r>
      <w:r w:rsidR="00416D8F" w:rsidRPr="00AB0706">
        <w:rPr>
          <w:sz w:val="20"/>
          <w:szCs w:val="20"/>
        </w:rPr>
        <w:t>) or those with persistent and increasing level of MRD (e.g., rising from low-level MRD to high-level MRD; n=</w:t>
      </w:r>
      <w:r w:rsidR="004F0F4B" w:rsidRPr="00AB0706">
        <w:rPr>
          <w:rFonts w:hint="eastAsia"/>
          <w:sz w:val="20"/>
          <w:szCs w:val="20"/>
        </w:rPr>
        <w:t>12</w:t>
      </w:r>
      <w:r w:rsidR="00416D8F" w:rsidRPr="00AB0706">
        <w:rPr>
          <w:sz w:val="20"/>
          <w:szCs w:val="20"/>
        </w:rPr>
        <w:t>) after preemptive IFN-α treatment.</w:t>
      </w:r>
      <w:r w:rsidR="00416D8F" w:rsidRPr="00474EA9">
        <w:rPr>
          <w:sz w:val="20"/>
          <w:szCs w:val="20"/>
        </w:rPr>
        <w:t xml:space="preserve"> All the </w:t>
      </w:r>
      <w:r w:rsidR="004436F6" w:rsidRPr="00A037E8">
        <w:rPr>
          <w:sz w:val="20"/>
          <w:szCs w:val="20"/>
        </w:rPr>
        <w:t>15</w:t>
      </w:r>
      <w:r w:rsidR="004436F6" w:rsidRPr="00474EA9">
        <w:rPr>
          <w:sz w:val="20"/>
          <w:szCs w:val="20"/>
        </w:rPr>
        <w:t xml:space="preserve"> </w:t>
      </w:r>
      <w:r w:rsidR="00416D8F" w:rsidRPr="00474EA9">
        <w:rPr>
          <w:sz w:val="20"/>
          <w:szCs w:val="20"/>
        </w:rPr>
        <w:t xml:space="preserve">patients received salvage Chemo-DLI before </w:t>
      </w:r>
      <w:r w:rsidR="00BD72C3">
        <w:rPr>
          <w:sz w:val="20"/>
          <w:szCs w:val="20"/>
        </w:rPr>
        <w:t>i</w:t>
      </w:r>
      <w:r w:rsidR="00BD72C3" w:rsidRPr="00BD72C3">
        <w:rPr>
          <w:sz w:val="20"/>
          <w:szCs w:val="20"/>
        </w:rPr>
        <w:t xml:space="preserve">mpending </w:t>
      </w:r>
      <w:r w:rsidR="00416D8F" w:rsidRPr="00474EA9">
        <w:rPr>
          <w:sz w:val="20"/>
          <w:szCs w:val="20"/>
        </w:rPr>
        <w:t>relapse</w:t>
      </w:r>
      <w:r w:rsidR="001771AA">
        <w:rPr>
          <w:sz w:val="20"/>
          <w:szCs w:val="20"/>
        </w:rPr>
        <w:t xml:space="preserve">, and </w:t>
      </w:r>
      <w:r w:rsidR="002A6707">
        <w:rPr>
          <w:sz w:val="20"/>
          <w:szCs w:val="20"/>
        </w:rPr>
        <w:t xml:space="preserve">they </w:t>
      </w:r>
      <w:r w:rsidR="001771AA">
        <w:rPr>
          <w:sz w:val="20"/>
          <w:szCs w:val="20"/>
        </w:rPr>
        <w:t xml:space="preserve">were not enrolled in the </w:t>
      </w:r>
      <w:r w:rsidR="000E558D">
        <w:rPr>
          <w:sz w:val="20"/>
          <w:szCs w:val="20"/>
        </w:rPr>
        <w:t xml:space="preserve">analysis of the </w:t>
      </w:r>
      <w:r w:rsidR="001771AA">
        <w:rPr>
          <w:sz w:val="20"/>
          <w:szCs w:val="20"/>
        </w:rPr>
        <w:t>present study</w:t>
      </w:r>
      <w:r w:rsidR="00416D8F" w:rsidRPr="00474EA9">
        <w:rPr>
          <w:sz w:val="20"/>
          <w:szCs w:val="20"/>
        </w:rPr>
        <w:t>.</w:t>
      </w:r>
    </w:p>
    <w:p w14:paraId="462CEFA0" w14:textId="77777777" w:rsidR="00D9614C" w:rsidRPr="00474EA9" w:rsidRDefault="001C1702" w:rsidP="00BA366A">
      <w:pPr>
        <w:snapToGrid w:val="0"/>
        <w:rPr>
          <w:b/>
          <w:sz w:val="20"/>
          <w:szCs w:val="20"/>
        </w:rPr>
      </w:pPr>
      <w:r w:rsidRPr="00474EA9">
        <w:rPr>
          <w:rFonts w:hint="eastAsia"/>
          <w:b/>
          <w:sz w:val="20"/>
          <w:szCs w:val="20"/>
        </w:rPr>
        <w:t>Preemptive</w:t>
      </w:r>
      <w:r w:rsidR="00692F36" w:rsidRPr="00474EA9">
        <w:rPr>
          <w:rFonts w:hint="eastAsia"/>
          <w:b/>
          <w:sz w:val="20"/>
          <w:szCs w:val="20"/>
        </w:rPr>
        <w:t xml:space="preserve"> Chemo-DLI protocol</w:t>
      </w:r>
    </w:p>
    <w:p w14:paraId="44F19894" w14:textId="77777777" w:rsidR="00D9614C" w:rsidRDefault="00692F36" w:rsidP="00BA366A">
      <w:pPr>
        <w:snapToGrid w:val="0"/>
        <w:rPr>
          <w:sz w:val="20"/>
          <w:szCs w:val="20"/>
        </w:rPr>
      </w:pPr>
      <w:r w:rsidRPr="00474EA9">
        <w:rPr>
          <w:rFonts w:hint="eastAsia"/>
          <w:sz w:val="20"/>
          <w:szCs w:val="20"/>
        </w:rPr>
        <w:tab/>
      </w:r>
      <w:r w:rsidRPr="00474EA9">
        <w:rPr>
          <w:sz w:val="20"/>
          <w:szCs w:val="20"/>
        </w:rPr>
        <w:t xml:space="preserve">G-CSF–mobilized peripheral blood stem cells were administered instead of the more common unstimulated donor blood lymphocytes. Patients also received anti-leukemic chemotherapy 48–72 hours before DLI. Chemotherapy regimens included </w:t>
      </w:r>
      <w:r w:rsidR="00E36D15" w:rsidRPr="00474EA9">
        <w:rPr>
          <w:sz w:val="20"/>
          <w:szCs w:val="20"/>
        </w:rPr>
        <w:t>MTX (1.0 g∙m</w:t>
      </w:r>
      <w:r w:rsidR="00E36D15" w:rsidRPr="00474EA9">
        <w:rPr>
          <w:sz w:val="20"/>
          <w:szCs w:val="20"/>
          <w:vertAlign w:val="superscript"/>
        </w:rPr>
        <w:t>−2</w:t>
      </w:r>
      <w:r w:rsidR="00E36D15" w:rsidRPr="00474EA9">
        <w:rPr>
          <w:sz w:val="20"/>
          <w:szCs w:val="20"/>
        </w:rPr>
        <w:t>∙day</w:t>
      </w:r>
      <w:r w:rsidR="00E36D15" w:rsidRPr="00474EA9">
        <w:rPr>
          <w:sz w:val="20"/>
          <w:szCs w:val="20"/>
          <w:vertAlign w:val="superscript"/>
        </w:rPr>
        <w:t>−1</w:t>
      </w:r>
      <w:r w:rsidR="00E36D15" w:rsidRPr="00474EA9">
        <w:rPr>
          <w:sz w:val="20"/>
          <w:szCs w:val="20"/>
        </w:rPr>
        <w:t xml:space="preserve"> for 1 day, n=1</w:t>
      </w:r>
      <w:r w:rsidR="00A20083">
        <w:rPr>
          <w:sz w:val="20"/>
          <w:szCs w:val="20"/>
        </w:rPr>
        <w:t>4</w:t>
      </w:r>
      <w:r w:rsidR="00E36D15" w:rsidRPr="00474EA9">
        <w:rPr>
          <w:sz w:val="20"/>
          <w:szCs w:val="20"/>
        </w:rPr>
        <w:t>) or CODP (CY 800 mg∙m</w:t>
      </w:r>
      <w:r w:rsidR="00E36D15" w:rsidRPr="00474EA9">
        <w:rPr>
          <w:sz w:val="20"/>
          <w:szCs w:val="20"/>
          <w:vertAlign w:val="superscript"/>
        </w:rPr>
        <w:t>−2</w:t>
      </w:r>
      <w:r w:rsidR="00E36D15" w:rsidRPr="00474EA9">
        <w:rPr>
          <w:sz w:val="20"/>
          <w:szCs w:val="20"/>
        </w:rPr>
        <w:t>∙day</w:t>
      </w:r>
      <w:r w:rsidR="00E36D15" w:rsidRPr="00474EA9">
        <w:rPr>
          <w:sz w:val="20"/>
          <w:szCs w:val="20"/>
          <w:vertAlign w:val="superscript"/>
        </w:rPr>
        <w:t>−1</w:t>
      </w:r>
      <w:r w:rsidR="00E36D15" w:rsidRPr="00474EA9">
        <w:rPr>
          <w:sz w:val="20"/>
          <w:szCs w:val="20"/>
        </w:rPr>
        <w:t xml:space="preserve"> for 2 days, vincristine 1 mg∙m</w:t>
      </w:r>
      <w:r w:rsidR="00E36D15" w:rsidRPr="00474EA9">
        <w:rPr>
          <w:sz w:val="20"/>
          <w:szCs w:val="20"/>
          <w:vertAlign w:val="superscript"/>
        </w:rPr>
        <w:t>−2</w:t>
      </w:r>
      <w:r w:rsidR="00E36D15" w:rsidRPr="00474EA9">
        <w:rPr>
          <w:sz w:val="20"/>
          <w:szCs w:val="20"/>
        </w:rPr>
        <w:t>∙day</w:t>
      </w:r>
      <w:r w:rsidR="00E36D15" w:rsidRPr="00474EA9">
        <w:rPr>
          <w:sz w:val="20"/>
          <w:szCs w:val="20"/>
          <w:vertAlign w:val="superscript"/>
        </w:rPr>
        <w:t>−1</w:t>
      </w:r>
      <w:r w:rsidR="00E36D15" w:rsidRPr="00474EA9">
        <w:rPr>
          <w:sz w:val="20"/>
          <w:szCs w:val="20"/>
        </w:rPr>
        <w:t xml:space="preserve"> for 1 day, daunorubicin 40 mg∙m</w:t>
      </w:r>
      <w:r w:rsidR="00E36D15" w:rsidRPr="00474EA9">
        <w:rPr>
          <w:sz w:val="20"/>
          <w:szCs w:val="20"/>
          <w:vertAlign w:val="superscript"/>
        </w:rPr>
        <w:t>−2</w:t>
      </w:r>
      <w:r w:rsidR="00E36D15" w:rsidRPr="00474EA9">
        <w:rPr>
          <w:sz w:val="20"/>
          <w:szCs w:val="20"/>
        </w:rPr>
        <w:t>∙day</w:t>
      </w:r>
      <w:r w:rsidR="00E36D15" w:rsidRPr="00474EA9">
        <w:rPr>
          <w:sz w:val="20"/>
          <w:szCs w:val="20"/>
          <w:vertAlign w:val="superscript"/>
        </w:rPr>
        <w:t>−1</w:t>
      </w:r>
      <w:r w:rsidR="00E36D15" w:rsidRPr="00474EA9">
        <w:rPr>
          <w:sz w:val="20"/>
          <w:szCs w:val="20"/>
        </w:rPr>
        <w:t xml:space="preserve"> for 3 days, and prednisone 60 mg</w:t>
      </w:r>
      <w:r w:rsidR="00E36D15" w:rsidRPr="00474EA9">
        <w:rPr>
          <w:sz w:val="20"/>
          <w:szCs w:val="20"/>
          <w:vertAlign w:val="superscript"/>
        </w:rPr>
        <w:t>.</w:t>
      </w:r>
      <w:r w:rsidR="00E36D15" w:rsidRPr="00474EA9">
        <w:rPr>
          <w:sz w:val="20"/>
          <w:szCs w:val="20"/>
        </w:rPr>
        <w:t>day</w:t>
      </w:r>
      <w:r w:rsidR="00E36D15" w:rsidRPr="00474EA9">
        <w:rPr>
          <w:sz w:val="20"/>
          <w:szCs w:val="20"/>
          <w:vertAlign w:val="superscript"/>
        </w:rPr>
        <w:t>-1</w:t>
      </w:r>
      <w:r w:rsidR="00E36D15" w:rsidRPr="00474EA9">
        <w:rPr>
          <w:sz w:val="20"/>
          <w:szCs w:val="20"/>
        </w:rPr>
        <w:t xml:space="preserve"> for 7 days, n=</w:t>
      </w:r>
      <w:r w:rsidR="00A20083">
        <w:rPr>
          <w:sz w:val="20"/>
          <w:szCs w:val="20"/>
        </w:rPr>
        <w:t>7</w:t>
      </w:r>
      <w:r w:rsidR="00E36D15" w:rsidRPr="00474EA9">
        <w:rPr>
          <w:sz w:val="20"/>
          <w:szCs w:val="20"/>
        </w:rPr>
        <w:t>)</w:t>
      </w:r>
      <w:r w:rsidR="00FB1700">
        <w:rPr>
          <w:rFonts w:hint="eastAsia"/>
          <w:sz w:val="20"/>
          <w:szCs w:val="20"/>
        </w:rPr>
        <w:t>.</w:t>
      </w:r>
    </w:p>
    <w:p w14:paraId="03773C3D" w14:textId="77777777" w:rsidR="009A7370" w:rsidRPr="00474EA9" w:rsidRDefault="009A7370" w:rsidP="00BA366A">
      <w:pPr>
        <w:snapToGrid w:val="0"/>
        <w:rPr>
          <w:sz w:val="20"/>
          <w:szCs w:val="20"/>
        </w:rPr>
      </w:pPr>
      <w:r>
        <w:rPr>
          <w:rFonts w:hint="eastAsia"/>
          <w:sz w:val="20"/>
          <w:szCs w:val="20"/>
        </w:rPr>
        <w:tab/>
      </w:r>
      <w:r w:rsidRPr="00A00564">
        <w:rPr>
          <w:sz w:val="20"/>
          <w:szCs w:val="20"/>
        </w:rPr>
        <w:t>G-CSF–mobilized peripheral leukocytes were administered instead of the unstimulated donor blood lymphocytes</w:t>
      </w:r>
      <w:r w:rsidR="00D379FD">
        <w:rPr>
          <w:sz w:val="20"/>
          <w:szCs w:val="20"/>
        </w:rPr>
        <w:t>. T</w:t>
      </w:r>
      <w:r w:rsidRPr="00A00564">
        <w:rPr>
          <w:sz w:val="20"/>
          <w:szCs w:val="20"/>
        </w:rPr>
        <w:t xml:space="preserve">he </w:t>
      </w:r>
      <w:r w:rsidR="00D379FD">
        <w:rPr>
          <w:sz w:val="20"/>
          <w:szCs w:val="20"/>
        </w:rPr>
        <w:t>dose of</w:t>
      </w:r>
      <w:r w:rsidR="00D379FD">
        <w:rPr>
          <w:rFonts w:hint="eastAsia"/>
          <w:sz w:val="20"/>
          <w:szCs w:val="20"/>
        </w:rPr>
        <w:t xml:space="preserve"> </w:t>
      </w:r>
      <w:r w:rsidRPr="00A00564">
        <w:rPr>
          <w:sz w:val="20"/>
          <w:szCs w:val="20"/>
        </w:rPr>
        <w:t>mononuclear cells</w:t>
      </w:r>
      <w:r w:rsidR="00D379FD">
        <w:rPr>
          <w:sz w:val="20"/>
          <w:szCs w:val="20"/>
        </w:rPr>
        <w:t xml:space="preserve"> </w:t>
      </w:r>
      <w:r w:rsidR="00BF72EB">
        <w:rPr>
          <w:rFonts w:hint="eastAsia"/>
          <w:sz w:val="20"/>
          <w:szCs w:val="20"/>
        </w:rPr>
        <w:t>was</w:t>
      </w:r>
      <w:r w:rsidR="00D379FD">
        <w:rPr>
          <w:sz w:val="20"/>
          <w:szCs w:val="20"/>
        </w:rPr>
        <w:t xml:space="preserve"> </w:t>
      </w:r>
      <w:r w:rsidR="00D379FD" w:rsidRPr="00A00564">
        <w:rPr>
          <w:sz w:val="20"/>
          <w:szCs w:val="20"/>
        </w:rPr>
        <w:t>1.0 × 10</w:t>
      </w:r>
      <w:r w:rsidR="00D379FD" w:rsidRPr="00A00564">
        <w:rPr>
          <w:sz w:val="20"/>
          <w:szCs w:val="20"/>
          <w:vertAlign w:val="superscript"/>
        </w:rPr>
        <w:t>8</w:t>
      </w:r>
      <w:r w:rsidR="00D379FD" w:rsidRPr="00A00564">
        <w:rPr>
          <w:sz w:val="20"/>
          <w:szCs w:val="20"/>
        </w:rPr>
        <w:t>/kg</w:t>
      </w:r>
      <w:r w:rsidRPr="00A00564">
        <w:rPr>
          <w:sz w:val="20"/>
          <w:szCs w:val="20"/>
        </w:rPr>
        <w:t xml:space="preserve">, </w:t>
      </w:r>
      <w:r w:rsidR="00D379FD">
        <w:rPr>
          <w:sz w:val="20"/>
          <w:szCs w:val="20"/>
        </w:rPr>
        <w:t xml:space="preserve">and the </w:t>
      </w:r>
      <w:r w:rsidR="00D379FD" w:rsidRPr="00A00564">
        <w:rPr>
          <w:sz w:val="20"/>
          <w:szCs w:val="20"/>
        </w:rPr>
        <w:t xml:space="preserve">median doses of </w:t>
      </w:r>
      <w:r w:rsidRPr="00A00564">
        <w:rPr>
          <w:sz w:val="20"/>
          <w:szCs w:val="20"/>
        </w:rPr>
        <w:t>CD3</w:t>
      </w:r>
      <w:r w:rsidRPr="00A00564">
        <w:rPr>
          <w:sz w:val="20"/>
          <w:szCs w:val="20"/>
          <w:vertAlign w:val="superscript"/>
        </w:rPr>
        <w:t>+</w:t>
      </w:r>
      <w:r w:rsidRPr="00A00564">
        <w:rPr>
          <w:sz w:val="20"/>
          <w:szCs w:val="20"/>
        </w:rPr>
        <w:t xml:space="preserve"> cells</w:t>
      </w:r>
      <w:r w:rsidR="00D379FD">
        <w:rPr>
          <w:sz w:val="20"/>
          <w:szCs w:val="20"/>
        </w:rPr>
        <w:t xml:space="preserve"> </w:t>
      </w:r>
      <w:r w:rsidRPr="00A00564">
        <w:rPr>
          <w:sz w:val="20"/>
          <w:szCs w:val="20"/>
        </w:rPr>
        <w:t>and CD34</w:t>
      </w:r>
      <w:r w:rsidRPr="00A00564">
        <w:rPr>
          <w:sz w:val="20"/>
          <w:szCs w:val="20"/>
          <w:vertAlign w:val="superscript"/>
        </w:rPr>
        <w:t>+</w:t>
      </w:r>
      <w:r w:rsidRPr="00A00564">
        <w:rPr>
          <w:sz w:val="20"/>
          <w:szCs w:val="20"/>
        </w:rPr>
        <w:t xml:space="preserve"> cells were 3.</w:t>
      </w:r>
      <w:r w:rsidR="00D379FD">
        <w:rPr>
          <w:sz w:val="20"/>
          <w:szCs w:val="20"/>
        </w:rPr>
        <w:t>7</w:t>
      </w:r>
      <w:r w:rsidR="00D379FD" w:rsidRPr="00A00564">
        <w:rPr>
          <w:sz w:val="20"/>
          <w:szCs w:val="20"/>
        </w:rPr>
        <w:t xml:space="preserve"> </w:t>
      </w:r>
      <w:r w:rsidRPr="00A00564">
        <w:rPr>
          <w:sz w:val="20"/>
          <w:szCs w:val="20"/>
        </w:rPr>
        <w:t>(</w:t>
      </w:r>
      <w:r w:rsidR="00D379FD">
        <w:rPr>
          <w:sz w:val="20"/>
          <w:szCs w:val="20"/>
        </w:rPr>
        <w:t>1</w:t>
      </w:r>
      <w:r w:rsidRPr="00A00564">
        <w:rPr>
          <w:sz w:val="20"/>
          <w:szCs w:val="20"/>
        </w:rPr>
        <w:t>.5–</w:t>
      </w:r>
      <w:r w:rsidR="00D379FD">
        <w:rPr>
          <w:sz w:val="20"/>
          <w:szCs w:val="20"/>
        </w:rPr>
        <w:t>5.7</w:t>
      </w:r>
      <w:r w:rsidRPr="00A00564">
        <w:rPr>
          <w:sz w:val="20"/>
          <w:szCs w:val="20"/>
        </w:rPr>
        <w:t>) × 10</w:t>
      </w:r>
      <w:r w:rsidRPr="00A00564">
        <w:rPr>
          <w:sz w:val="20"/>
          <w:szCs w:val="20"/>
          <w:vertAlign w:val="superscript"/>
        </w:rPr>
        <w:t>7</w:t>
      </w:r>
      <w:r w:rsidRPr="00A00564">
        <w:rPr>
          <w:sz w:val="20"/>
          <w:szCs w:val="20"/>
        </w:rPr>
        <w:t>/kg, and 0.</w:t>
      </w:r>
      <w:r w:rsidR="003C5A4A" w:rsidRPr="006A38C4">
        <w:rPr>
          <w:sz w:val="20"/>
          <w:szCs w:val="20"/>
        </w:rPr>
        <w:t>4</w:t>
      </w:r>
      <w:r w:rsidR="003C5A4A" w:rsidRPr="00A00564">
        <w:rPr>
          <w:sz w:val="20"/>
          <w:szCs w:val="20"/>
        </w:rPr>
        <w:t xml:space="preserve"> </w:t>
      </w:r>
      <w:r w:rsidRPr="00A00564">
        <w:rPr>
          <w:sz w:val="20"/>
          <w:szCs w:val="20"/>
        </w:rPr>
        <w:t>(0.1–</w:t>
      </w:r>
      <w:r w:rsidR="00D379FD">
        <w:rPr>
          <w:sz w:val="20"/>
          <w:szCs w:val="20"/>
        </w:rPr>
        <w:t>0.9</w:t>
      </w:r>
      <w:r w:rsidRPr="00A00564">
        <w:rPr>
          <w:sz w:val="20"/>
          <w:szCs w:val="20"/>
        </w:rPr>
        <w:t>) × 10</w:t>
      </w:r>
      <w:r w:rsidRPr="00A00564">
        <w:rPr>
          <w:sz w:val="20"/>
          <w:szCs w:val="20"/>
          <w:vertAlign w:val="superscript"/>
        </w:rPr>
        <w:t>6</w:t>
      </w:r>
      <w:r w:rsidRPr="00A00564">
        <w:rPr>
          <w:sz w:val="20"/>
          <w:szCs w:val="20"/>
        </w:rPr>
        <w:t>/kg, respectively.</w:t>
      </w:r>
    </w:p>
    <w:p w14:paraId="104E94CE" w14:textId="77777777" w:rsidR="00D9614C" w:rsidRPr="00474EA9" w:rsidRDefault="00416D8F" w:rsidP="00BA366A">
      <w:pPr>
        <w:snapToGrid w:val="0"/>
        <w:rPr>
          <w:sz w:val="20"/>
          <w:szCs w:val="20"/>
        </w:rPr>
      </w:pPr>
      <w:r w:rsidRPr="00474EA9">
        <w:rPr>
          <w:sz w:val="20"/>
          <w:szCs w:val="20"/>
        </w:rPr>
        <w:lastRenderedPageBreak/>
        <w:tab/>
      </w:r>
      <w:r w:rsidRPr="00A00564">
        <w:rPr>
          <w:sz w:val="20"/>
          <w:szCs w:val="20"/>
        </w:rPr>
        <w:t xml:space="preserve">Patients received immunosuppressive drugs such as CSA </w:t>
      </w:r>
      <w:r w:rsidRPr="00BC6E35">
        <w:rPr>
          <w:sz w:val="20"/>
          <w:szCs w:val="20"/>
        </w:rPr>
        <w:t>(n=</w:t>
      </w:r>
      <w:r w:rsidR="007004A4" w:rsidRPr="00BC6E35">
        <w:rPr>
          <w:sz w:val="20"/>
          <w:szCs w:val="20"/>
        </w:rPr>
        <w:t>20</w:t>
      </w:r>
      <w:r w:rsidRPr="00BC6E35">
        <w:rPr>
          <w:sz w:val="20"/>
          <w:szCs w:val="20"/>
        </w:rPr>
        <w:t>)</w:t>
      </w:r>
      <w:r w:rsidRPr="00A00564">
        <w:rPr>
          <w:sz w:val="20"/>
          <w:szCs w:val="20"/>
        </w:rPr>
        <w:t xml:space="preserve"> or MTX (n=</w:t>
      </w:r>
      <w:r w:rsidR="007004A4">
        <w:rPr>
          <w:sz w:val="20"/>
          <w:szCs w:val="20"/>
        </w:rPr>
        <w:t>1</w:t>
      </w:r>
      <w:r w:rsidRPr="00A00564">
        <w:rPr>
          <w:sz w:val="20"/>
          <w:szCs w:val="20"/>
        </w:rPr>
        <w:t>) to prevent GVHD after DLI.</w:t>
      </w:r>
      <w:r w:rsidRPr="00474EA9">
        <w:rPr>
          <w:sz w:val="20"/>
          <w:szCs w:val="20"/>
        </w:rPr>
        <w:t xml:space="preserve"> Patients receiving DLI from an ISD received GVHD prophylaxis for 4–6 weeks, while those receiving DLI from a haplo-RD or URD received GVHD prophylaxis for 6–8 weeks at the discretion of the attending physicians (and usually depending on the patient’s GVHD status after Chemo-DLI). The starting dosage of CSA was 2.5 mg·kg</w:t>
      </w:r>
      <w:r w:rsidRPr="00474EA9">
        <w:rPr>
          <w:sz w:val="20"/>
          <w:szCs w:val="20"/>
          <w:vertAlign w:val="superscript"/>
        </w:rPr>
        <w:t>−1</w:t>
      </w:r>
      <w:r w:rsidRPr="00474EA9">
        <w:rPr>
          <w:sz w:val="20"/>
          <w:szCs w:val="20"/>
        </w:rPr>
        <w:t>·day</w:t>
      </w:r>
      <w:r w:rsidRPr="00474EA9">
        <w:rPr>
          <w:sz w:val="20"/>
          <w:szCs w:val="20"/>
          <w:vertAlign w:val="superscript"/>
        </w:rPr>
        <w:t>−1</w:t>
      </w:r>
      <w:r w:rsidRPr="00474EA9">
        <w:rPr>
          <w:sz w:val="20"/>
          <w:szCs w:val="20"/>
        </w:rPr>
        <w:t>, which was adjusted to maintain a plasma concentration &gt;100 ng/</w:t>
      </w:r>
      <w:proofErr w:type="spellStart"/>
      <w:r w:rsidRPr="00474EA9">
        <w:rPr>
          <w:sz w:val="20"/>
          <w:szCs w:val="20"/>
        </w:rPr>
        <w:t>mL.</w:t>
      </w:r>
      <w:proofErr w:type="spellEnd"/>
      <w:r w:rsidRPr="00474EA9">
        <w:rPr>
          <w:sz w:val="20"/>
          <w:szCs w:val="20"/>
        </w:rPr>
        <w:t xml:space="preserve"> MTX was administered at 10 mg intravenously on days 1, 4, 8, and weekly thereafter for 2–6 weeks.</w:t>
      </w:r>
      <w:r w:rsidR="000049E5" w:rsidRPr="009003BE">
        <w:rPr>
          <w:color w:val="000000"/>
          <w:sz w:val="20"/>
          <w:szCs w:val="20"/>
        </w:rPr>
        <w:t xml:space="preserve"> </w:t>
      </w:r>
      <w:r w:rsidR="000049E5" w:rsidRPr="009003BE">
        <w:rPr>
          <w:sz w:val="20"/>
          <w:szCs w:val="20"/>
        </w:rPr>
        <w:t xml:space="preserve">MRD status was monitored 1, 2, 3, 4.5, 6, 9, and 12 months after preemptive </w:t>
      </w:r>
      <w:r w:rsidR="00D07333">
        <w:rPr>
          <w:rFonts w:hint="eastAsia"/>
          <w:sz w:val="20"/>
          <w:szCs w:val="20"/>
        </w:rPr>
        <w:t>Chemo-DLI</w:t>
      </w:r>
      <w:r w:rsidR="000049E5" w:rsidRPr="009003BE">
        <w:rPr>
          <w:sz w:val="20"/>
          <w:szCs w:val="20"/>
        </w:rPr>
        <w:t xml:space="preserve"> and at 6-month intervals thereafter.</w:t>
      </w:r>
    </w:p>
    <w:p w14:paraId="31AF4F7F" w14:textId="77777777" w:rsidR="00E67981" w:rsidRPr="00474EA9" w:rsidRDefault="00416D8F" w:rsidP="00BA366A">
      <w:pPr>
        <w:snapToGrid w:val="0"/>
        <w:rPr>
          <w:b/>
          <w:sz w:val="20"/>
          <w:szCs w:val="20"/>
        </w:rPr>
      </w:pPr>
      <w:r w:rsidRPr="00474EA9">
        <w:rPr>
          <w:b/>
          <w:sz w:val="20"/>
          <w:szCs w:val="20"/>
        </w:rPr>
        <w:t>Treatment of GVHD after preemptive intervention</w:t>
      </w:r>
    </w:p>
    <w:p w14:paraId="2D897881" w14:textId="77777777" w:rsidR="00E67981" w:rsidRDefault="00416D8F" w:rsidP="00BA366A">
      <w:pPr>
        <w:snapToGrid w:val="0"/>
        <w:rPr>
          <w:kern w:val="0"/>
          <w:sz w:val="20"/>
          <w:szCs w:val="20"/>
        </w:rPr>
      </w:pPr>
      <w:r w:rsidRPr="00474EA9">
        <w:rPr>
          <w:b/>
          <w:sz w:val="20"/>
          <w:szCs w:val="20"/>
        </w:rPr>
        <w:tab/>
      </w:r>
      <w:proofErr w:type="spellStart"/>
      <w:r w:rsidRPr="00474EA9">
        <w:rPr>
          <w:kern w:val="0"/>
          <w:sz w:val="20"/>
          <w:szCs w:val="20"/>
        </w:rPr>
        <w:t>aGVHD</w:t>
      </w:r>
      <w:proofErr w:type="spellEnd"/>
      <w:r w:rsidRPr="00474EA9">
        <w:rPr>
          <w:kern w:val="0"/>
          <w:sz w:val="20"/>
          <w:szCs w:val="20"/>
        </w:rPr>
        <w:t xml:space="preserve"> was treated with methylprednisolone (1–2 mg</w:t>
      </w:r>
      <w:r w:rsidRPr="00474EA9">
        <w:rPr>
          <w:sz w:val="20"/>
          <w:szCs w:val="20"/>
        </w:rPr>
        <w:t>∙</w:t>
      </w:r>
      <w:r w:rsidRPr="00474EA9">
        <w:rPr>
          <w:kern w:val="0"/>
          <w:sz w:val="20"/>
          <w:szCs w:val="20"/>
        </w:rPr>
        <w:t>kg</w:t>
      </w:r>
      <w:r w:rsidRPr="00474EA9">
        <w:rPr>
          <w:kern w:val="0"/>
          <w:sz w:val="20"/>
          <w:szCs w:val="20"/>
          <w:vertAlign w:val="superscript"/>
        </w:rPr>
        <w:t>-1</w:t>
      </w:r>
      <w:r w:rsidRPr="00474EA9">
        <w:rPr>
          <w:kern w:val="0"/>
          <w:sz w:val="20"/>
          <w:szCs w:val="20"/>
        </w:rPr>
        <w:t xml:space="preserve"> per day) and by resumption of full-dose CSA administration. Second- or third-line immunosuppressive therapies such as CD25 monoclonal antibody (</w:t>
      </w:r>
      <w:proofErr w:type="spellStart"/>
      <w:r w:rsidRPr="00474EA9">
        <w:rPr>
          <w:kern w:val="0"/>
          <w:sz w:val="20"/>
          <w:szCs w:val="20"/>
        </w:rPr>
        <w:t>Basiliximab</w:t>
      </w:r>
      <w:proofErr w:type="spellEnd"/>
      <w:r w:rsidRPr="00474EA9">
        <w:rPr>
          <w:kern w:val="0"/>
          <w:sz w:val="20"/>
          <w:szCs w:val="20"/>
        </w:rPr>
        <w:t xml:space="preserve">; Novartis Pharma Stein AG, Basel, Switzerland), MMF, tacrolimus, or MTX were administered in cases of steroid-refractory </w:t>
      </w:r>
      <w:proofErr w:type="spellStart"/>
      <w:r w:rsidRPr="00474EA9">
        <w:rPr>
          <w:kern w:val="0"/>
          <w:sz w:val="20"/>
          <w:szCs w:val="20"/>
        </w:rPr>
        <w:t>aGVHD</w:t>
      </w:r>
      <w:proofErr w:type="spellEnd"/>
      <w:r w:rsidRPr="00474EA9">
        <w:rPr>
          <w:kern w:val="0"/>
          <w:sz w:val="20"/>
          <w:szCs w:val="20"/>
        </w:rPr>
        <w:t>. M</w:t>
      </w:r>
      <w:r w:rsidRPr="00474EA9">
        <w:rPr>
          <w:sz w:val="20"/>
          <w:szCs w:val="20"/>
        </w:rPr>
        <w:t xml:space="preserve">oderate to severe </w:t>
      </w:r>
      <w:proofErr w:type="spellStart"/>
      <w:r w:rsidRPr="00474EA9">
        <w:rPr>
          <w:sz w:val="20"/>
          <w:szCs w:val="20"/>
        </w:rPr>
        <w:t>cGVHD</w:t>
      </w:r>
      <w:proofErr w:type="spellEnd"/>
      <w:r w:rsidRPr="00474EA9">
        <w:rPr>
          <w:kern w:val="0"/>
          <w:sz w:val="20"/>
          <w:szCs w:val="20"/>
        </w:rPr>
        <w:t xml:space="preserve"> was treated with prednisone (1 mg</w:t>
      </w:r>
      <w:r w:rsidRPr="00474EA9">
        <w:rPr>
          <w:sz w:val="20"/>
          <w:szCs w:val="20"/>
        </w:rPr>
        <w:t>∙</w:t>
      </w:r>
      <w:r w:rsidRPr="00474EA9">
        <w:rPr>
          <w:kern w:val="0"/>
          <w:sz w:val="20"/>
          <w:szCs w:val="20"/>
        </w:rPr>
        <w:t>kg</w:t>
      </w:r>
      <w:r w:rsidRPr="00474EA9">
        <w:rPr>
          <w:kern w:val="0"/>
          <w:sz w:val="20"/>
          <w:szCs w:val="20"/>
          <w:vertAlign w:val="superscript"/>
        </w:rPr>
        <w:t>-1</w:t>
      </w:r>
      <w:r w:rsidRPr="00474EA9">
        <w:rPr>
          <w:kern w:val="0"/>
          <w:sz w:val="20"/>
          <w:szCs w:val="20"/>
        </w:rPr>
        <w:t xml:space="preserve"> per day), and CSA was adjusted to maintain a </w:t>
      </w:r>
      <w:r w:rsidR="006843F3" w:rsidRPr="006843F3">
        <w:rPr>
          <w:kern w:val="0"/>
          <w:sz w:val="20"/>
          <w:szCs w:val="20"/>
        </w:rPr>
        <w:t xml:space="preserve">trough blood </w:t>
      </w:r>
      <w:r w:rsidRPr="00474EA9">
        <w:rPr>
          <w:kern w:val="0"/>
          <w:sz w:val="20"/>
          <w:szCs w:val="20"/>
        </w:rPr>
        <w:t>concentration &gt;150 ng/</w:t>
      </w:r>
      <w:proofErr w:type="spellStart"/>
      <w:r w:rsidRPr="00474EA9">
        <w:rPr>
          <w:kern w:val="0"/>
          <w:sz w:val="20"/>
          <w:szCs w:val="20"/>
        </w:rPr>
        <w:t>mL.</w:t>
      </w:r>
      <w:proofErr w:type="spellEnd"/>
      <w:r w:rsidRPr="00474EA9">
        <w:rPr>
          <w:kern w:val="0"/>
          <w:sz w:val="20"/>
          <w:szCs w:val="20"/>
        </w:rPr>
        <w:t xml:space="preserve"> Second- or third-line immunosuppressive therapies such as MMF, MTX, </w:t>
      </w:r>
      <w:r w:rsidRPr="00474EA9">
        <w:rPr>
          <w:sz w:val="20"/>
          <w:szCs w:val="20"/>
        </w:rPr>
        <w:t>penicillamine, azathioprine,</w:t>
      </w:r>
      <w:r w:rsidRPr="00474EA9">
        <w:rPr>
          <w:kern w:val="0"/>
          <w:sz w:val="20"/>
          <w:szCs w:val="20"/>
        </w:rPr>
        <w:t xml:space="preserve"> </w:t>
      </w:r>
      <w:r w:rsidR="008F57F7" w:rsidRPr="008F57F7">
        <w:rPr>
          <w:kern w:val="0"/>
          <w:sz w:val="20"/>
          <w:szCs w:val="20"/>
        </w:rPr>
        <w:t>rituximab</w:t>
      </w:r>
      <w:r w:rsidR="008F57F7">
        <w:rPr>
          <w:kern w:val="0"/>
          <w:sz w:val="20"/>
          <w:szCs w:val="20"/>
        </w:rPr>
        <w:t>,</w:t>
      </w:r>
      <w:r w:rsidR="008F57F7" w:rsidRPr="008F57F7">
        <w:rPr>
          <w:kern w:val="0"/>
          <w:sz w:val="20"/>
          <w:szCs w:val="20"/>
        </w:rPr>
        <w:t xml:space="preserve"> </w:t>
      </w:r>
      <w:r w:rsidRPr="00474EA9">
        <w:rPr>
          <w:kern w:val="0"/>
          <w:sz w:val="20"/>
          <w:szCs w:val="20"/>
        </w:rPr>
        <w:t xml:space="preserve">or tacrolimus were administered in cases of steroid-refractory </w:t>
      </w:r>
      <w:proofErr w:type="spellStart"/>
      <w:r w:rsidRPr="00474EA9">
        <w:rPr>
          <w:kern w:val="0"/>
          <w:sz w:val="20"/>
          <w:szCs w:val="20"/>
        </w:rPr>
        <w:t>cGVHD</w:t>
      </w:r>
      <w:proofErr w:type="spellEnd"/>
      <w:r w:rsidRPr="00474EA9">
        <w:rPr>
          <w:kern w:val="0"/>
          <w:sz w:val="20"/>
          <w:szCs w:val="20"/>
        </w:rPr>
        <w:t>.</w:t>
      </w:r>
    </w:p>
    <w:p w14:paraId="0DE0BDA4" w14:textId="77777777" w:rsidR="00C93FB4" w:rsidRPr="00161810" w:rsidRDefault="00161810" w:rsidP="00BA366A">
      <w:pPr>
        <w:snapToGrid w:val="0"/>
        <w:rPr>
          <w:b/>
          <w:sz w:val="20"/>
          <w:szCs w:val="20"/>
        </w:rPr>
      </w:pPr>
      <w:r w:rsidRPr="00161810">
        <w:rPr>
          <w:rFonts w:hint="eastAsia"/>
          <w:b/>
          <w:sz w:val="20"/>
          <w:szCs w:val="20"/>
        </w:rPr>
        <w:t>Definition</w:t>
      </w:r>
    </w:p>
    <w:p w14:paraId="01D7E8B7" w14:textId="77777777" w:rsidR="00161810" w:rsidRPr="00F70A29" w:rsidRDefault="00161810" w:rsidP="00161810">
      <w:pPr>
        <w:snapToGrid w:val="0"/>
        <w:ind w:firstLine="420"/>
        <w:rPr>
          <w:sz w:val="20"/>
          <w:szCs w:val="20"/>
        </w:rPr>
      </w:pPr>
      <w:r w:rsidRPr="00C601C1">
        <w:rPr>
          <w:sz w:val="20"/>
          <w:szCs w:val="20"/>
        </w:rPr>
        <w:t xml:space="preserve">Relapse was defined as morphologic evidence of disease in samples from the peripheral blood, bone marrow, or extramedullary sites or by the recurrence and sustained presence of pre-transplantation chromosomal abnormalities. Patients who exhibited MRD were not classified as showing relapse. </w:t>
      </w:r>
      <w:r>
        <w:rPr>
          <w:sz w:val="20"/>
          <w:szCs w:val="20"/>
        </w:rPr>
        <w:t>NRM</w:t>
      </w:r>
      <w:r w:rsidRPr="00C601C1">
        <w:rPr>
          <w:sz w:val="20"/>
          <w:szCs w:val="20"/>
        </w:rPr>
        <w:t xml:space="preserve"> was defined as death without disease progression or relapse. </w:t>
      </w:r>
      <w:r w:rsidRPr="00161810">
        <w:rPr>
          <w:rFonts w:hint="eastAsia"/>
          <w:sz w:val="20"/>
          <w:szCs w:val="20"/>
        </w:rPr>
        <w:t>Overall survival (</w:t>
      </w:r>
      <w:r w:rsidRPr="00161810">
        <w:rPr>
          <w:sz w:val="20"/>
          <w:szCs w:val="20"/>
        </w:rPr>
        <w:t>OS</w:t>
      </w:r>
      <w:r w:rsidRPr="00161810">
        <w:rPr>
          <w:rFonts w:hint="eastAsia"/>
          <w:sz w:val="20"/>
          <w:szCs w:val="20"/>
        </w:rPr>
        <w:t>)</w:t>
      </w:r>
      <w:r w:rsidRPr="00161810">
        <w:rPr>
          <w:sz w:val="20"/>
          <w:szCs w:val="20"/>
        </w:rPr>
        <w:t xml:space="preserve"> was defined as death from any cause.</w:t>
      </w:r>
      <w:r>
        <w:rPr>
          <w:rFonts w:hint="eastAsia"/>
          <w:sz w:val="20"/>
          <w:szCs w:val="20"/>
        </w:rPr>
        <w:t xml:space="preserve"> </w:t>
      </w:r>
      <w:r w:rsidRPr="00C601C1">
        <w:rPr>
          <w:sz w:val="20"/>
          <w:szCs w:val="20"/>
        </w:rPr>
        <w:t xml:space="preserve">Disease-free survival (DFS) was defined as the survival period with continuous CR. Early-onset MRD (EMRD) was defined as testing positive for MRD ≤100 days after </w:t>
      </w:r>
      <w:proofErr w:type="spellStart"/>
      <w:r w:rsidRPr="00C601C1">
        <w:rPr>
          <w:sz w:val="20"/>
          <w:szCs w:val="20"/>
        </w:rPr>
        <w:t>allo</w:t>
      </w:r>
      <w:proofErr w:type="spellEnd"/>
      <w:r w:rsidRPr="00C601C1">
        <w:rPr>
          <w:sz w:val="20"/>
          <w:szCs w:val="20"/>
        </w:rPr>
        <w:t xml:space="preserve">-HSCT, and late-onset MRD (LMRD) was defined as testing positive for MRD &gt;100 days after </w:t>
      </w:r>
      <w:proofErr w:type="spellStart"/>
      <w:r w:rsidRPr="00C601C1">
        <w:rPr>
          <w:sz w:val="20"/>
          <w:szCs w:val="20"/>
        </w:rPr>
        <w:t>allo</w:t>
      </w:r>
      <w:proofErr w:type="spellEnd"/>
      <w:r w:rsidRPr="00C601C1">
        <w:rPr>
          <w:sz w:val="20"/>
          <w:szCs w:val="20"/>
        </w:rPr>
        <w:t>-HSCT. High</w:t>
      </w:r>
      <w:r>
        <w:rPr>
          <w:rFonts w:hint="eastAsia"/>
          <w:sz w:val="20"/>
          <w:szCs w:val="20"/>
        </w:rPr>
        <w:t>-level</w:t>
      </w:r>
      <w:r w:rsidRPr="00C601C1">
        <w:rPr>
          <w:sz w:val="20"/>
          <w:szCs w:val="20"/>
        </w:rPr>
        <w:t xml:space="preserve"> MRD were defined as </w:t>
      </w:r>
      <w:r w:rsidRPr="00C601C1">
        <w:rPr>
          <w:i/>
          <w:iCs/>
          <w:sz w:val="20"/>
          <w:szCs w:val="20"/>
        </w:rPr>
        <w:t xml:space="preserve">WT1 </w:t>
      </w:r>
      <w:r w:rsidRPr="00C601C1">
        <w:rPr>
          <w:sz w:val="20"/>
          <w:szCs w:val="20"/>
        </w:rPr>
        <w:t xml:space="preserve">transcript levels ≥1.0% and/or LAIP positivity in ≥0.1% of cells with LAIPs in post-transplantation BM samples; </w:t>
      </w:r>
      <w:r w:rsidRPr="00C601C1">
        <w:t xml:space="preserve">the other </w:t>
      </w:r>
      <w:r w:rsidRPr="00C601C1">
        <w:rPr>
          <w:sz w:val="20"/>
          <w:szCs w:val="20"/>
        </w:rPr>
        <w:t xml:space="preserve">cases </w:t>
      </w:r>
      <w:r w:rsidRPr="00C601C1">
        <w:rPr>
          <w:rFonts w:hint="eastAsia"/>
          <w:sz w:val="20"/>
          <w:szCs w:val="20"/>
        </w:rPr>
        <w:t xml:space="preserve">were defined as </w:t>
      </w:r>
      <w:r w:rsidRPr="00C601C1">
        <w:rPr>
          <w:sz w:val="20"/>
          <w:szCs w:val="20"/>
        </w:rPr>
        <w:t xml:space="preserve">cases with </w:t>
      </w:r>
      <w:r w:rsidRPr="00C601C1">
        <w:rPr>
          <w:rFonts w:hint="eastAsia"/>
          <w:sz w:val="20"/>
          <w:szCs w:val="20"/>
        </w:rPr>
        <w:t xml:space="preserve">low </w:t>
      </w:r>
      <w:r w:rsidRPr="00C601C1">
        <w:rPr>
          <w:sz w:val="20"/>
          <w:szCs w:val="20"/>
        </w:rPr>
        <w:t xml:space="preserve">MRD </w:t>
      </w:r>
      <w:r w:rsidRPr="00C601C1">
        <w:rPr>
          <w:rFonts w:hint="eastAsia"/>
          <w:sz w:val="20"/>
          <w:szCs w:val="20"/>
        </w:rPr>
        <w:t>level</w:t>
      </w:r>
      <w:r w:rsidRPr="00C601C1">
        <w:rPr>
          <w:sz w:val="20"/>
          <w:szCs w:val="20"/>
        </w:rPr>
        <w:t>s.</w:t>
      </w:r>
    </w:p>
    <w:p w14:paraId="5307676E" w14:textId="77777777" w:rsidR="00DA42AF" w:rsidRPr="00F70A29" w:rsidRDefault="00DA42AF" w:rsidP="00BA366A">
      <w:pPr>
        <w:rPr>
          <w:sz w:val="20"/>
          <w:szCs w:val="20"/>
        </w:rPr>
      </w:pPr>
    </w:p>
    <w:sectPr w:rsidR="00DA42AF" w:rsidRPr="00F70A29" w:rsidSect="003D16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76093" w14:textId="77777777" w:rsidR="00EE5920" w:rsidRDefault="00EE5920" w:rsidP="00DA42AF">
      <w:pPr>
        <w:spacing w:line="240" w:lineRule="auto"/>
      </w:pPr>
      <w:r>
        <w:separator/>
      </w:r>
    </w:p>
  </w:endnote>
  <w:endnote w:type="continuationSeparator" w:id="0">
    <w:p w14:paraId="6BE5255E" w14:textId="77777777" w:rsidR="00EE5920" w:rsidRDefault="00EE5920" w:rsidP="00DA42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156C0A" w14:textId="77777777" w:rsidR="00EE5920" w:rsidRDefault="00EE5920" w:rsidP="00DA42AF">
      <w:pPr>
        <w:spacing w:line="240" w:lineRule="auto"/>
      </w:pPr>
      <w:r>
        <w:separator/>
      </w:r>
    </w:p>
  </w:footnote>
  <w:footnote w:type="continuationSeparator" w:id="0">
    <w:p w14:paraId="7AF35F49" w14:textId="77777777" w:rsidR="00EE5920" w:rsidRDefault="00EE5920" w:rsidP="00DA42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63686D8"/>
    <w:lvl w:ilvl="0">
      <w:start w:val="1"/>
      <w:numFmt w:val="bullet"/>
      <w:pStyle w:val="a"/>
      <w:lvlText w:val=""/>
      <w:lvlJc w:val="left"/>
      <w:pPr>
        <w:tabs>
          <w:tab w:val="num" w:pos="360"/>
        </w:tabs>
        <w:ind w:left="360" w:hangingChars="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D32"/>
    <w:rsid w:val="000002DE"/>
    <w:rsid w:val="00003A07"/>
    <w:rsid w:val="000049E5"/>
    <w:rsid w:val="00006065"/>
    <w:rsid w:val="00006241"/>
    <w:rsid w:val="000145AA"/>
    <w:rsid w:val="00035E20"/>
    <w:rsid w:val="0004483D"/>
    <w:rsid w:val="0006176C"/>
    <w:rsid w:val="000626A0"/>
    <w:rsid w:val="0006625C"/>
    <w:rsid w:val="000946DF"/>
    <w:rsid w:val="000D1DDE"/>
    <w:rsid w:val="000D5260"/>
    <w:rsid w:val="000E4A59"/>
    <w:rsid w:val="000E558D"/>
    <w:rsid w:val="000F1A80"/>
    <w:rsid w:val="00101407"/>
    <w:rsid w:val="00110340"/>
    <w:rsid w:val="00123797"/>
    <w:rsid w:val="00133DB1"/>
    <w:rsid w:val="00152CB6"/>
    <w:rsid w:val="00161810"/>
    <w:rsid w:val="00162553"/>
    <w:rsid w:val="001771AA"/>
    <w:rsid w:val="00183625"/>
    <w:rsid w:val="001A5F6A"/>
    <w:rsid w:val="001A76CB"/>
    <w:rsid w:val="001C1702"/>
    <w:rsid w:val="001D2959"/>
    <w:rsid w:val="001E07C8"/>
    <w:rsid w:val="001F433D"/>
    <w:rsid w:val="001F5625"/>
    <w:rsid w:val="001F5E46"/>
    <w:rsid w:val="00215539"/>
    <w:rsid w:val="002442E1"/>
    <w:rsid w:val="00244AD7"/>
    <w:rsid w:val="0027388A"/>
    <w:rsid w:val="002818BA"/>
    <w:rsid w:val="002A6707"/>
    <w:rsid w:val="002D4B96"/>
    <w:rsid w:val="0032299C"/>
    <w:rsid w:val="00334AB6"/>
    <w:rsid w:val="003352EC"/>
    <w:rsid w:val="00336AF3"/>
    <w:rsid w:val="00340772"/>
    <w:rsid w:val="00350D05"/>
    <w:rsid w:val="00363B61"/>
    <w:rsid w:val="00363D7B"/>
    <w:rsid w:val="0037046B"/>
    <w:rsid w:val="00372C3F"/>
    <w:rsid w:val="00380CAF"/>
    <w:rsid w:val="00380F82"/>
    <w:rsid w:val="00394DF0"/>
    <w:rsid w:val="003A3A0A"/>
    <w:rsid w:val="003A60D4"/>
    <w:rsid w:val="003C0286"/>
    <w:rsid w:val="003C1DB7"/>
    <w:rsid w:val="003C5A4A"/>
    <w:rsid w:val="003D0530"/>
    <w:rsid w:val="003D16C9"/>
    <w:rsid w:val="00416D8F"/>
    <w:rsid w:val="00420CE6"/>
    <w:rsid w:val="00432267"/>
    <w:rsid w:val="004436F6"/>
    <w:rsid w:val="004519D6"/>
    <w:rsid w:val="00474EA9"/>
    <w:rsid w:val="004803B7"/>
    <w:rsid w:val="00493702"/>
    <w:rsid w:val="0049424E"/>
    <w:rsid w:val="0049572F"/>
    <w:rsid w:val="004E5F54"/>
    <w:rsid w:val="004F08BE"/>
    <w:rsid w:val="004F0F4B"/>
    <w:rsid w:val="004F4D54"/>
    <w:rsid w:val="004F4F4F"/>
    <w:rsid w:val="00504EFB"/>
    <w:rsid w:val="00505D32"/>
    <w:rsid w:val="0053059E"/>
    <w:rsid w:val="005502F3"/>
    <w:rsid w:val="0056131E"/>
    <w:rsid w:val="005644E1"/>
    <w:rsid w:val="005667E4"/>
    <w:rsid w:val="005B777C"/>
    <w:rsid w:val="005E4AB0"/>
    <w:rsid w:val="005F0B04"/>
    <w:rsid w:val="005F290B"/>
    <w:rsid w:val="00613677"/>
    <w:rsid w:val="00632F18"/>
    <w:rsid w:val="006536FF"/>
    <w:rsid w:val="0066740D"/>
    <w:rsid w:val="00672E6E"/>
    <w:rsid w:val="006833A9"/>
    <w:rsid w:val="006843F3"/>
    <w:rsid w:val="00692F36"/>
    <w:rsid w:val="006A38C4"/>
    <w:rsid w:val="006A537E"/>
    <w:rsid w:val="006B15B3"/>
    <w:rsid w:val="006B305C"/>
    <w:rsid w:val="006B30EC"/>
    <w:rsid w:val="006E4B1C"/>
    <w:rsid w:val="006F296B"/>
    <w:rsid w:val="007004A4"/>
    <w:rsid w:val="00723AD1"/>
    <w:rsid w:val="00726BB6"/>
    <w:rsid w:val="007665E0"/>
    <w:rsid w:val="007738CC"/>
    <w:rsid w:val="00775338"/>
    <w:rsid w:val="00787206"/>
    <w:rsid w:val="00793285"/>
    <w:rsid w:val="007A4A62"/>
    <w:rsid w:val="007B17BD"/>
    <w:rsid w:val="007C565F"/>
    <w:rsid w:val="007F1D1D"/>
    <w:rsid w:val="007F3608"/>
    <w:rsid w:val="007F3EA4"/>
    <w:rsid w:val="007F62C9"/>
    <w:rsid w:val="0080065D"/>
    <w:rsid w:val="00805855"/>
    <w:rsid w:val="008379E9"/>
    <w:rsid w:val="0084027C"/>
    <w:rsid w:val="00860C42"/>
    <w:rsid w:val="00875968"/>
    <w:rsid w:val="00885485"/>
    <w:rsid w:val="008D1FB1"/>
    <w:rsid w:val="008D420C"/>
    <w:rsid w:val="008F57F7"/>
    <w:rsid w:val="00921087"/>
    <w:rsid w:val="00921798"/>
    <w:rsid w:val="00927EF2"/>
    <w:rsid w:val="00941F0D"/>
    <w:rsid w:val="00960DE7"/>
    <w:rsid w:val="009673CC"/>
    <w:rsid w:val="00991FE0"/>
    <w:rsid w:val="009A7370"/>
    <w:rsid w:val="009F376F"/>
    <w:rsid w:val="00A00564"/>
    <w:rsid w:val="00A037E8"/>
    <w:rsid w:val="00A10600"/>
    <w:rsid w:val="00A20083"/>
    <w:rsid w:val="00A46C72"/>
    <w:rsid w:val="00A67FF8"/>
    <w:rsid w:val="00A726D2"/>
    <w:rsid w:val="00A85281"/>
    <w:rsid w:val="00A873BE"/>
    <w:rsid w:val="00A917F2"/>
    <w:rsid w:val="00A91BF0"/>
    <w:rsid w:val="00AB0706"/>
    <w:rsid w:val="00AB5935"/>
    <w:rsid w:val="00AC6A62"/>
    <w:rsid w:val="00AF7F13"/>
    <w:rsid w:val="00B1701E"/>
    <w:rsid w:val="00B27044"/>
    <w:rsid w:val="00B43278"/>
    <w:rsid w:val="00B468C5"/>
    <w:rsid w:val="00B74589"/>
    <w:rsid w:val="00B75086"/>
    <w:rsid w:val="00B84771"/>
    <w:rsid w:val="00B87867"/>
    <w:rsid w:val="00BA366A"/>
    <w:rsid w:val="00BB0B04"/>
    <w:rsid w:val="00BB3915"/>
    <w:rsid w:val="00BB4050"/>
    <w:rsid w:val="00BC6E35"/>
    <w:rsid w:val="00BD098D"/>
    <w:rsid w:val="00BD4B5D"/>
    <w:rsid w:val="00BD55F7"/>
    <w:rsid w:val="00BD72C3"/>
    <w:rsid w:val="00BE1320"/>
    <w:rsid w:val="00BF117B"/>
    <w:rsid w:val="00BF486F"/>
    <w:rsid w:val="00BF72EB"/>
    <w:rsid w:val="00C3555F"/>
    <w:rsid w:val="00C369D9"/>
    <w:rsid w:val="00C43608"/>
    <w:rsid w:val="00C563A6"/>
    <w:rsid w:val="00C636C7"/>
    <w:rsid w:val="00C64C53"/>
    <w:rsid w:val="00C65910"/>
    <w:rsid w:val="00C81B34"/>
    <w:rsid w:val="00C831ED"/>
    <w:rsid w:val="00C93FB4"/>
    <w:rsid w:val="00CA619A"/>
    <w:rsid w:val="00CC7603"/>
    <w:rsid w:val="00CE3574"/>
    <w:rsid w:val="00CF7287"/>
    <w:rsid w:val="00D07333"/>
    <w:rsid w:val="00D33C0A"/>
    <w:rsid w:val="00D34A28"/>
    <w:rsid w:val="00D379FD"/>
    <w:rsid w:val="00D66117"/>
    <w:rsid w:val="00D66305"/>
    <w:rsid w:val="00D67234"/>
    <w:rsid w:val="00D9614C"/>
    <w:rsid w:val="00DA42AF"/>
    <w:rsid w:val="00DA716D"/>
    <w:rsid w:val="00DC08BE"/>
    <w:rsid w:val="00DE49CA"/>
    <w:rsid w:val="00DF38D8"/>
    <w:rsid w:val="00E23526"/>
    <w:rsid w:val="00E253A6"/>
    <w:rsid w:val="00E3496E"/>
    <w:rsid w:val="00E36D15"/>
    <w:rsid w:val="00E64D96"/>
    <w:rsid w:val="00E665A8"/>
    <w:rsid w:val="00E67981"/>
    <w:rsid w:val="00E77B8B"/>
    <w:rsid w:val="00E77C47"/>
    <w:rsid w:val="00E86BF0"/>
    <w:rsid w:val="00EA0425"/>
    <w:rsid w:val="00EA7AB2"/>
    <w:rsid w:val="00ED2056"/>
    <w:rsid w:val="00ED4DEC"/>
    <w:rsid w:val="00EE5920"/>
    <w:rsid w:val="00F0399E"/>
    <w:rsid w:val="00F16845"/>
    <w:rsid w:val="00F1743D"/>
    <w:rsid w:val="00F354B7"/>
    <w:rsid w:val="00F45FA5"/>
    <w:rsid w:val="00F61913"/>
    <w:rsid w:val="00F66679"/>
    <w:rsid w:val="00F70A29"/>
    <w:rsid w:val="00F9682A"/>
    <w:rsid w:val="00FB1700"/>
    <w:rsid w:val="00FB3FE5"/>
    <w:rsid w:val="00FB6020"/>
    <w:rsid w:val="00FC27A3"/>
    <w:rsid w:val="00FC56DC"/>
    <w:rsid w:val="00FD1CEA"/>
    <w:rsid w:val="00FE77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6F786"/>
  <w15:docId w15:val="{B29A8B1B-0EEE-4A80-8A40-1D57A9DE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42AF"/>
    <w:pPr>
      <w:spacing w:line="480" w:lineRule="auto"/>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A42A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1"/>
    <w:link w:val="a4"/>
    <w:uiPriority w:val="99"/>
    <w:rsid w:val="00DA42AF"/>
    <w:rPr>
      <w:sz w:val="18"/>
      <w:szCs w:val="18"/>
    </w:rPr>
  </w:style>
  <w:style w:type="paragraph" w:styleId="a6">
    <w:name w:val="footer"/>
    <w:basedOn w:val="a0"/>
    <w:link w:val="a7"/>
    <w:uiPriority w:val="99"/>
    <w:unhideWhenUsed/>
    <w:rsid w:val="00DA42AF"/>
    <w:pPr>
      <w:tabs>
        <w:tab w:val="center" w:pos="4153"/>
        <w:tab w:val="right" w:pos="8306"/>
      </w:tabs>
      <w:snapToGrid w:val="0"/>
      <w:jc w:val="left"/>
    </w:pPr>
    <w:rPr>
      <w:sz w:val="18"/>
      <w:szCs w:val="18"/>
    </w:rPr>
  </w:style>
  <w:style w:type="character" w:customStyle="1" w:styleId="a7">
    <w:name w:val="页脚 字符"/>
    <w:basedOn w:val="a1"/>
    <w:link w:val="a6"/>
    <w:uiPriority w:val="99"/>
    <w:rsid w:val="00DA42AF"/>
    <w:rPr>
      <w:sz w:val="18"/>
      <w:szCs w:val="18"/>
    </w:rPr>
  </w:style>
  <w:style w:type="paragraph" w:styleId="a8">
    <w:name w:val="endnote text"/>
    <w:basedOn w:val="a0"/>
    <w:link w:val="a9"/>
    <w:semiHidden/>
    <w:rsid w:val="00DA42AF"/>
    <w:pPr>
      <w:snapToGrid w:val="0"/>
      <w:jc w:val="left"/>
    </w:pPr>
  </w:style>
  <w:style w:type="character" w:customStyle="1" w:styleId="a9">
    <w:name w:val="尾注文本 字符"/>
    <w:basedOn w:val="a1"/>
    <w:link w:val="a8"/>
    <w:semiHidden/>
    <w:rsid w:val="00DA42AF"/>
    <w:rPr>
      <w:rFonts w:ascii="Times New Roman" w:eastAsia="宋体" w:hAnsi="Times New Roman" w:cs="Times New Roman"/>
      <w:szCs w:val="24"/>
    </w:rPr>
  </w:style>
  <w:style w:type="character" w:styleId="aa">
    <w:name w:val="endnote reference"/>
    <w:uiPriority w:val="99"/>
    <w:semiHidden/>
    <w:rsid w:val="00DA42AF"/>
    <w:rPr>
      <w:vertAlign w:val="superscript"/>
    </w:rPr>
  </w:style>
  <w:style w:type="character" w:customStyle="1" w:styleId="hps">
    <w:name w:val="hps"/>
    <w:rsid w:val="00DA42AF"/>
  </w:style>
  <w:style w:type="character" w:customStyle="1" w:styleId="A50">
    <w:name w:val="A5"/>
    <w:uiPriority w:val="99"/>
    <w:rsid w:val="00DA42AF"/>
    <w:rPr>
      <w:color w:val="211D1E"/>
      <w:sz w:val="12"/>
      <w:szCs w:val="12"/>
    </w:rPr>
  </w:style>
  <w:style w:type="paragraph" w:customStyle="1" w:styleId="Pa3">
    <w:name w:val="Pa3"/>
    <w:basedOn w:val="a0"/>
    <w:next w:val="a0"/>
    <w:uiPriority w:val="99"/>
    <w:rsid w:val="00DA42AF"/>
    <w:pPr>
      <w:autoSpaceDE w:val="0"/>
      <w:autoSpaceDN w:val="0"/>
      <w:adjustRightInd w:val="0"/>
      <w:spacing w:line="211" w:lineRule="atLeast"/>
      <w:jc w:val="left"/>
    </w:pPr>
    <w:rPr>
      <w:kern w:val="0"/>
      <w:sz w:val="24"/>
    </w:rPr>
  </w:style>
  <w:style w:type="character" w:styleId="ab">
    <w:name w:val="annotation reference"/>
    <w:basedOn w:val="a1"/>
    <w:uiPriority w:val="99"/>
    <w:semiHidden/>
    <w:unhideWhenUsed/>
    <w:rsid w:val="00692F36"/>
    <w:rPr>
      <w:sz w:val="21"/>
      <w:szCs w:val="21"/>
    </w:rPr>
  </w:style>
  <w:style w:type="paragraph" w:styleId="ac">
    <w:name w:val="annotation text"/>
    <w:basedOn w:val="a0"/>
    <w:link w:val="ad"/>
    <w:uiPriority w:val="99"/>
    <w:semiHidden/>
    <w:unhideWhenUsed/>
    <w:rsid w:val="00692F36"/>
    <w:pPr>
      <w:jc w:val="left"/>
    </w:pPr>
  </w:style>
  <w:style w:type="character" w:customStyle="1" w:styleId="ad">
    <w:name w:val="批注文字 字符"/>
    <w:basedOn w:val="a1"/>
    <w:link w:val="ac"/>
    <w:uiPriority w:val="99"/>
    <w:semiHidden/>
    <w:rsid w:val="00692F36"/>
    <w:rPr>
      <w:rFonts w:ascii="Times New Roman" w:eastAsia="宋体" w:hAnsi="Times New Roman" w:cs="Times New Roman"/>
      <w:szCs w:val="24"/>
    </w:rPr>
  </w:style>
  <w:style w:type="paragraph" w:styleId="ae">
    <w:name w:val="annotation subject"/>
    <w:basedOn w:val="ac"/>
    <w:next w:val="ac"/>
    <w:link w:val="af"/>
    <w:uiPriority w:val="99"/>
    <w:semiHidden/>
    <w:unhideWhenUsed/>
    <w:rsid w:val="00692F36"/>
    <w:rPr>
      <w:b/>
      <w:bCs/>
    </w:rPr>
  </w:style>
  <w:style w:type="character" w:customStyle="1" w:styleId="af">
    <w:name w:val="批注主题 字符"/>
    <w:basedOn w:val="ad"/>
    <w:link w:val="ae"/>
    <w:uiPriority w:val="99"/>
    <w:semiHidden/>
    <w:rsid w:val="00692F36"/>
    <w:rPr>
      <w:rFonts w:ascii="Times New Roman" w:eastAsia="宋体" w:hAnsi="Times New Roman" w:cs="Times New Roman"/>
      <w:b/>
      <w:bCs/>
      <w:szCs w:val="24"/>
    </w:rPr>
  </w:style>
  <w:style w:type="paragraph" w:styleId="af0">
    <w:name w:val="Balloon Text"/>
    <w:basedOn w:val="a0"/>
    <w:link w:val="af1"/>
    <w:uiPriority w:val="99"/>
    <w:semiHidden/>
    <w:unhideWhenUsed/>
    <w:rsid w:val="00692F36"/>
    <w:pPr>
      <w:spacing w:line="240" w:lineRule="auto"/>
    </w:pPr>
    <w:rPr>
      <w:sz w:val="18"/>
      <w:szCs w:val="18"/>
    </w:rPr>
  </w:style>
  <w:style w:type="character" w:customStyle="1" w:styleId="af1">
    <w:name w:val="批注框文本 字符"/>
    <w:basedOn w:val="a1"/>
    <w:link w:val="af0"/>
    <w:uiPriority w:val="99"/>
    <w:semiHidden/>
    <w:rsid w:val="00692F36"/>
    <w:rPr>
      <w:rFonts w:ascii="Times New Roman" w:eastAsia="宋体" w:hAnsi="Times New Roman" w:cs="Times New Roman"/>
      <w:sz w:val="18"/>
      <w:szCs w:val="18"/>
    </w:rPr>
  </w:style>
  <w:style w:type="paragraph" w:styleId="a">
    <w:name w:val="List Bullet"/>
    <w:basedOn w:val="a0"/>
    <w:uiPriority w:val="99"/>
    <w:unhideWhenUsed/>
    <w:rsid w:val="00ED2056"/>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90FFA-6DD0-8345-8DBA-796418A1B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1500</Words>
  <Characters>8553</Characters>
  <Application>Microsoft Office Word</Application>
  <DocSecurity>0</DocSecurity>
  <Lines>71</Lines>
  <Paragraphs>20</Paragraphs>
  <ScaleCrop>false</ScaleCrop>
  <Company/>
  <LinksUpToDate>false</LinksUpToDate>
  <CharactersWithSpaces>10033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mx4226</cp:lastModifiedBy>
  <cp:revision>4</cp:revision>
  <dcterms:created xsi:type="dcterms:W3CDTF">2020-09-07T15:09:00Z</dcterms:created>
  <dcterms:modified xsi:type="dcterms:W3CDTF">2020-10-27T12:35:00Z</dcterms:modified>
</cp:coreProperties>
</file>