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7A6" w:rsidRPr="009F4B9A" w:rsidRDefault="003737A6" w:rsidP="003737A6">
      <w:pPr>
        <w:snapToGrid w:val="0"/>
        <w:rPr>
          <w:b/>
          <w:szCs w:val="21"/>
        </w:rPr>
      </w:pPr>
      <w:r w:rsidRPr="009F4B9A">
        <w:rPr>
          <w:rFonts w:hint="eastAsia"/>
          <w:b/>
          <w:szCs w:val="21"/>
        </w:rPr>
        <w:t>Supplementary methods</w:t>
      </w:r>
      <w:r w:rsidR="00B62D17">
        <w:rPr>
          <w:b/>
          <w:szCs w:val="21"/>
        </w:rPr>
        <w:t xml:space="preserve"> </w:t>
      </w:r>
      <w:r w:rsidRPr="009F4B9A">
        <w:rPr>
          <w:b/>
          <w:szCs w:val="21"/>
        </w:rPr>
        <w:t>- Trial Protocol</w:t>
      </w:r>
    </w:p>
    <w:p w:rsidR="003737A6" w:rsidRPr="009F4B9A" w:rsidRDefault="003737A6" w:rsidP="003737A6">
      <w:pPr>
        <w:snapToGrid w:val="0"/>
        <w:rPr>
          <w:b/>
          <w:szCs w:val="21"/>
        </w:rPr>
      </w:pPr>
      <w:r w:rsidRPr="009F4B9A">
        <w:rPr>
          <w:b/>
          <w:szCs w:val="21"/>
        </w:rPr>
        <w:t>Project summary</w:t>
      </w:r>
    </w:p>
    <w:p w:rsidR="00204B32" w:rsidRDefault="003737A6" w:rsidP="003737A6">
      <w:pPr>
        <w:ind w:firstLine="397"/>
        <w:rPr>
          <w:szCs w:val="21"/>
        </w:rPr>
      </w:pPr>
      <w:r w:rsidRPr="009F4B9A">
        <w:rPr>
          <w:szCs w:val="21"/>
        </w:rPr>
        <w:t>This study aimed to evaluate the efficacy of interferon</w:t>
      </w:r>
      <w:r w:rsidR="00740C67">
        <w:rPr>
          <w:szCs w:val="21"/>
        </w:rPr>
        <w:t>-</w:t>
      </w:r>
      <w:r w:rsidRPr="009F4B9A">
        <w:rPr>
          <w:szCs w:val="21"/>
        </w:rPr>
        <w:t>α</w:t>
      </w:r>
      <w:r w:rsidR="00740C67">
        <w:rPr>
          <w:szCs w:val="21"/>
        </w:rPr>
        <w:t xml:space="preserve"> (IFN-α)</w:t>
      </w:r>
      <w:r w:rsidRPr="009F4B9A">
        <w:rPr>
          <w:szCs w:val="21"/>
        </w:rPr>
        <w:t xml:space="preserve"> among</w:t>
      </w:r>
      <w:r w:rsidR="00204B32">
        <w:rPr>
          <w:szCs w:val="21"/>
        </w:rPr>
        <w:t xml:space="preserve"> acute leukemia</w:t>
      </w:r>
      <w:r w:rsidRPr="009F4B9A">
        <w:rPr>
          <w:szCs w:val="21"/>
        </w:rPr>
        <w:t xml:space="preserve"> patients </w:t>
      </w:r>
      <w:r w:rsidR="00204B32" w:rsidRPr="009F4B9A">
        <w:rPr>
          <w:szCs w:val="21"/>
        </w:rPr>
        <w:t xml:space="preserve">who </w:t>
      </w:r>
      <w:r w:rsidR="00204B32">
        <w:rPr>
          <w:szCs w:val="21"/>
        </w:rPr>
        <w:t>had</w:t>
      </w:r>
      <w:r w:rsidR="00204B32" w:rsidRPr="009F4B9A">
        <w:rPr>
          <w:szCs w:val="21"/>
        </w:rPr>
        <w:t xml:space="preserve"> minimal residual disease</w:t>
      </w:r>
      <w:r w:rsidR="00030BD1">
        <w:rPr>
          <w:szCs w:val="21"/>
        </w:rPr>
        <w:t xml:space="preserve"> (MRD)</w:t>
      </w:r>
      <w:r w:rsidR="00204B32" w:rsidRPr="009F4B9A">
        <w:rPr>
          <w:szCs w:val="21"/>
        </w:rPr>
        <w:t xml:space="preserve"> </w:t>
      </w:r>
      <w:r w:rsidR="00204B32">
        <w:rPr>
          <w:szCs w:val="21"/>
        </w:rPr>
        <w:t>after allogeneic hematopoietic stem cell transplantation</w:t>
      </w:r>
      <w:r w:rsidR="001F6CB2">
        <w:rPr>
          <w:szCs w:val="21"/>
        </w:rPr>
        <w:t xml:space="preserve"> (</w:t>
      </w:r>
      <w:proofErr w:type="spellStart"/>
      <w:r w:rsidR="001F6CB2">
        <w:rPr>
          <w:szCs w:val="21"/>
        </w:rPr>
        <w:t>allo-HSCT</w:t>
      </w:r>
      <w:proofErr w:type="spellEnd"/>
      <w:r w:rsidR="001F6CB2">
        <w:rPr>
          <w:szCs w:val="21"/>
        </w:rPr>
        <w:t>)</w:t>
      </w:r>
      <w:r w:rsidR="00B66DB7">
        <w:rPr>
          <w:rFonts w:hint="eastAsia"/>
          <w:szCs w:val="21"/>
        </w:rPr>
        <w:t>.</w:t>
      </w:r>
    </w:p>
    <w:p w:rsidR="003737A6" w:rsidRPr="009F4B9A" w:rsidRDefault="001F6CB2" w:rsidP="003737A6">
      <w:pPr>
        <w:ind w:firstLine="397"/>
        <w:rPr>
          <w:szCs w:val="21"/>
        </w:rPr>
      </w:pPr>
      <w:proofErr w:type="spellStart"/>
      <w:r>
        <w:rPr>
          <w:szCs w:val="21"/>
        </w:rPr>
        <w:t>Allo-HSCT</w:t>
      </w:r>
      <w:proofErr w:type="spellEnd"/>
      <w:r w:rsidR="003737A6" w:rsidRPr="009F4B9A">
        <w:rPr>
          <w:szCs w:val="21"/>
        </w:rPr>
        <w:t xml:space="preserve"> is an effective treatment option for acute leukemia and many other hematological malignancies. However, post-transplant relapse </w:t>
      </w:r>
      <w:r w:rsidR="002B7DA3">
        <w:rPr>
          <w:szCs w:val="21"/>
        </w:rPr>
        <w:t>is</w:t>
      </w:r>
      <w:r w:rsidR="006F3A04">
        <w:rPr>
          <w:szCs w:val="21"/>
        </w:rPr>
        <w:t xml:space="preserve"> still</w:t>
      </w:r>
      <w:r w:rsidR="002B7DA3">
        <w:rPr>
          <w:szCs w:val="21"/>
        </w:rPr>
        <w:t xml:space="preserve"> inevitable</w:t>
      </w:r>
      <w:r w:rsidR="003737A6" w:rsidRPr="009F4B9A">
        <w:rPr>
          <w:szCs w:val="21"/>
        </w:rPr>
        <w:t xml:space="preserve">, and the </w:t>
      </w:r>
      <w:r w:rsidR="006F3A04">
        <w:rPr>
          <w:szCs w:val="21"/>
        </w:rPr>
        <w:t>clinical outcomes</w:t>
      </w:r>
      <w:r w:rsidR="006F3A04" w:rsidRPr="009F4B9A">
        <w:rPr>
          <w:szCs w:val="21"/>
        </w:rPr>
        <w:t xml:space="preserve"> </w:t>
      </w:r>
      <w:r w:rsidR="003737A6" w:rsidRPr="009F4B9A">
        <w:rPr>
          <w:szCs w:val="21"/>
        </w:rPr>
        <w:t xml:space="preserve">of these patients </w:t>
      </w:r>
      <w:r w:rsidR="006F3A04">
        <w:rPr>
          <w:szCs w:val="21"/>
        </w:rPr>
        <w:t>are</w:t>
      </w:r>
      <w:r w:rsidR="006F3A04" w:rsidRPr="009F4B9A">
        <w:rPr>
          <w:szCs w:val="21"/>
        </w:rPr>
        <w:t xml:space="preserve"> </w:t>
      </w:r>
      <w:r w:rsidR="003737A6" w:rsidRPr="009F4B9A">
        <w:rPr>
          <w:szCs w:val="21"/>
        </w:rPr>
        <w:t>very poor.</w:t>
      </w:r>
      <w:r w:rsidR="00030BD1">
        <w:rPr>
          <w:szCs w:val="21"/>
        </w:rPr>
        <w:t xml:space="preserve"> </w:t>
      </w:r>
      <w:r w:rsidR="003737A6" w:rsidRPr="009F4B9A">
        <w:rPr>
          <w:szCs w:val="21"/>
        </w:rPr>
        <w:t xml:space="preserve">The persistence or recurrence of MRD in the post-transplant period is an independent risk factor </w:t>
      </w:r>
      <w:r w:rsidR="007C4207">
        <w:rPr>
          <w:szCs w:val="21"/>
        </w:rPr>
        <w:t>for</w:t>
      </w:r>
      <w:r w:rsidR="007C4207" w:rsidRPr="009F4B9A">
        <w:rPr>
          <w:szCs w:val="21"/>
        </w:rPr>
        <w:t xml:space="preserve"> </w:t>
      </w:r>
      <w:r w:rsidR="003737A6" w:rsidRPr="009F4B9A">
        <w:rPr>
          <w:szCs w:val="21"/>
        </w:rPr>
        <w:t>relapse. Therefore, MRD monitoring can be used to screen patients with a high</w:t>
      </w:r>
      <w:r w:rsidR="00030BD1">
        <w:rPr>
          <w:szCs w:val="21"/>
        </w:rPr>
        <w:t>er</w:t>
      </w:r>
      <w:r w:rsidR="003737A6" w:rsidRPr="009F4B9A">
        <w:rPr>
          <w:szCs w:val="21"/>
        </w:rPr>
        <w:t xml:space="preserve"> risk of relapse</w:t>
      </w:r>
      <w:r w:rsidR="00D06C27">
        <w:rPr>
          <w:szCs w:val="21"/>
        </w:rPr>
        <w:t>, direct</w:t>
      </w:r>
      <w:r w:rsidR="003737A6" w:rsidRPr="009F4B9A">
        <w:rPr>
          <w:szCs w:val="21"/>
        </w:rPr>
        <w:t xml:space="preserve"> timely intervention</w:t>
      </w:r>
      <w:r w:rsidR="002B7DA3">
        <w:rPr>
          <w:szCs w:val="21"/>
        </w:rPr>
        <w:t>s,</w:t>
      </w:r>
      <w:r w:rsidR="003737A6" w:rsidRPr="009F4B9A">
        <w:rPr>
          <w:szCs w:val="21"/>
        </w:rPr>
        <w:t xml:space="preserve"> and prevent post-transplant relapse.</w:t>
      </w:r>
      <w:r w:rsidR="002B7DA3">
        <w:rPr>
          <w:szCs w:val="21"/>
        </w:rPr>
        <w:t xml:space="preserve"> </w:t>
      </w:r>
      <w:r w:rsidR="00D7665A">
        <w:rPr>
          <w:szCs w:val="21"/>
        </w:rPr>
        <w:t>IFN-</w:t>
      </w:r>
      <w:r w:rsidR="003737A6" w:rsidRPr="009F4B9A">
        <w:rPr>
          <w:szCs w:val="21"/>
        </w:rPr>
        <w:t>α-2b exerts a relatively strong immunomodulatory effect. It can kill acute leukemia (AL) cells by regulating T-cell and/or natural killer cell functions.</w:t>
      </w:r>
      <w:r w:rsidR="00D7665A">
        <w:rPr>
          <w:szCs w:val="21"/>
        </w:rPr>
        <w:t xml:space="preserve"> </w:t>
      </w:r>
      <w:r w:rsidR="003737A6" w:rsidRPr="009F4B9A">
        <w:rPr>
          <w:szCs w:val="21"/>
        </w:rPr>
        <w:t xml:space="preserve">Consequently, </w:t>
      </w:r>
      <w:r w:rsidR="00D7665A">
        <w:rPr>
          <w:szCs w:val="21"/>
        </w:rPr>
        <w:t>IFN-</w:t>
      </w:r>
      <w:r w:rsidR="003737A6" w:rsidRPr="009F4B9A">
        <w:rPr>
          <w:szCs w:val="21"/>
        </w:rPr>
        <w:t xml:space="preserve">α-2b may have potential therapeutic value for AL patients with MRD after </w:t>
      </w:r>
      <w:proofErr w:type="spellStart"/>
      <w:r w:rsidR="00E029DE">
        <w:rPr>
          <w:szCs w:val="21"/>
        </w:rPr>
        <w:t>allo-HSCT</w:t>
      </w:r>
      <w:proofErr w:type="spellEnd"/>
      <w:r w:rsidR="003737A6" w:rsidRPr="009F4B9A">
        <w:rPr>
          <w:szCs w:val="21"/>
        </w:rPr>
        <w:t>.</w:t>
      </w:r>
    </w:p>
    <w:p w:rsidR="003737A6" w:rsidRPr="009F4B9A" w:rsidRDefault="003737A6" w:rsidP="003737A6">
      <w:pPr>
        <w:ind w:firstLine="397"/>
        <w:rPr>
          <w:szCs w:val="21"/>
        </w:rPr>
      </w:pPr>
      <w:r w:rsidRPr="009F4B9A">
        <w:rPr>
          <w:szCs w:val="21"/>
        </w:rPr>
        <w:t>The study hypothesis:</w:t>
      </w:r>
    </w:p>
    <w:p w:rsidR="007A76BC" w:rsidRPr="009F4B9A" w:rsidRDefault="00AC3C50" w:rsidP="003737A6">
      <w:pPr>
        <w:ind w:firstLine="397"/>
        <w:rPr>
          <w:szCs w:val="21"/>
        </w:rPr>
      </w:pPr>
      <w:r>
        <w:rPr>
          <w:szCs w:val="21"/>
        </w:rPr>
        <w:t>MRD directed</w:t>
      </w:r>
      <w:r w:rsidR="003737A6" w:rsidRPr="009F4B9A">
        <w:rPr>
          <w:szCs w:val="21"/>
        </w:rPr>
        <w:t xml:space="preserve"> </w:t>
      </w:r>
      <w:r>
        <w:rPr>
          <w:szCs w:val="21"/>
        </w:rPr>
        <w:t>IFN-</w:t>
      </w:r>
      <w:r w:rsidR="003737A6" w:rsidRPr="009F4B9A">
        <w:rPr>
          <w:szCs w:val="21"/>
        </w:rPr>
        <w:t>α-2b</w:t>
      </w:r>
      <w:r>
        <w:rPr>
          <w:szCs w:val="21"/>
        </w:rPr>
        <w:t xml:space="preserve"> treatment</w:t>
      </w:r>
      <w:r w:rsidR="003737A6" w:rsidRPr="009F4B9A">
        <w:rPr>
          <w:szCs w:val="21"/>
        </w:rPr>
        <w:t xml:space="preserve"> can </w:t>
      </w:r>
      <w:r w:rsidR="005E78C1">
        <w:rPr>
          <w:szCs w:val="21"/>
        </w:rPr>
        <w:t>decrease</w:t>
      </w:r>
      <w:r w:rsidR="003737A6" w:rsidRPr="009F4B9A">
        <w:rPr>
          <w:szCs w:val="21"/>
        </w:rPr>
        <w:t xml:space="preserve"> </w:t>
      </w:r>
      <w:r w:rsidR="005E78C1">
        <w:rPr>
          <w:szCs w:val="21"/>
        </w:rPr>
        <w:t xml:space="preserve">post-HSCT </w:t>
      </w:r>
      <w:r w:rsidR="003737A6" w:rsidRPr="009F4B9A">
        <w:rPr>
          <w:szCs w:val="21"/>
        </w:rPr>
        <w:t>relapse rate</w:t>
      </w:r>
      <w:r w:rsidR="005E78C1">
        <w:rPr>
          <w:szCs w:val="21"/>
        </w:rPr>
        <w:t xml:space="preserve"> of</w:t>
      </w:r>
      <w:r w:rsidR="005E78C1" w:rsidRPr="009F4B9A">
        <w:rPr>
          <w:szCs w:val="21"/>
        </w:rPr>
        <w:t xml:space="preserve"> patients with standard risk </w:t>
      </w:r>
      <w:r w:rsidR="005E78C1">
        <w:rPr>
          <w:szCs w:val="21"/>
        </w:rPr>
        <w:t>AL</w:t>
      </w:r>
      <w:r w:rsidR="00EB1E6B" w:rsidRPr="00EB1E6B">
        <w:rPr>
          <w:szCs w:val="21"/>
        </w:rPr>
        <w:t xml:space="preserve"> </w:t>
      </w:r>
      <w:r w:rsidR="00EB1E6B" w:rsidRPr="009F4B9A">
        <w:rPr>
          <w:szCs w:val="21"/>
        </w:rPr>
        <w:t xml:space="preserve">following </w:t>
      </w:r>
      <w:proofErr w:type="spellStart"/>
      <w:r w:rsidR="00EB1E6B">
        <w:rPr>
          <w:szCs w:val="21"/>
        </w:rPr>
        <w:t>allo-HSCT</w:t>
      </w:r>
      <w:proofErr w:type="spellEnd"/>
      <w:r w:rsidR="005E78C1">
        <w:rPr>
          <w:szCs w:val="21"/>
        </w:rPr>
        <w:t>.</w:t>
      </w:r>
    </w:p>
    <w:p w:rsidR="003737A6" w:rsidRPr="009F4B9A" w:rsidRDefault="003737A6" w:rsidP="003737A6">
      <w:pPr>
        <w:rPr>
          <w:b/>
          <w:bCs/>
          <w:szCs w:val="21"/>
        </w:rPr>
      </w:pPr>
      <w:r w:rsidRPr="009F4B9A">
        <w:rPr>
          <w:b/>
          <w:bCs/>
          <w:szCs w:val="21"/>
        </w:rPr>
        <w:t>General information</w:t>
      </w:r>
    </w:p>
    <w:p w:rsidR="003737A6" w:rsidRPr="009F4B9A" w:rsidRDefault="003737A6" w:rsidP="003737A6">
      <w:pPr>
        <w:ind w:firstLine="397"/>
        <w:rPr>
          <w:szCs w:val="21"/>
        </w:rPr>
      </w:pPr>
      <w:r w:rsidRPr="009F4B9A">
        <w:rPr>
          <w:b/>
          <w:bCs/>
          <w:szCs w:val="21"/>
        </w:rPr>
        <w:t xml:space="preserve">Protocol title: </w:t>
      </w:r>
      <w:r w:rsidRPr="009F4B9A">
        <w:rPr>
          <w:szCs w:val="21"/>
        </w:rPr>
        <w:t>Interferon-α for the Therapy of Minimal Residual Disease Following Hematopoietic Stem Cell Transplantation</w:t>
      </w:r>
    </w:p>
    <w:p w:rsidR="003737A6" w:rsidRPr="009F4B9A" w:rsidRDefault="003737A6" w:rsidP="003737A6">
      <w:pPr>
        <w:ind w:firstLine="397"/>
        <w:rPr>
          <w:color w:val="000000"/>
          <w:szCs w:val="21"/>
        </w:rPr>
      </w:pPr>
      <w:r w:rsidRPr="009F4B9A">
        <w:rPr>
          <w:b/>
          <w:bCs/>
          <w:szCs w:val="21"/>
        </w:rPr>
        <w:t xml:space="preserve">Protocol number and date: </w:t>
      </w:r>
      <w:bookmarkStart w:id="0" w:name="OLE_LINK13"/>
      <w:bookmarkStart w:id="1" w:name="OLE_LINK14"/>
      <w:r w:rsidRPr="009F4B9A">
        <w:rPr>
          <w:color w:val="000000"/>
          <w:szCs w:val="21"/>
        </w:rPr>
        <w:t>#</w:t>
      </w:r>
      <w:bookmarkStart w:id="2" w:name="OLE_LINK6"/>
      <w:bookmarkStart w:id="3" w:name="OLE_LINK9"/>
      <w:bookmarkStart w:id="4" w:name="OLE_LINK10"/>
      <w:r w:rsidRPr="009F4B9A">
        <w:rPr>
          <w:color w:val="000000"/>
          <w:szCs w:val="21"/>
        </w:rPr>
        <w:t xml:space="preserve">NCT02185261 </w:t>
      </w:r>
      <w:bookmarkEnd w:id="2"/>
      <w:bookmarkEnd w:id="3"/>
      <w:bookmarkEnd w:id="4"/>
      <w:r w:rsidRPr="009F4B9A">
        <w:rPr>
          <w:color w:val="000000"/>
          <w:szCs w:val="21"/>
        </w:rPr>
        <w:t>(01/06/2014)</w:t>
      </w:r>
      <w:bookmarkEnd w:id="0"/>
      <w:bookmarkEnd w:id="1"/>
    </w:p>
    <w:p w:rsidR="003737A6" w:rsidRPr="009F4B9A" w:rsidRDefault="003737A6" w:rsidP="003737A6">
      <w:pPr>
        <w:ind w:firstLine="397"/>
        <w:rPr>
          <w:b/>
          <w:bCs/>
          <w:szCs w:val="21"/>
        </w:rPr>
      </w:pPr>
      <w:r w:rsidRPr="009F4B9A">
        <w:rPr>
          <w:b/>
          <w:bCs/>
          <w:szCs w:val="21"/>
        </w:rPr>
        <w:t xml:space="preserve">Sponsor: </w:t>
      </w:r>
      <w:r w:rsidRPr="009F4B9A">
        <w:rPr>
          <w:szCs w:val="21"/>
        </w:rPr>
        <w:t>Peking University People's Hospital</w:t>
      </w:r>
    </w:p>
    <w:p w:rsidR="003737A6" w:rsidRPr="009F4B9A" w:rsidRDefault="00F633A7" w:rsidP="003737A6">
      <w:pPr>
        <w:ind w:firstLine="397"/>
        <w:rPr>
          <w:szCs w:val="21"/>
        </w:rPr>
      </w:pPr>
      <w:r>
        <w:rPr>
          <w:rFonts w:hint="eastAsia"/>
          <w:b/>
          <w:bCs/>
          <w:szCs w:val="21"/>
        </w:rPr>
        <w:t>I</w:t>
      </w:r>
      <w:r w:rsidRPr="00F633A7">
        <w:rPr>
          <w:b/>
          <w:bCs/>
          <w:szCs w:val="21"/>
        </w:rPr>
        <w:t>nvestigator</w:t>
      </w:r>
      <w:r w:rsidR="003737A6" w:rsidRPr="009F4B9A">
        <w:rPr>
          <w:b/>
          <w:bCs/>
          <w:szCs w:val="21"/>
        </w:rPr>
        <w:t xml:space="preserve">: </w:t>
      </w:r>
      <w:r>
        <w:rPr>
          <w:b/>
          <w:bCs/>
          <w:szCs w:val="21"/>
        </w:rPr>
        <w:t xml:space="preserve">Prof </w:t>
      </w:r>
      <w:proofErr w:type="spellStart"/>
      <w:r w:rsidR="003737A6" w:rsidRPr="009F4B9A">
        <w:rPr>
          <w:szCs w:val="21"/>
        </w:rPr>
        <w:t>Xiaojun</w:t>
      </w:r>
      <w:proofErr w:type="spellEnd"/>
      <w:r w:rsidR="003737A6" w:rsidRPr="009F4B9A">
        <w:rPr>
          <w:szCs w:val="21"/>
        </w:rPr>
        <w:t xml:space="preserve"> Huang, </w:t>
      </w:r>
      <w:r w:rsidR="00953CD2" w:rsidRPr="00953CD2">
        <w:rPr>
          <w:szCs w:val="21"/>
        </w:rPr>
        <w:t xml:space="preserve">Peking University People’s Hospital, Peking University Institute of Hematology, No. 11 </w:t>
      </w:r>
      <w:proofErr w:type="spellStart"/>
      <w:r w:rsidR="00953CD2" w:rsidRPr="00953CD2">
        <w:rPr>
          <w:szCs w:val="21"/>
        </w:rPr>
        <w:t>Xizhimen</w:t>
      </w:r>
      <w:proofErr w:type="spellEnd"/>
      <w:r w:rsidR="00953CD2" w:rsidRPr="00953CD2">
        <w:rPr>
          <w:szCs w:val="21"/>
        </w:rPr>
        <w:t xml:space="preserve"> South Street, Xicheng District, Beijing 100044, China, Tel: 8610-8832-600</w:t>
      </w:r>
      <w:r w:rsidR="00953CD2">
        <w:rPr>
          <w:szCs w:val="21"/>
        </w:rPr>
        <w:t>6</w:t>
      </w:r>
      <w:r w:rsidR="00953CD2" w:rsidRPr="00953CD2">
        <w:rPr>
          <w:szCs w:val="21"/>
        </w:rPr>
        <w:t>, Fax: 8610-8832-4577,</w:t>
      </w:r>
      <w:r>
        <w:rPr>
          <w:szCs w:val="21"/>
        </w:rPr>
        <w:t xml:space="preserve"> e-mail: huangxiaojun@bjmu.edu.cn</w:t>
      </w:r>
    </w:p>
    <w:p w:rsidR="00503AB2" w:rsidRDefault="00503AB2" w:rsidP="00503AB2">
      <w:pPr>
        <w:rPr>
          <w:b/>
          <w:bCs/>
          <w:szCs w:val="21"/>
        </w:rPr>
      </w:pPr>
      <w:r w:rsidRPr="00503AB2">
        <w:rPr>
          <w:b/>
          <w:bCs/>
          <w:szCs w:val="21"/>
        </w:rPr>
        <w:t>Rationale &amp; background information</w:t>
      </w:r>
    </w:p>
    <w:p w:rsidR="00503AB2" w:rsidRPr="002400F1" w:rsidRDefault="00503AB2" w:rsidP="00503AB2">
      <w:pPr>
        <w:snapToGrid w:val="0"/>
        <w:ind w:firstLineChars="200" w:firstLine="400"/>
        <w:rPr>
          <w:color w:val="000000"/>
          <w:sz w:val="20"/>
          <w:szCs w:val="20"/>
        </w:rPr>
      </w:pPr>
      <w:bookmarkStart w:id="5" w:name="_Hlk16926709"/>
      <w:r w:rsidRPr="002400F1">
        <w:rPr>
          <w:color w:val="000000"/>
          <w:kern w:val="0"/>
          <w:sz w:val="20"/>
          <w:szCs w:val="20"/>
        </w:rPr>
        <w:t>Despite considerable advances in the allogeneic hematopoietic stem cell transplantation (</w:t>
      </w:r>
      <w:proofErr w:type="spellStart"/>
      <w:r w:rsidRPr="002400F1">
        <w:rPr>
          <w:color w:val="000000"/>
          <w:kern w:val="0"/>
          <w:sz w:val="20"/>
          <w:szCs w:val="20"/>
        </w:rPr>
        <w:t>allo-HSCT</w:t>
      </w:r>
      <w:proofErr w:type="spellEnd"/>
      <w:r w:rsidRPr="002400F1">
        <w:rPr>
          <w:color w:val="000000"/>
          <w:kern w:val="0"/>
          <w:sz w:val="20"/>
          <w:szCs w:val="20"/>
        </w:rPr>
        <w:t>)</w:t>
      </w:r>
      <w:r>
        <w:rPr>
          <w:color w:val="000000"/>
          <w:kern w:val="0"/>
          <w:sz w:val="20"/>
          <w:szCs w:val="20"/>
        </w:rPr>
        <w:t xml:space="preserve"> </w:t>
      </w:r>
      <w:r w:rsidR="005F5AA7" w:rsidRPr="005F5AA7">
        <w:rPr>
          <w:noProof/>
          <w:color w:val="000000"/>
          <w:kern w:val="0"/>
          <w:sz w:val="20"/>
          <w:szCs w:val="20"/>
          <w:vertAlign w:val="superscript"/>
        </w:rPr>
        <w:t>1</w:t>
      </w:r>
      <w:r w:rsidRPr="002400F1">
        <w:rPr>
          <w:color w:val="000000"/>
          <w:kern w:val="0"/>
          <w:sz w:val="20"/>
          <w:szCs w:val="20"/>
        </w:rPr>
        <w:t>, relapse remains the major cause of transplant failure in patients with acute lymphoblastic leukemia (ALL)</w:t>
      </w:r>
      <w:r w:rsidRPr="002400F1" w:rsidDel="00FE4ECF">
        <w:rPr>
          <w:color w:val="000000"/>
          <w:kern w:val="0"/>
          <w:sz w:val="20"/>
          <w:szCs w:val="20"/>
        </w:rPr>
        <w:t xml:space="preserve"> </w:t>
      </w:r>
      <w:r w:rsidR="005F5AA7" w:rsidRPr="005F5AA7">
        <w:rPr>
          <w:noProof/>
          <w:color w:val="000000"/>
          <w:kern w:val="0"/>
          <w:sz w:val="20"/>
          <w:szCs w:val="20"/>
          <w:vertAlign w:val="superscript"/>
        </w:rPr>
        <w:t>2</w:t>
      </w:r>
      <w:r w:rsidRPr="002400F1">
        <w:rPr>
          <w:color w:val="000000"/>
          <w:kern w:val="0"/>
          <w:sz w:val="20"/>
          <w:szCs w:val="20"/>
        </w:rPr>
        <w:t>.</w:t>
      </w:r>
      <w:r w:rsidRPr="002400F1">
        <w:rPr>
          <w:color w:val="000000"/>
          <w:sz w:val="20"/>
          <w:szCs w:val="20"/>
        </w:rPr>
        <w:t xml:space="preserve"> </w:t>
      </w:r>
      <w:proofErr w:type="gramStart"/>
      <w:r w:rsidRPr="002400F1">
        <w:rPr>
          <w:color w:val="000000"/>
          <w:sz w:val="20"/>
          <w:szCs w:val="20"/>
        </w:rPr>
        <w:t xml:space="preserve">Thus, identifying patients who were at higher risks for relapse after </w:t>
      </w:r>
      <w:proofErr w:type="spellStart"/>
      <w:r w:rsidRPr="002400F1">
        <w:rPr>
          <w:color w:val="000000"/>
          <w:sz w:val="20"/>
          <w:szCs w:val="20"/>
        </w:rPr>
        <w:t>allo-HSCT</w:t>
      </w:r>
      <w:proofErr w:type="spellEnd"/>
      <w:r w:rsidRPr="002400F1">
        <w:rPr>
          <w:color w:val="000000"/>
          <w:sz w:val="20"/>
          <w:szCs w:val="20"/>
        </w:rPr>
        <w:t xml:space="preserve"> is of great importance.</w:t>
      </w:r>
      <w:proofErr w:type="gramEnd"/>
      <w:r w:rsidRPr="002400F1">
        <w:rPr>
          <w:color w:val="000000"/>
          <w:sz w:val="20"/>
          <w:szCs w:val="20"/>
        </w:rPr>
        <w:t xml:space="preserve"> </w:t>
      </w:r>
      <w:bookmarkStart w:id="6" w:name="_Hlk16926933"/>
      <w:bookmarkEnd w:id="5"/>
      <w:r w:rsidRPr="002400F1">
        <w:rPr>
          <w:color w:val="000000"/>
          <w:sz w:val="20"/>
          <w:szCs w:val="20"/>
        </w:rPr>
        <w:t xml:space="preserve">Minimal residual disease (MRD) helped to identify patients who still </w:t>
      </w:r>
      <w:bookmarkStart w:id="7" w:name="OLE_LINK3"/>
      <w:bookmarkStart w:id="8" w:name="OLE_LINK4"/>
      <w:bookmarkStart w:id="9" w:name="OLE_LINK5"/>
      <w:r w:rsidRPr="002400F1">
        <w:rPr>
          <w:color w:val="000000"/>
          <w:sz w:val="20"/>
          <w:szCs w:val="20"/>
        </w:rPr>
        <w:t xml:space="preserve">harbored </w:t>
      </w:r>
      <w:bookmarkEnd w:id="7"/>
      <w:bookmarkEnd w:id="8"/>
      <w:bookmarkEnd w:id="9"/>
      <w:r w:rsidRPr="002400F1">
        <w:rPr>
          <w:color w:val="000000"/>
          <w:sz w:val="20"/>
          <w:szCs w:val="20"/>
        </w:rPr>
        <w:t xml:space="preserve">higher levels of disease but were below the detection capabilities of morphological analysis. </w:t>
      </w:r>
      <w:r w:rsidRPr="002400F1">
        <w:rPr>
          <w:color w:val="000000"/>
          <w:kern w:val="0"/>
          <w:sz w:val="20"/>
          <w:szCs w:val="20"/>
        </w:rPr>
        <w:t>Multiparameter flow cytometry</w:t>
      </w:r>
      <w:r w:rsidRPr="002400F1">
        <w:rPr>
          <w:color w:val="000000"/>
          <w:sz w:val="20"/>
          <w:szCs w:val="20"/>
        </w:rPr>
        <w:t xml:space="preserve"> (MFC) identified cells with </w:t>
      </w:r>
      <w:r w:rsidRPr="002400F1">
        <w:rPr>
          <w:color w:val="000000"/>
          <w:sz w:val="20"/>
          <w:szCs w:val="20"/>
        </w:rPr>
        <w:lastRenderedPageBreak/>
        <w:t>leukemia-associated immunophenotypes (LAIPs) and polymerase chain reaction (PCR) assays detected leukemia-associated genetic abnormalities, both could be applied for monitoring MRD in leukemia patients. MRD monitoring was proved to predict impending</w:t>
      </w:r>
      <w:r w:rsidRPr="002400F1">
        <w:rPr>
          <w:color w:val="000000"/>
          <w:kern w:val="0"/>
          <w:sz w:val="20"/>
          <w:szCs w:val="20"/>
        </w:rPr>
        <w:t xml:space="preserve"> relapse after </w:t>
      </w:r>
      <w:proofErr w:type="spellStart"/>
      <w:r w:rsidRPr="002400F1">
        <w:rPr>
          <w:color w:val="000000"/>
          <w:kern w:val="0"/>
          <w:sz w:val="20"/>
          <w:szCs w:val="20"/>
        </w:rPr>
        <w:t>allo-HSCT</w:t>
      </w:r>
      <w:bookmarkEnd w:id="6"/>
      <w:proofErr w:type="spellEnd"/>
      <w:r w:rsidRPr="002400F1">
        <w:rPr>
          <w:color w:val="000000"/>
          <w:kern w:val="0"/>
          <w:sz w:val="20"/>
          <w:szCs w:val="20"/>
        </w:rPr>
        <w:t xml:space="preserve"> by numerous studies</w:t>
      </w:r>
      <w:r>
        <w:rPr>
          <w:color w:val="000000"/>
          <w:kern w:val="0"/>
          <w:sz w:val="20"/>
          <w:szCs w:val="20"/>
        </w:rPr>
        <w:t xml:space="preserve"> </w:t>
      </w:r>
      <w:bookmarkStart w:id="10" w:name="_Hlk16927110"/>
      <w:r w:rsidR="005F5AA7" w:rsidRPr="005F5AA7">
        <w:rPr>
          <w:noProof/>
          <w:color w:val="000000"/>
          <w:kern w:val="0"/>
          <w:sz w:val="20"/>
          <w:szCs w:val="20"/>
          <w:vertAlign w:val="superscript"/>
        </w:rPr>
        <w:t>3-5</w:t>
      </w:r>
      <w:r w:rsidRPr="002400F1">
        <w:rPr>
          <w:color w:val="000000"/>
          <w:kern w:val="0"/>
          <w:sz w:val="20"/>
          <w:szCs w:val="20"/>
        </w:rPr>
        <w:t>.</w:t>
      </w:r>
    </w:p>
    <w:p w:rsidR="00503AB2" w:rsidRPr="002400F1" w:rsidRDefault="00503AB2" w:rsidP="00503AB2">
      <w:pPr>
        <w:snapToGrid w:val="0"/>
        <w:ind w:firstLineChars="200" w:firstLine="400"/>
        <w:rPr>
          <w:color w:val="000000"/>
          <w:sz w:val="20"/>
          <w:szCs w:val="20"/>
        </w:rPr>
      </w:pPr>
      <w:r w:rsidRPr="002400F1">
        <w:rPr>
          <w:color w:val="000000"/>
          <w:sz w:val="20"/>
          <w:szCs w:val="20"/>
        </w:rPr>
        <w:t>Impending relapse could be prevented by the early detection of MRD and timely treatments. Thus, preemptive intervention, which could spare patients in remission from further therapies, was reasonable for patients with MRD.</w:t>
      </w:r>
      <w:bookmarkEnd w:id="10"/>
      <w:r w:rsidRPr="002400F1">
        <w:rPr>
          <w:color w:val="000000"/>
          <w:sz w:val="20"/>
          <w:szCs w:val="20"/>
        </w:rPr>
        <w:t xml:space="preserve"> </w:t>
      </w:r>
      <w:bookmarkStart w:id="11" w:name="_Hlk16927185"/>
      <w:r w:rsidRPr="002400F1">
        <w:rPr>
          <w:color w:val="000000"/>
          <w:sz w:val="20"/>
          <w:szCs w:val="20"/>
        </w:rPr>
        <w:t xml:space="preserve">Chemotherapy plus donor leukocyte infusion (Chemo-DLI) was the most effective preemptive </w:t>
      </w:r>
      <w:bookmarkStart w:id="12" w:name="OLE_LINK16"/>
      <w:bookmarkStart w:id="13" w:name="OLE_LINK17"/>
      <w:r w:rsidRPr="002400F1">
        <w:rPr>
          <w:color w:val="000000"/>
          <w:sz w:val="20"/>
          <w:szCs w:val="20"/>
        </w:rPr>
        <w:t xml:space="preserve">intervention </w:t>
      </w:r>
      <w:bookmarkEnd w:id="12"/>
      <w:bookmarkEnd w:id="13"/>
      <w:r w:rsidRPr="002400F1">
        <w:rPr>
          <w:color w:val="000000"/>
          <w:sz w:val="20"/>
          <w:szCs w:val="20"/>
        </w:rPr>
        <w:t>for MRD</w:t>
      </w:r>
      <w:r>
        <w:rPr>
          <w:color w:val="000000"/>
          <w:sz w:val="20"/>
          <w:szCs w:val="20"/>
        </w:rPr>
        <w:t xml:space="preserve"> </w:t>
      </w:r>
      <w:r w:rsidR="005F5AA7" w:rsidRPr="005F5AA7">
        <w:rPr>
          <w:noProof/>
          <w:color w:val="000000"/>
          <w:sz w:val="20"/>
          <w:szCs w:val="20"/>
          <w:vertAlign w:val="superscript"/>
        </w:rPr>
        <w:t>6,7</w:t>
      </w:r>
      <w:r w:rsidRPr="002400F1">
        <w:rPr>
          <w:color w:val="000000"/>
          <w:sz w:val="20"/>
          <w:szCs w:val="20"/>
        </w:rPr>
        <w:t>, however, it</w:t>
      </w:r>
      <w:r w:rsidRPr="002400F1">
        <w:rPr>
          <w:color w:val="000000"/>
          <w:sz w:val="20"/>
          <w:szCs w:val="20"/>
          <w:shd w:val="clear" w:color="auto" w:fill="FFFFFF"/>
        </w:rPr>
        <w:t xml:space="preserve"> may lead to some severe complications (e.g., graft-versus-host disease [GVHD</w:t>
      </w:r>
      <w:r w:rsidRPr="002400F1">
        <w:rPr>
          <w:color w:val="000000"/>
          <w:sz w:val="20"/>
          <w:szCs w:val="20"/>
        </w:rPr>
        <w:t>]</w:t>
      </w:r>
      <w:r w:rsidRPr="002400F1">
        <w:rPr>
          <w:color w:val="000000"/>
          <w:sz w:val="20"/>
          <w:szCs w:val="20"/>
          <w:shd w:val="clear" w:color="auto" w:fill="FFFFFF"/>
        </w:rPr>
        <w:t xml:space="preserve"> and pancytopenia)</w:t>
      </w:r>
      <w:r w:rsidRPr="002400F1" w:rsidDel="00FE4ECF">
        <w:rPr>
          <w:color w:val="000000"/>
          <w:sz w:val="20"/>
          <w:szCs w:val="20"/>
          <w:shd w:val="clear" w:color="auto" w:fill="FFFFFF"/>
        </w:rPr>
        <w:t xml:space="preserve"> </w:t>
      </w:r>
      <w:r w:rsidR="005F5AA7" w:rsidRPr="005F5AA7">
        <w:rPr>
          <w:noProof/>
          <w:color w:val="000000"/>
          <w:sz w:val="20"/>
          <w:szCs w:val="20"/>
          <w:shd w:val="clear" w:color="auto" w:fill="FFFFFF"/>
          <w:vertAlign w:val="superscript"/>
        </w:rPr>
        <w:t>8</w:t>
      </w:r>
      <w:r w:rsidRPr="002400F1">
        <w:rPr>
          <w:color w:val="000000"/>
          <w:sz w:val="20"/>
          <w:szCs w:val="20"/>
          <w:shd w:val="clear" w:color="auto" w:fill="FFFFFF"/>
        </w:rPr>
        <w:t>.</w:t>
      </w:r>
      <w:r w:rsidRPr="002400F1">
        <w:rPr>
          <w:color w:val="000000"/>
          <w:sz w:val="20"/>
          <w:szCs w:val="20"/>
        </w:rPr>
        <w:t xml:space="preserve"> In addition, it was out of choices for some patients </w:t>
      </w:r>
      <w:r w:rsidRPr="002400F1">
        <w:rPr>
          <w:color w:val="000000"/>
          <w:sz w:val="20"/>
          <w:szCs w:val="20"/>
          <w:shd w:val="clear" w:color="auto" w:fill="FFFFFF"/>
        </w:rPr>
        <w:t>because of</w:t>
      </w:r>
      <w:r w:rsidRPr="002400F1">
        <w:rPr>
          <w:rStyle w:val="apple-converted-space"/>
          <w:color w:val="000000"/>
          <w:sz w:val="20"/>
          <w:szCs w:val="20"/>
          <w:shd w:val="clear" w:color="auto" w:fill="FFFFFF"/>
        </w:rPr>
        <w:t> </w:t>
      </w:r>
      <w:r w:rsidRPr="002400F1">
        <w:rPr>
          <w:color w:val="000000"/>
          <w:sz w:val="20"/>
          <w:szCs w:val="20"/>
          <w:shd w:val="clear" w:color="auto" w:fill="FFFFFF"/>
        </w:rPr>
        <w:t xml:space="preserve">related donor refusal or unavailability of the second donation from an unrelated donor. Preemptive tyrosine kinase inhibitor (TKIs) treatment was proved to be a useful </w:t>
      </w:r>
      <w:r w:rsidRPr="002400F1">
        <w:rPr>
          <w:color w:val="000000"/>
          <w:sz w:val="20"/>
          <w:szCs w:val="20"/>
        </w:rPr>
        <w:t>intervention</w:t>
      </w:r>
      <w:r>
        <w:rPr>
          <w:color w:val="000000"/>
          <w:sz w:val="20"/>
          <w:szCs w:val="20"/>
        </w:rPr>
        <w:t xml:space="preserve"> </w:t>
      </w:r>
      <w:r w:rsidR="005F5AA7" w:rsidRPr="005F5AA7">
        <w:rPr>
          <w:noProof/>
          <w:color w:val="000000"/>
          <w:sz w:val="20"/>
          <w:szCs w:val="20"/>
          <w:vertAlign w:val="superscript"/>
        </w:rPr>
        <w:t>9,10</w:t>
      </w:r>
      <w:r w:rsidRPr="002400F1">
        <w:rPr>
          <w:color w:val="000000"/>
          <w:sz w:val="20"/>
          <w:szCs w:val="20"/>
        </w:rPr>
        <w:t>,</w:t>
      </w:r>
      <w:r w:rsidRPr="002400F1">
        <w:rPr>
          <w:color w:val="000000"/>
          <w:sz w:val="20"/>
          <w:szCs w:val="20"/>
          <w:shd w:val="clear" w:color="auto" w:fill="FFFFFF"/>
        </w:rPr>
        <w:t xml:space="preserve"> but only applied to patients with </w:t>
      </w:r>
      <w:r w:rsidRPr="002400F1">
        <w:rPr>
          <w:color w:val="000000"/>
          <w:sz w:val="20"/>
          <w:szCs w:val="20"/>
        </w:rPr>
        <w:t xml:space="preserve">Philadelphia chromosome (Ph)-positive ALL. </w:t>
      </w:r>
      <w:r w:rsidRPr="002400F1">
        <w:rPr>
          <w:color w:val="000000"/>
          <w:sz w:val="20"/>
          <w:szCs w:val="20"/>
          <w:shd w:val="clear" w:color="auto" w:fill="FFFFFF"/>
        </w:rPr>
        <w:t>Chimeric antigen receptor (CAR) T-cell immunotherapy</w:t>
      </w:r>
      <w:r w:rsidRPr="002400F1">
        <w:rPr>
          <w:color w:val="000000"/>
          <w:sz w:val="20"/>
          <w:szCs w:val="20"/>
        </w:rPr>
        <w:t xml:space="preserve"> was another potential preemptive intervention</w:t>
      </w:r>
      <w:r>
        <w:rPr>
          <w:color w:val="000000"/>
          <w:sz w:val="20"/>
          <w:szCs w:val="20"/>
        </w:rPr>
        <w:t xml:space="preserve"> </w:t>
      </w:r>
      <w:r w:rsidR="005F5AA7" w:rsidRPr="005F5AA7">
        <w:rPr>
          <w:noProof/>
          <w:color w:val="000000"/>
          <w:sz w:val="20"/>
          <w:szCs w:val="20"/>
          <w:vertAlign w:val="superscript"/>
        </w:rPr>
        <w:t>11-13</w:t>
      </w:r>
      <w:r w:rsidRPr="002400F1">
        <w:rPr>
          <w:color w:val="000000"/>
          <w:sz w:val="20"/>
          <w:szCs w:val="20"/>
        </w:rPr>
        <w:t xml:space="preserve">. However, it </w:t>
      </w:r>
      <w:r w:rsidRPr="002400F1">
        <w:rPr>
          <w:color w:val="000000"/>
          <w:sz w:val="20"/>
          <w:szCs w:val="20"/>
          <w:shd w:val="clear" w:color="auto" w:fill="FFFFFF"/>
        </w:rPr>
        <w:t xml:space="preserve">might </w:t>
      </w:r>
      <w:r w:rsidRPr="002400F1">
        <w:rPr>
          <w:color w:val="000000"/>
          <w:sz w:val="20"/>
          <w:szCs w:val="20"/>
        </w:rPr>
        <w:t xml:space="preserve">also </w:t>
      </w:r>
      <w:r w:rsidRPr="002400F1">
        <w:rPr>
          <w:color w:val="000000"/>
          <w:sz w:val="20"/>
          <w:szCs w:val="20"/>
          <w:shd w:val="clear" w:color="auto" w:fill="FFFFFF"/>
        </w:rPr>
        <w:t>lead to several complications</w:t>
      </w:r>
      <w:r w:rsidRPr="002400F1">
        <w:rPr>
          <w:color w:val="000000"/>
          <w:sz w:val="20"/>
          <w:szCs w:val="20"/>
        </w:rPr>
        <w:t xml:space="preserve"> (e.g. life-threatening neurological toxicity and cytokine release syndrome)</w:t>
      </w:r>
      <w:r w:rsidRPr="002400F1" w:rsidDel="00845826">
        <w:rPr>
          <w:color w:val="000000"/>
          <w:sz w:val="20"/>
          <w:szCs w:val="20"/>
        </w:rPr>
        <w:t xml:space="preserve"> </w:t>
      </w:r>
      <w:r w:rsidR="005F5AA7" w:rsidRPr="005F5AA7">
        <w:rPr>
          <w:noProof/>
          <w:color w:val="000000"/>
          <w:sz w:val="20"/>
          <w:szCs w:val="20"/>
          <w:vertAlign w:val="superscript"/>
        </w:rPr>
        <w:t>14,15</w:t>
      </w:r>
      <w:r w:rsidRPr="002400F1">
        <w:rPr>
          <w:color w:val="000000"/>
          <w:sz w:val="20"/>
          <w:szCs w:val="20"/>
        </w:rPr>
        <w:t>, and remissions after CAR T-cell treatment was relatively brief because of poor CAR T cell persistence and/or leukemia cell resistance</w:t>
      </w:r>
      <w:r>
        <w:rPr>
          <w:color w:val="000000"/>
          <w:sz w:val="20"/>
          <w:szCs w:val="20"/>
        </w:rPr>
        <w:t xml:space="preserve"> </w:t>
      </w:r>
      <w:bookmarkEnd w:id="11"/>
      <w:r w:rsidR="005F5AA7" w:rsidRPr="005F5AA7">
        <w:rPr>
          <w:noProof/>
          <w:color w:val="000000"/>
          <w:sz w:val="20"/>
          <w:szCs w:val="20"/>
          <w:vertAlign w:val="superscript"/>
        </w:rPr>
        <w:t>16</w:t>
      </w:r>
      <w:r>
        <w:rPr>
          <w:color w:val="000000"/>
          <w:sz w:val="20"/>
          <w:szCs w:val="20"/>
        </w:rPr>
        <w:t>.</w:t>
      </w:r>
    </w:p>
    <w:p w:rsidR="00503AB2" w:rsidRPr="002400F1" w:rsidRDefault="00503AB2" w:rsidP="00503AB2">
      <w:pPr>
        <w:snapToGrid w:val="0"/>
        <w:ind w:firstLineChars="200" w:firstLine="400"/>
        <w:rPr>
          <w:rStyle w:val="hps"/>
          <w:color w:val="000000"/>
          <w:sz w:val="20"/>
          <w:szCs w:val="20"/>
        </w:rPr>
      </w:pPr>
      <w:r w:rsidRPr="002400F1">
        <w:rPr>
          <w:color w:val="000000"/>
          <w:sz w:val="20"/>
          <w:szCs w:val="20"/>
        </w:rPr>
        <w:t>I</w:t>
      </w:r>
      <w:r w:rsidRPr="002400F1">
        <w:rPr>
          <w:rStyle w:val="hps"/>
          <w:color w:val="000000"/>
          <w:sz w:val="20"/>
          <w:szCs w:val="20"/>
        </w:rPr>
        <w:t>nterferon</w:t>
      </w:r>
      <w:r w:rsidRPr="002400F1">
        <w:rPr>
          <w:color w:val="000000"/>
          <w:sz w:val="20"/>
          <w:szCs w:val="20"/>
        </w:rPr>
        <w:t>-</w:t>
      </w:r>
      <w:r w:rsidRPr="002400F1">
        <w:rPr>
          <w:rStyle w:val="hps"/>
          <w:color w:val="000000"/>
          <w:sz w:val="20"/>
          <w:szCs w:val="20"/>
        </w:rPr>
        <w:t>α (</w:t>
      </w:r>
      <w:proofErr w:type="spellStart"/>
      <w:r w:rsidRPr="002400F1">
        <w:rPr>
          <w:rStyle w:val="hps"/>
          <w:color w:val="000000"/>
          <w:sz w:val="20"/>
          <w:szCs w:val="20"/>
        </w:rPr>
        <w:t>IFN</w:t>
      </w:r>
      <w:proofErr w:type="spellEnd"/>
      <w:r w:rsidRPr="002400F1">
        <w:rPr>
          <w:rStyle w:val="hps"/>
          <w:color w:val="000000"/>
          <w:sz w:val="20"/>
          <w:szCs w:val="20"/>
        </w:rPr>
        <w:t>-α)</w:t>
      </w:r>
      <w:r w:rsidRPr="002400F1">
        <w:rPr>
          <w:color w:val="000000"/>
          <w:sz w:val="20"/>
          <w:szCs w:val="20"/>
        </w:rPr>
        <w:t xml:space="preserve"> had shown activity in acute leukemia through immune activation</w:t>
      </w:r>
      <w:r>
        <w:rPr>
          <w:color w:val="000000"/>
          <w:sz w:val="20"/>
          <w:szCs w:val="20"/>
        </w:rPr>
        <w:t xml:space="preserve"> </w:t>
      </w:r>
      <w:r w:rsidR="005F5AA7" w:rsidRPr="005F5AA7">
        <w:rPr>
          <w:noProof/>
          <w:color w:val="000000"/>
          <w:sz w:val="20"/>
          <w:szCs w:val="20"/>
          <w:vertAlign w:val="superscript"/>
        </w:rPr>
        <w:t>17</w:t>
      </w:r>
      <w:r>
        <w:rPr>
          <w:color w:val="000000"/>
          <w:sz w:val="20"/>
          <w:szCs w:val="20"/>
        </w:rPr>
        <w:t>,</w:t>
      </w:r>
      <w:r w:rsidRPr="002400F1">
        <w:rPr>
          <w:color w:val="000000"/>
          <w:sz w:val="20"/>
          <w:szCs w:val="20"/>
        </w:rPr>
        <w:t xml:space="preserve">  which rekindled the interest of using </w:t>
      </w:r>
      <w:r w:rsidRPr="002400F1">
        <w:rPr>
          <w:rStyle w:val="hps"/>
          <w:color w:val="000000"/>
          <w:sz w:val="20"/>
          <w:szCs w:val="20"/>
        </w:rPr>
        <w:t xml:space="preserve">IFN-α </w:t>
      </w:r>
      <w:r w:rsidRPr="002400F1">
        <w:rPr>
          <w:color w:val="000000"/>
          <w:sz w:val="20"/>
          <w:szCs w:val="20"/>
        </w:rPr>
        <w:t>as an immunotherapy for</w:t>
      </w:r>
      <w:r w:rsidRPr="002400F1">
        <w:rPr>
          <w:rStyle w:val="hps"/>
          <w:color w:val="000000"/>
          <w:sz w:val="20"/>
          <w:szCs w:val="20"/>
        </w:rPr>
        <w:t xml:space="preserve"> </w:t>
      </w:r>
      <w:r w:rsidRPr="002400F1">
        <w:rPr>
          <w:color w:val="000000"/>
          <w:sz w:val="20"/>
          <w:szCs w:val="20"/>
        </w:rPr>
        <w:t xml:space="preserve">patients receiving </w:t>
      </w:r>
      <w:proofErr w:type="spellStart"/>
      <w:r w:rsidRPr="002400F1">
        <w:rPr>
          <w:color w:val="000000"/>
          <w:sz w:val="20"/>
          <w:szCs w:val="20"/>
        </w:rPr>
        <w:t>allo-HSCT</w:t>
      </w:r>
      <w:proofErr w:type="spellEnd"/>
      <w:r>
        <w:rPr>
          <w:color w:val="000000"/>
          <w:sz w:val="20"/>
          <w:szCs w:val="20"/>
        </w:rPr>
        <w:t xml:space="preserve"> </w:t>
      </w:r>
      <w:r w:rsidR="005F5AA7" w:rsidRPr="005F5AA7">
        <w:rPr>
          <w:noProof/>
          <w:color w:val="000000"/>
          <w:sz w:val="20"/>
          <w:szCs w:val="20"/>
          <w:vertAlign w:val="superscript"/>
        </w:rPr>
        <w:t>18</w:t>
      </w:r>
      <w:r w:rsidRPr="002400F1">
        <w:rPr>
          <w:color w:val="000000"/>
          <w:sz w:val="20"/>
          <w:szCs w:val="20"/>
        </w:rPr>
        <w:t>.</w:t>
      </w:r>
      <w:r w:rsidRPr="002400F1">
        <w:rPr>
          <w:rStyle w:val="hps"/>
          <w:color w:val="000000"/>
          <w:sz w:val="20"/>
          <w:szCs w:val="20"/>
          <w:vertAlign w:val="superscript"/>
        </w:rPr>
        <w:t xml:space="preserve"> </w:t>
      </w:r>
      <w:r w:rsidRPr="002400F1">
        <w:rPr>
          <w:rStyle w:val="hps"/>
          <w:color w:val="000000"/>
          <w:sz w:val="20"/>
          <w:szCs w:val="20"/>
        </w:rPr>
        <w:t xml:space="preserve">Our pilot studies showed that IFN-α was a safe agent for </w:t>
      </w:r>
      <w:proofErr w:type="spellStart"/>
      <w:r w:rsidRPr="002400F1">
        <w:rPr>
          <w:rStyle w:val="hps"/>
          <w:color w:val="000000"/>
          <w:sz w:val="20"/>
          <w:szCs w:val="20"/>
        </w:rPr>
        <w:t>allo-HSCT</w:t>
      </w:r>
      <w:proofErr w:type="spellEnd"/>
      <w:r w:rsidRPr="002400F1">
        <w:rPr>
          <w:rStyle w:val="hps"/>
          <w:color w:val="000000"/>
          <w:sz w:val="20"/>
          <w:szCs w:val="20"/>
        </w:rPr>
        <w:t xml:space="preserve"> recipients</w:t>
      </w:r>
      <w:r>
        <w:rPr>
          <w:rStyle w:val="hps"/>
          <w:color w:val="000000"/>
          <w:sz w:val="20"/>
          <w:szCs w:val="20"/>
        </w:rPr>
        <w:t xml:space="preserve"> </w:t>
      </w:r>
      <w:r w:rsidR="005F5AA7" w:rsidRPr="005F5AA7">
        <w:rPr>
          <w:rStyle w:val="hps"/>
          <w:noProof/>
          <w:color w:val="000000"/>
          <w:sz w:val="20"/>
          <w:szCs w:val="20"/>
          <w:vertAlign w:val="superscript"/>
        </w:rPr>
        <w:t>19</w:t>
      </w:r>
      <w:r w:rsidRPr="002400F1">
        <w:rPr>
          <w:rStyle w:val="hps"/>
          <w:noProof/>
          <w:color w:val="000000"/>
          <w:sz w:val="20"/>
          <w:szCs w:val="20"/>
        </w:rPr>
        <w:t>.</w:t>
      </w:r>
      <w:r w:rsidRPr="002400F1">
        <w:rPr>
          <w:rStyle w:val="hps"/>
          <w:color w:val="000000"/>
          <w:sz w:val="20"/>
          <w:szCs w:val="20"/>
        </w:rPr>
        <w:t xml:space="preserve"> We</w:t>
      </w:r>
      <w:r w:rsidRPr="002400F1">
        <w:rPr>
          <w:color w:val="000000"/>
          <w:sz w:val="20"/>
          <w:szCs w:val="20"/>
        </w:rPr>
        <w:t xml:space="preserve"> further confirmed that preemptive</w:t>
      </w:r>
      <w:r w:rsidRPr="002400F1" w:rsidDel="00B65D1C">
        <w:rPr>
          <w:rStyle w:val="hps"/>
          <w:color w:val="000000"/>
          <w:sz w:val="20"/>
          <w:szCs w:val="20"/>
        </w:rPr>
        <w:t xml:space="preserve"> </w:t>
      </w:r>
      <w:r w:rsidRPr="002400F1">
        <w:rPr>
          <w:rStyle w:val="hps"/>
          <w:color w:val="000000"/>
          <w:sz w:val="20"/>
          <w:szCs w:val="20"/>
        </w:rPr>
        <w:t xml:space="preserve">IFN-α treatment can </w:t>
      </w:r>
      <w:r w:rsidRPr="002400F1">
        <w:rPr>
          <w:color w:val="000000"/>
          <w:sz w:val="20"/>
          <w:szCs w:val="20"/>
        </w:rPr>
        <w:t xml:space="preserve">clear the MRD effectively in </w:t>
      </w:r>
      <w:bookmarkStart w:id="14" w:name="OLE_LINK18"/>
      <w:bookmarkStart w:id="15" w:name="OLE_LINK19"/>
      <w:r w:rsidRPr="002400F1">
        <w:rPr>
          <w:color w:val="000000"/>
          <w:sz w:val="20"/>
          <w:szCs w:val="20"/>
        </w:rPr>
        <w:t xml:space="preserve">patients with acute leukemia </w:t>
      </w:r>
      <w:bookmarkEnd w:id="14"/>
      <w:bookmarkEnd w:id="15"/>
      <w:r w:rsidRPr="002400F1">
        <w:rPr>
          <w:color w:val="000000"/>
          <w:sz w:val="20"/>
          <w:szCs w:val="20"/>
        </w:rPr>
        <w:t xml:space="preserve">and high-risk myelodysplastic syndrome after </w:t>
      </w:r>
      <w:proofErr w:type="spellStart"/>
      <w:r w:rsidRPr="002400F1">
        <w:rPr>
          <w:color w:val="000000"/>
          <w:sz w:val="20"/>
          <w:szCs w:val="20"/>
        </w:rPr>
        <w:t>allo-HSCT</w:t>
      </w:r>
      <w:proofErr w:type="spellEnd"/>
      <w:r>
        <w:rPr>
          <w:color w:val="000000"/>
          <w:sz w:val="20"/>
          <w:szCs w:val="20"/>
        </w:rPr>
        <w:t xml:space="preserve"> </w:t>
      </w:r>
      <w:r w:rsidR="005F5AA7" w:rsidRPr="005F5AA7">
        <w:rPr>
          <w:noProof/>
          <w:color w:val="000000"/>
          <w:sz w:val="20"/>
          <w:szCs w:val="20"/>
          <w:vertAlign w:val="superscript"/>
        </w:rPr>
        <w:t>4,20-22</w:t>
      </w:r>
      <w:r w:rsidRPr="002400F1">
        <w:rPr>
          <w:noProof/>
          <w:color w:val="000000"/>
          <w:sz w:val="20"/>
          <w:szCs w:val="20"/>
        </w:rPr>
        <w:t>.</w:t>
      </w:r>
      <w:r w:rsidRPr="002400F1">
        <w:rPr>
          <w:color w:val="000000"/>
          <w:sz w:val="20"/>
          <w:szCs w:val="20"/>
        </w:rPr>
        <w:t xml:space="preserve"> </w:t>
      </w:r>
      <w:proofErr w:type="spellStart"/>
      <w:r w:rsidRPr="002400F1">
        <w:rPr>
          <w:color w:val="000000"/>
          <w:sz w:val="20"/>
          <w:szCs w:val="20"/>
        </w:rPr>
        <w:t>IFN</w:t>
      </w:r>
      <w:proofErr w:type="spellEnd"/>
      <w:r w:rsidRPr="002400F1">
        <w:rPr>
          <w:color w:val="000000"/>
          <w:sz w:val="20"/>
          <w:szCs w:val="20"/>
        </w:rPr>
        <w:t>-α c</w:t>
      </w:r>
      <w:r>
        <w:rPr>
          <w:color w:val="000000"/>
          <w:sz w:val="20"/>
          <w:szCs w:val="20"/>
        </w:rPr>
        <w:t>ould</w:t>
      </w:r>
      <w:r w:rsidRPr="002400F1">
        <w:rPr>
          <w:color w:val="000000"/>
          <w:sz w:val="20"/>
          <w:szCs w:val="20"/>
        </w:rPr>
        <w:t xml:space="preserve"> also be used as a salvage treatment for patients with unsatisfactory response to preemptive Chemo-DLI</w:t>
      </w:r>
      <w:r>
        <w:rPr>
          <w:color w:val="000000"/>
          <w:sz w:val="20"/>
          <w:szCs w:val="20"/>
        </w:rPr>
        <w:t xml:space="preserve"> </w:t>
      </w:r>
      <w:r w:rsidR="005F5AA7" w:rsidRPr="005F5AA7">
        <w:rPr>
          <w:noProof/>
          <w:color w:val="000000"/>
          <w:sz w:val="20"/>
          <w:szCs w:val="20"/>
          <w:vertAlign w:val="superscript"/>
        </w:rPr>
        <w:t>23</w:t>
      </w:r>
      <w:r w:rsidRPr="002400F1">
        <w:rPr>
          <w:noProof/>
          <w:color w:val="000000"/>
          <w:sz w:val="20"/>
          <w:szCs w:val="20"/>
        </w:rPr>
        <w:t>.</w:t>
      </w:r>
      <w:r w:rsidRPr="002400F1">
        <w:rPr>
          <w:color w:val="000000"/>
          <w:sz w:val="20"/>
          <w:szCs w:val="20"/>
        </w:rPr>
        <w:t xml:space="preserve"> However, </w:t>
      </w:r>
      <w:r>
        <w:rPr>
          <w:color w:val="000000"/>
          <w:sz w:val="20"/>
          <w:szCs w:val="20"/>
        </w:rPr>
        <w:t>the sample of</w:t>
      </w:r>
      <w:r w:rsidRPr="002400F1">
        <w:rPr>
          <w:color w:val="000000"/>
          <w:sz w:val="20"/>
          <w:szCs w:val="20"/>
        </w:rPr>
        <w:t xml:space="preserve"> ALL patients enrolled in th</w:t>
      </w:r>
      <w:r>
        <w:rPr>
          <w:color w:val="000000"/>
          <w:sz w:val="20"/>
          <w:szCs w:val="20"/>
        </w:rPr>
        <w:t>e</w:t>
      </w:r>
      <w:r w:rsidRPr="002400F1">
        <w:rPr>
          <w:color w:val="000000"/>
          <w:sz w:val="20"/>
          <w:szCs w:val="20"/>
        </w:rPr>
        <w:t>se studies</w:t>
      </w:r>
      <w:r>
        <w:rPr>
          <w:color w:val="000000"/>
          <w:sz w:val="20"/>
          <w:szCs w:val="20"/>
        </w:rPr>
        <w:t xml:space="preserve"> was relatively small, and no study had identified the efficacy of preemptive </w:t>
      </w:r>
      <w:r w:rsidRPr="00C038F1">
        <w:rPr>
          <w:color w:val="000000"/>
          <w:sz w:val="20"/>
          <w:szCs w:val="20"/>
        </w:rPr>
        <w:t>IFN-</w:t>
      </w:r>
      <w:r w:rsidRPr="00AE184E">
        <w:rPr>
          <w:color w:val="000000"/>
          <w:sz w:val="20"/>
          <w:szCs w:val="20"/>
        </w:rPr>
        <w:t>α</w:t>
      </w:r>
      <w:r w:rsidRPr="004D2DB1">
        <w:rPr>
          <w:color w:val="000000"/>
          <w:sz w:val="20"/>
          <w:szCs w:val="20"/>
        </w:rPr>
        <w:t xml:space="preserve"> </w:t>
      </w:r>
      <w:r>
        <w:rPr>
          <w:rFonts w:hint="eastAsia"/>
          <w:color w:val="000000"/>
          <w:sz w:val="20"/>
          <w:szCs w:val="20"/>
        </w:rPr>
        <w:t>trea</w:t>
      </w:r>
      <w:r>
        <w:rPr>
          <w:color w:val="000000"/>
          <w:sz w:val="20"/>
          <w:szCs w:val="20"/>
        </w:rPr>
        <w:t>tment</w:t>
      </w:r>
      <w:r w:rsidRPr="00857763">
        <w:rPr>
          <w:color w:val="000000"/>
          <w:sz w:val="20"/>
          <w:szCs w:val="20"/>
        </w:rPr>
        <w:t xml:space="preserve"> in a disease-specific</w:t>
      </w:r>
      <w:r>
        <w:rPr>
          <w:color w:val="000000"/>
          <w:sz w:val="20"/>
          <w:szCs w:val="20"/>
        </w:rPr>
        <w:t xml:space="preserve"> </w:t>
      </w:r>
      <w:r w:rsidRPr="00857763">
        <w:rPr>
          <w:color w:val="000000"/>
          <w:sz w:val="20"/>
          <w:szCs w:val="20"/>
        </w:rPr>
        <w:t xml:space="preserve">population of </w:t>
      </w:r>
      <w:r>
        <w:rPr>
          <w:color w:val="000000"/>
          <w:sz w:val="20"/>
          <w:szCs w:val="20"/>
        </w:rPr>
        <w:t>patients</w:t>
      </w:r>
      <w:r w:rsidRPr="00857763">
        <w:rPr>
          <w:color w:val="000000"/>
          <w:sz w:val="20"/>
          <w:szCs w:val="20"/>
        </w:rPr>
        <w:t xml:space="preserve"> with ALL</w:t>
      </w:r>
      <w:r>
        <w:rPr>
          <w:color w:val="000000"/>
          <w:sz w:val="20"/>
          <w:szCs w:val="20"/>
        </w:rPr>
        <w:t xml:space="preserve"> after </w:t>
      </w:r>
      <w:proofErr w:type="spellStart"/>
      <w:r>
        <w:rPr>
          <w:color w:val="000000"/>
          <w:sz w:val="20"/>
          <w:szCs w:val="20"/>
        </w:rPr>
        <w:t>allo-HSCT</w:t>
      </w:r>
      <w:proofErr w:type="spellEnd"/>
      <w:r w:rsidRPr="00857763">
        <w:rPr>
          <w:color w:val="000000"/>
          <w:sz w:val="20"/>
          <w:szCs w:val="20"/>
        </w:rPr>
        <w:t xml:space="preserve">. </w:t>
      </w:r>
      <w:r>
        <w:rPr>
          <w:color w:val="000000"/>
          <w:sz w:val="20"/>
          <w:szCs w:val="20"/>
        </w:rPr>
        <w:t xml:space="preserve">In addition, the </w:t>
      </w:r>
      <w:r w:rsidRPr="002A3B2B">
        <w:rPr>
          <w:color w:val="000000"/>
          <w:sz w:val="20"/>
          <w:szCs w:val="20"/>
        </w:rPr>
        <w:t xml:space="preserve">follow-ups of these </w:t>
      </w:r>
      <w:r>
        <w:rPr>
          <w:color w:val="000000"/>
          <w:sz w:val="20"/>
          <w:szCs w:val="20"/>
        </w:rPr>
        <w:t>patients</w:t>
      </w:r>
      <w:r w:rsidRPr="002A3B2B">
        <w:rPr>
          <w:color w:val="000000"/>
          <w:sz w:val="20"/>
          <w:szCs w:val="20"/>
        </w:rPr>
        <w:t xml:space="preserve"> were</w:t>
      </w:r>
      <w:r w:rsidRPr="002A3B2B">
        <w:rPr>
          <w:rFonts w:hint="eastAsia"/>
          <w:color w:val="000000"/>
          <w:sz w:val="20"/>
          <w:szCs w:val="20"/>
        </w:rPr>
        <w:t xml:space="preserve"> </w:t>
      </w:r>
      <w:r w:rsidRPr="002A3B2B">
        <w:rPr>
          <w:color w:val="000000"/>
          <w:sz w:val="20"/>
          <w:szCs w:val="20"/>
        </w:rPr>
        <w:t>short</w:t>
      </w:r>
      <w:r>
        <w:rPr>
          <w:color w:val="000000"/>
          <w:sz w:val="20"/>
          <w:szCs w:val="20"/>
        </w:rPr>
        <w:t>. Thus, t</w:t>
      </w:r>
      <w:r w:rsidRPr="002A3B2B">
        <w:rPr>
          <w:color w:val="000000"/>
          <w:sz w:val="20"/>
          <w:szCs w:val="20"/>
        </w:rPr>
        <w:t xml:space="preserve">he long-term efficacy of preemptive IFN-α treatment remains unknown in </w:t>
      </w:r>
      <w:r w:rsidRPr="002A3B2B">
        <w:rPr>
          <w:rFonts w:hint="eastAsia"/>
          <w:color w:val="000000"/>
          <w:sz w:val="20"/>
          <w:szCs w:val="20"/>
        </w:rPr>
        <w:t>A</w:t>
      </w:r>
      <w:r>
        <w:rPr>
          <w:color w:val="000000"/>
          <w:sz w:val="20"/>
          <w:szCs w:val="20"/>
        </w:rPr>
        <w:t>L</w:t>
      </w:r>
      <w:r w:rsidRPr="002A3B2B">
        <w:rPr>
          <w:rFonts w:hint="eastAsia"/>
          <w:color w:val="000000"/>
          <w:sz w:val="20"/>
          <w:szCs w:val="20"/>
        </w:rPr>
        <w:t xml:space="preserve">L patients following </w:t>
      </w:r>
      <w:proofErr w:type="spellStart"/>
      <w:r w:rsidRPr="002A3B2B">
        <w:rPr>
          <w:color w:val="000000"/>
          <w:sz w:val="20"/>
          <w:szCs w:val="20"/>
        </w:rPr>
        <w:t>allo-HSCT</w:t>
      </w:r>
      <w:proofErr w:type="spellEnd"/>
      <w:r w:rsidRPr="002400F1">
        <w:rPr>
          <w:color w:val="000000"/>
          <w:sz w:val="20"/>
          <w:szCs w:val="20"/>
        </w:rPr>
        <w:t xml:space="preserve">.  </w:t>
      </w:r>
      <w:r w:rsidRPr="002400F1">
        <w:rPr>
          <w:rStyle w:val="hps"/>
          <w:color w:val="000000"/>
          <w:sz w:val="20"/>
          <w:szCs w:val="20"/>
        </w:rPr>
        <w:t xml:space="preserve"> </w:t>
      </w:r>
    </w:p>
    <w:p w:rsidR="00503AB2" w:rsidRDefault="00503AB2" w:rsidP="00503AB2">
      <w:pPr>
        <w:rPr>
          <w:color w:val="000000"/>
          <w:sz w:val="20"/>
          <w:szCs w:val="20"/>
        </w:rPr>
      </w:pPr>
      <w:r w:rsidRPr="002400F1">
        <w:rPr>
          <w:color w:val="000000"/>
          <w:sz w:val="20"/>
          <w:szCs w:val="20"/>
        </w:rPr>
        <w:t xml:space="preserve">Therefore, we aimed to identify the safety and </w:t>
      </w:r>
      <w:r>
        <w:rPr>
          <w:rFonts w:hint="eastAsia"/>
          <w:color w:val="000000"/>
          <w:sz w:val="20"/>
          <w:szCs w:val="20"/>
        </w:rPr>
        <w:t>long-term</w:t>
      </w:r>
      <w:r>
        <w:rPr>
          <w:color w:val="000000"/>
          <w:sz w:val="20"/>
          <w:szCs w:val="20"/>
        </w:rPr>
        <w:t xml:space="preserve"> </w:t>
      </w:r>
      <w:r w:rsidRPr="002400F1">
        <w:rPr>
          <w:color w:val="000000"/>
          <w:sz w:val="20"/>
          <w:szCs w:val="20"/>
        </w:rPr>
        <w:t xml:space="preserve">efficacy of preemptive IFN-α treatment in ALL patients following </w:t>
      </w:r>
      <w:proofErr w:type="spellStart"/>
      <w:r w:rsidRPr="002400F1">
        <w:rPr>
          <w:color w:val="000000"/>
          <w:sz w:val="20"/>
          <w:szCs w:val="20"/>
        </w:rPr>
        <w:t>allo-HSCT</w:t>
      </w:r>
      <w:proofErr w:type="spellEnd"/>
      <w:r w:rsidRPr="002400F1">
        <w:rPr>
          <w:color w:val="000000"/>
          <w:sz w:val="20"/>
          <w:szCs w:val="20"/>
        </w:rPr>
        <w:t>.</w:t>
      </w:r>
    </w:p>
    <w:p w:rsidR="00503AB2" w:rsidRDefault="00503AB2" w:rsidP="00503AB2">
      <w:pPr>
        <w:rPr>
          <w:b/>
          <w:bCs/>
          <w:szCs w:val="21"/>
        </w:rPr>
      </w:pPr>
      <w:r>
        <w:rPr>
          <w:rFonts w:hint="eastAsia"/>
          <w:b/>
          <w:bCs/>
          <w:szCs w:val="21"/>
        </w:rPr>
        <w:t>R</w:t>
      </w:r>
      <w:r>
        <w:rPr>
          <w:b/>
          <w:bCs/>
          <w:szCs w:val="21"/>
        </w:rPr>
        <w:t>eference</w:t>
      </w:r>
    </w:p>
    <w:p w:rsidR="00C60278" w:rsidRDefault="00C60278" w:rsidP="00C60278">
      <w:pPr>
        <w:snapToGrid w:val="0"/>
        <w:ind w:firstLine="397"/>
        <w:rPr>
          <w:szCs w:val="21"/>
        </w:rPr>
      </w:pPr>
    </w:p>
    <w:p w:rsidR="005F5AA7" w:rsidRPr="005F5AA7" w:rsidRDefault="005F5AA7" w:rsidP="005F5AA7">
      <w:pPr>
        <w:pStyle w:val="EndNoteBibliography"/>
        <w:ind w:left="720" w:hanging="720"/>
        <w:rPr>
          <w:noProof/>
        </w:rPr>
      </w:pPr>
      <w:bookmarkStart w:id="16" w:name="_GoBack"/>
      <w:bookmarkEnd w:id="16"/>
      <w:r w:rsidRPr="005F5AA7">
        <w:rPr>
          <w:noProof/>
        </w:rPr>
        <w:t>1</w:t>
      </w:r>
      <w:r w:rsidRPr="005F5AA7">
        <w:rPr>
          <w:noProof/>
        </w:rPr>
        <w:tab/>
        <w:t>Xu, L.</w:t>
      </w:r>
      <w:r w:rsidRPr="005F5AA7">
        <w:rPr>
          <w:i/>
          <w:noProof/>
        </w:rPr>
        <w:t xml:space="preserve"> et al.</w:t>
      </w:r>
      <w:r w:rsidRPr="005F5AA7">
        <w:rPr>
          <w:noProof/>
        </w:rPr>
        <w:t xml:space="preserve"> The consensus on indications, conditioning regimen, and donor selection of allogeneic hematopoietic cell transplantation for hematological diseases in China-recommendations from the Chinese Society of Hematology. </w:t>
      </w:r>
      <w:r w:rsidRPr="005F5AA7">
        <w:rPr>
          <w:i/>
          <w:noProof/>
        </w:rPr>
        <w:t>J Hematol Oncol</w:t>
      </w:r>
      <w:r w:rsidRPr="005F5AA7">
        <w:rPr>
          <w:noProof/>
        </w:rPr>
        <w:t xml:space="preserve"> </w:t>
      </w:r>
      <w:r w:rsidRPr="005F5AA7">
        <w:rPr>
          <w:b/>
          <w:noProof/>
        </w:rPr>
        <w:t>11</w:t>
      </w:r>
      <w:r w:rsidRPr="005F5AA7">
        <w:rPr>
          <w:noProof/>
        </w:rPr>
        <w:t>, 33-33,(2018).</w:t>
      </w:r>
    </w:p>
    <w:p w:rsidR="005F5AA7" w:rsidRPr="005F5AA7" w:rsidRDefault="005F5AA7" w:rsidP="005F5AA7">
      <w:pPr>
        <w:pStyle w:val="EndNoteBibliography"/>
        <w:ind w:left="720" w:hanging="720"/>
        <w:rPr>
          <w:noProof/>
        </w:rPr>
      </w:pPr>
      <w:r w:rsidRPr="005F5AA7">
        <w:rPr>
          <w:noProof/>
        </w:rPr>
        <w:t>2</w:t>
      </w:r>
      <w:r w:rsidRPr="005F5AA7">
        <w:rPr>
          <w:noProof/>
        </w:rPr>
        <w:tab/>
        <w:t>Yan, C. H.</w:t>
      </w:r>
      <w:r w:rsidRPr="005F5AA7">
        <w:rPr>
          <w:i/>
          <w:noProof/>
        </w:rPr>
        <w:t xml:space="preserve"> et al.</w:t>
      </w:r>
      <w:r w:rsidRPr="005F5AA7">
        <w:rPr>
          <w:noProof/>
        </w:rPr>
        <w:t xml:space="preserve"> Causes of mortality after haploidentical hematopoietic stem cell transplantation and the comparison with HLA-identical sibling hematopoietic stem cell transplantation. </w:t>
      </w:r>
      <w:r w:rsidRPr="005F5AA7">
        <w:rPr>
          <w:i/>
          <w:noProof/>
        </w:rPr>
        <w:t>Bone Marrow Transplant</w:t>
      </w:r>
      <w:r w:rsidRPr="005F5AA7">
        <w:rPr>
          <w:noProof/>
        </w:rPr>
        <w:t xml:space="preserve"> </w:t>
      </w:r>
      <w:r w:rsidRPr="005F5AA7">
        <w:rPr>
          <w:b/>
          <w:noProof/>
        </w:rPr>
        <w:t>51</w:t>
      </w:r>
      <w:r w:rsidRPr="005F5AA7">
        <w:rPr>
          <w:noProof/>
        </w:rPr>
        <w:t>, 391-397,(2016).</w:t>
      </w:r>
    </w:p>
    <w:p w:rsidR="005F5AA7" w:rsidRPr="005F5AA7" w:rsidRDefault="005F5AA7" w:rsidP="005F5AA7">
      <w:pPr>
        <w:pStyle w:val="EndNoteBibliography"/>
        <w:ind w:left="720" w:hanging="720"/>
        <w:rPr>
          <w:noProof/>
        </w:rPr>
      </w:pPr>
      <w:r w:rsidRPr="005F5AA7">
        <w:rPr>
          <w:noProof/>
        </w:rPr>
        <w:lastRenderedPageBreak/>
        <w:t>3</w:t>
      </w:r>
      <w:r w:rsidRPr="005F5AA7">
        <w:rPr>
          <w:noProof/>
        </w:rPr>
        <w:tab/>
        <w:t xml:space="preserve">Campana, D. &amp; Pui, C. H. Minimal residual disease-guided therapy in childhood acute lymphoblastic leukemia. </w:t>
      </w:r>
      <w:r w:rsidRPr="005F5AA7">
        <w:rPr>
          <w:i/>
          <w:noProof/>
        </w:rPr>
        <w:t>Blood</w:t>
      </w:r>
      <w:r w:rsidRPr="005F5AA7">
        <w:rPr>
          <w:noProof/>
        </w:rPr>
        <w:t xml:space="preserve"> </w:t>
      </w:r>
      <w:r w:rsidRPr="005F5AA7">
        <w:rPr>
          <w:b/>
          <w:noProof/>
        </w:rPr>
        <w:t>129</w:t>
      </w:r>
      <w:r w:rsidRPr="005F5AA7">
        <w:rPr>
          <w:noProof/>
        </w:rPr>
        <w:t>, 1913-1918,(2017).</w:t>
      </w:r>
    </w:p>
    <w:p w:rsidR="005F5AA7" w:rsidRPr="005F5AA7" w:rsidRDefault="005F5AA7" w:rsidP="005F5AA7">
      <w:pPr>
        <w:pStyle w:val="EndNoteBibliography"/>
        <w:ind w:left="720" w:hanging="720"/>
        <w:rPr>
          <w:noProof/>
        </w:rPr>
      </w:pPr>
      <w:r w:rsidRPr="005F5AA7">
        <w:rPr>
          <w:noProof/>
        </w:rPr>
        <w:t>4</w:t>
      </w:r>
      <w:r w:rsidRPr="005F5AA7">
        <w:rPr>
          <w:noProof/>
        </w:rPr>
        <w:tab/>
        <w:t>Mo, X. D.</w:t>
      </w:r>
      <w:r w:rsidRPr="005F5AA7">
        <w:rPr>
          <w:i/>
          <w:noProof/>
        </w:rPr>
        <w:t xml:space="preserve"> et al.</w:t>
      </w:r>
      <w:r w:rsidRPr="005F5AA7">
        <w:rPr>
          <w:noProof/>
        </w:rPr>
        <w:t xml:space="preserve"> IFN-alpha Is Effective for Treatment of Minimal Residual Disease in Patients with Acute Leukemia after Allogeneic Hematopoietic Stem Cell Transplantation: Results of a Registry Study. </w:t>
      </w:r>
      <w:r w:rsidRPr="005F5AA7">
        <w:rPr>
          <w:i/>
          <w:noProof/>
        </w:rPr>
        <w:t>Biol Blood Marrow Transplant</w:t>
      </w:r>
      <w:r w:rsidRPr="005F5AA7">
        <w:rPr>
          <w:noProof/>
        </w:rPr>
        <w:t xml:space="preserve"> </w:t>
      </w:r>
      <w:r w:rsidRPr="005F5AA7">
        <w:rPr>
          <w:b/>
          <w:noProof/>
        </w:rPr>
        <w:t>23</w:t>
      </w:r>
      <w:r w:rsidRPr="005F5AA7">
        <w:rPr>
          <w:noProof/>
        </w:rPr>
        <w:t>, 1303-1310,(2017).</w:t>
      </w:r>
    </w:p>
    <w:p w:rsidR="005F5AA7" w:rsidRPr="005F5AA7" w:rsidRDefault="005F5AA7" w:rsidP="005F5AA7">
      <w:pPr>
        <w:pStyle w:val="EndNoteBibliography"/>
        <w:ind w:left="720" w:hanging="720"/>
        <w:rPr>
          <w:noProof/>
        </w:rPr>
      </w:pPr>
      <w:r w:rsidRPr="005F5AA7">
        <w:rPr>
          <w:noProof/>
        </w:rPr>
        <w:t>5</w:t>
      </w:r>
      <w:r w:rsidRPr="005F5AA7">
        <w:rPr>
          <w:noProof/>
        </w:rPr>
        <w:tab/>
        <w:t>Wang, Y.</w:t>
      </w:r>
      <w:r w:rsidRPr="005F5AA7">
        <w:rPr>
          <w:i/>
          <w:noProof/>
        </w:rPr>
        <w:t xml:space="preserve"> et al.</w:t>
      </w:r>
      <w:r w:rsidRPr="005F5AA7">
        <w:rPr>
          <w:noProof/>
        </w:rPr>
        <w:t xml:space="preserve"> The consensus on the monitoring, treatment, and prevention of leukemia relapse after allogeneic hematopoietic stem cell transplantation in China. </w:t>
      </w:r>
      <w:r w:rsidRPr="005F5AA7">
        <w:rPr>
          <w:i/>
          <w:noProof/>
        </w:rPr>
        <w:t>Cancer Lett</w:t>
      </w:r>
      <w:r w:rsidRPr="005F5AA7">
        <w:rPr>
          <w:noProof/>
        </w:rPr>
        <w:t xml:space="preserve"> </w:t>
      </w:r>
      <w:r w:rsidRPr="005F5AA7">
        <w:rPr>
          <w:b/>
          <w:noProof/>
        </w:rPr>
        <w:t>438</w:t>
      </w:r>
      <w:r w:rsidRPr="005F5AA7">
        <w:rPr>
          <w:noProof/>
        </w:rPr>
        <w:t>, 63-75,(2018).</w:t>
      </w:r>
    </w:p>
    <w:p w:rsidR="005F5AA7" w:rsidRPr="005F5AA7" w:rsidRDefault="005F5AA7" w:rsidP="005F5AA7">
      <w:pPr>
        <w:pStyle w:val="EndNoteBibliography"/>
        <w:ind w:left="720" w:hanging="720"/>
        <w:rPr>
          <w:noProof/>
        </w:rPr>
      </w:pPr>
      <w:r w:rsidRPr="005F5AA7">
        <w:rPr>
          <w:noProof/>
        </w:rPr>
        <w:t>6</w:t>
      </w:r>
      <w:r w:rsidRPr="005F5AA7">
        <w:rPr>
          <w:noProof/>
        </w:rPr>
        <w:tab/>
        <w:t>Dominietto, A.</w:t>
      </w:r>
      <w:r w:rsidRPr="005F5AA7">
        <w:rPr>
          <w:i/>
          <w:noProof/>
        </w:rPr>
        <w:t xml:space="preserve"> et al.</w:t>
      </w:r>
      <w:r w:rsidRPr="005F5AA7">
        <w:rPr>
          <w:noProof/>
        </w:rPr>
        <w:t xml:space="preserve"> Donor lymphocyte infusions for the treatment of minimal residual disease in acute leukemia. </w:t>
      </w:r>
      <w:r w:rsidRPr="005F5AA7">
        <w:rPr>
          <w:i/>
          <w:noProof/>
        </w:rPr>
        <w:t>Blood</w:t>
      </w:r>
      <w:r w:rsidRPr="005F5AA7">
        <w:rPr>
          <w:noProof/>
        </w:rPr>
        <w:t xml:space="preserve"> </w:t>
      </w:r>
      <w:r w:rsidRPr="005F5AA7">
        <w:rPr>
          <w:b/>
          <w:noProof/>
        </w:rPr>
        <w:t>109</w:t>
      </w:r>
      <w:r w:rsidRPr="005F5AA7">
        <w:rPr>
          <w:noProof/>
        </w:rPr>
        <w:t>, 5063-5064,(2007).</w:t>
      </w:r>
    </w:p>
    <w:p w:rsidR="005F5AA7" w:rsidRPr="005F5AA7" w:rsidRDefault="005F5AA7" w:rsidP="005F5AA7">
      <w:pPr>
        <w:pStyle w:val="EndNoteBibliography"/>
        <w:ind w:left="720" w:hanging="720"/>
        <w:rPr>
          <w:noProof/>
        </w:rPr>
      </w:pPr>
      <w:r w:rsidRPr="005F5AA7">
        <w:rPr>
          <w:noProof/>
        </w:rPr>
        <w:t>7</w:t>
      </w:r>
      <w:r w:rsidRPr="005F5AA7">
        <w:rPr>
          <w:noProof/>
        </w:rPr>
        <w:tab/>
        <w:t>Yan, C. H.</w:t>
      </w:r>
      <w:r w:rsidRPr="005F5AA7">
        <w:rPr>
          <w:i/>
          <w:noProof/>
        </w:rPr>
        <w:t xml:space="preserve"> et al.</w:t>
      </w:r>
      <w:r w:rsidRPr="005F5AA7">
        <w:rPr>
          <w:noProof/>
        </w:rPr>
        <w:t xml:space="preserve"> Risk stratification-directed donor lymphocyte infusion could reduce relapse of standard-risk acute leukemia patients after allogeneic hematopoietic stem cell transplantation. </w:t>
      </w:r>
      <w:r w:rsidRPr="005F5AA7">
        <w:rPr>
          <w:i/>
          <w:noProof/>
        </w:rPr>
        <w:t>Blood</w:t>
      </w:r>
      <w:r w:rsidRPr="005F5AA7">
        <w:rPr>
          <w:noProof/>
        </w:rPr>
        <w:t xml:space="preserve"> </w:t>
      </w:r>
      <w:r w:rsidRPr="005F5AA7">
        <w:rPr>
          <w:b/>
          <w:noProof/>
        </w:rPr>
        <w:t>119</w:t>
      </w:r>
      <w:r w:rsidRPr="005F5AA7">
        <w:rPr>
          <w:noProof/>
        </w:rPr>
        <w:t>, 3256-3262,(2012).</w:t>
      </w:r>
    </w:p>
    <w:p w:rsidR="005F5AA7" w:rsidRPr="005F5AA7" w:rsidRDefault="005F5AA7" w:rsidP="005F5AA7">
      <w:pPr>
        <w:pStyle w:val="EndNoteBibliography"/>
        <w:ind w:left="720" w:hanging="720"/>
        <w:rPr>
          <w:noProof/>
        </w:rPr>
      </w:pPr>
      <w:r w:rsidRPr="005F5AA7">
        <w:rPr>
          <w:noProof/>
        </w:rPr>
        <w:t>8</w:t>
      </w:r>
      <w:r w:rsidRPr="005F5AA7">
        <w:rPr>
          <w:noProof/>
        </w:rPr>
        <w:tab/>
        <w:t>Orti, G.</w:t>
      </w:r>
      <w:r w:rsidRPr="005F5AA7">
        <w:rPr>
          <w:i/>
          <w:noProof/>
        </w:rPr>
        <w:t xml:space="preserve"> et al.</w:t>
      </w:r>
      <w:r w:rsidRPr="005F5AA7">
        <w:rPr>
          <w:noProof/>
        </w:rPr>
        <w:t xml:space="preserve"> Donor lymphocyte infusions in AML and MDS: Enhancing the graft-versus-leukemia effect. </w:t>
      </w:r>
      <w:r w:rsidRPr="005F5AA7">
        <w:rPr>
          <w:i/>
          <w:noProof/>
        </w:rPr>
        <w:t>Exp Hematol</w:t>
      </w:r>
      <w:r w:rsidRPr="005F5AA7">
        <w:rPr>
          <w:noProof/>
        </w:rPr>
        <w:t xml:space="preserve"> </w:t>
      </w:r>
      <w:r w:rsidRPr="005F5AA7">
        <w:rPr>
          <w:b/>
          <w:noProof/>
        </w:rPr>
        <w:t>48</w:t>
      </w:r>
      <w:r w:rsidRPr="005F5AA7">
        <w:rPr>
          <w:noProof/>
        </w:rPr>
        <w:t>, 1-11,(2017).</w:t>
      </w:r>
    </w:p>
    <w:p w:rsidR="005F5AA7" w:rsidRPr="005F5AA7" w:rsidRDefault="005F5AA7" w:rsidP="005F5AA7">
      <w:pPr>
        <w:pStyle w:val="EndNoteBibliography"/>
        <w:ind w:left="720" w:hanging="720"/>
        <w:rPr>
          <w:noProof/>
        </w:rPr>
      </w:pPr>
      <w:r w:rsidRPr="005F5AA7">
        <w:rPr>
          <w:noProof/>
        </w:rPr>
        <w:t>9</w:t>
      </w:r>
      <w:r w:rsidRPr="005F5AA7">
        <w:rPr>
          <w:noProof/>
        </w:rPr>
        <w:tab/>
        <w:t>Chen, H.</w:t>
      </w:r>
      <w:r w:rsidRPr="005F5AA7">
        <w:rPr>
          <w:i/>
          <w:noProof/>
        </w:rPr>
        <w:t xml:space="preserve"> et al.</w:t>
      </w:r>
      <w:r w:rsidRPr="005F5AA7">
        <w:rPr>
          <w:noProof/>
        </w:rPr>
        <w:t xml:space="preserve"> Administration of imatinib after allogeneic hematopoietic stem cell transplantation may improve disease-free survival for patients with Philadelphia chromosome-positive acute lymphobla stic leukemia. </w:t>
      </w:r>
      <w:r w:rsidRPr="005F5AA7">
        <w:rPr>
          <w:i/>
          <w:noProof/>
        </w:rPr>
        <w:t>J Hematol Oncol</w:t>
      </w:r>
      <w:r w:rsidRPr="005F5AA7">
        <w:rPr>
          <w:noProof/>
        </w:rPr>
        <w:t xml:space="preserve"> </w:t>
      </w:r>
      <w:r w:rsidRPr="005F5AA7">
        <w:rPr>
          <w:b/>
          <w:noProof/>
        </w:rPr>
        <w:t>5</w:t>
      </w:r>
      <w:r w:rsidRPr="005F5AA7">
        <w:rPr>
          <w:noProof/>
        </w:rPr>
        <w:t>, 29,(2012).</w:t>
      </w:r>
    </w:p>
    <w:p w:rsidR="005F5AA7" w:rsidRPr="005F5AA7" w:rsidRDefault="005F5AA7" w:rsidP="005F5AA7">
      <w:pPr>
        <w:pStyle w:val="EndNoteBibliography"/>
        <w:ind w:left="720" w:hanging="720"/>
        <w:rPr>
          <w:noProof/>
        </w:rPr>
      </w:pPr>
      <w:r w:rsidRPr="005F5AA7">
        <w:rPr>
          <w:noProof/>
        </w:rPr>
        <w:t>10</w:t>
      </w:r>
      <w:r w:rsidRPr="005F5AA7">
        <w:rPr>
          <w:noProof/>
        </w:rPr>
        <w:tab/>
        <w:t>Wassmann, B.</w:t>
      </w:r>
      <w:r w:rsidRPr="005F5AA7">
        <w:rPr>
          <w:i/>
          <w:noProof/>
        </w:rPr>
        <w:t xml:space="preserve"> et al.</w:t>
      </w:r>
      <w:r w:rsidRPr="005F5AA7">
        <w:rPr>
          <w:noProof/>
        </w:rPr>
        <w:t xml:space="preserve"> Early molecular response to posttransplantation imatinib determines outcome in MRD+ Philadelphia-positive acute lymphoblastic leukemia (Ph+ ALL). </w:t>
      </w:r>
      <w:r w:rsidRPr="005F5AA7">
        <w:rPr>
          <w:i/>
          <w:noProof/>
        </w:rPr>
        <w:t>Blood</w:t>
      </w:r>
      <w:r w:rsidRPr="005F5AA7">
        <w:rPr>
          <w:noProof/>
        </w:rPr>
        <w:t xml:space="preserve"> </w:t>
      </w:r>
      <w:r w:rsidRPr="005F5AA7">
        <w:rPr>
          <w:b/>
          <w:noProof/>
        </w:rPr>
        <w:t>106</w:t>
      </w:r>
      <w:r w:rsidRPr="005F5AA7">
        <w:rPr>
          <w:noProof/>
        </w:rPr>
        <w:t>, 458-463,(2005).</w:t>
      </w:r>
    </w:p>
    <w:p w:rsidR="005F5AA7" w:rsidRPr="005F5AA7" w:rsidRDefault="005F5AA7" w:rsidP="005F5AA7">
      <w:pPr>
        <w:pStyle w:val="EndNoteBibliography"/>
        <w:ind w:left="720" w:hanging="720"/>
        <w:rPr>
          <w:noProof/>
        </w:rPr>
      </w:pPr>
      <w:r w:rsidRPr="005F5AA7">
        <w:rPr>
          <w:noProof/>
        </w:rPr>
        <w:t>11</w:t>
      </w:r>
      <w:r w:rsidRPr="005F5AA7">
        <w:rPr>
          <w:noProof/>
        </w:rPr>
        <w:tab/>
        <w:t>Cheng, Y.</w:t>
      </w:r>
      <w:r w:rsidRPr="005F5AA7">
        <w:rPr>
          <w:i/>
          <w:noProof/>
        </w:rPr>
        <w:t xml:space="preserve"> et al.</w:t>
      </w:r>
      <w:r w:rsidRPr="005F5AA7">
        <w:rPr>
          <w:noProof/>
        </w:rPr>
        <w:t xml:space="preserve"> Donor-Derived CD19-Targeted T Cell Infusion Eliminates B Cell Acute Lymphoblastic Leukemia Minimal Residual Disease with No Response to Donor Lymphocytes after Allogeneic Hematopoietic Stem Cell Transplantation. </w:t>
      </w:r>
      <w:r w:rsidRPr="005F5AA7">
        <w:rPr>
          <w:i/>
          <w:noProof/>
        </w:rPr>
        <w:t>Engineering</w:t>
      </w:r>
      <w:r w:rsidRPr="005F5AA7">
        <w:rPr>
          <w:noProof/>
        </w:rPr>
        <w:t xml:space="preserve"> </w:t>
      </w:r>
      <w:r w:rsidRPr="005F5AA7">
        <w:rPr>
          <w:b/>
          <w:noProof/>
        </w:rPr>
        <w:t>5</w:t>
      </w:r>
      <w:r w:rsidRPr="005F5AA7">
        <w:rPr>
          <w:noProof/>
        </w:rPr>
        <w:t>, 150-155,(2019).</w:t>
      </w:r>
    </w:p>
    <w:p w:rsidR="005F5AA7" w:rsidRPr="005F5AA7" w:rsidRDefault="005F5AA7" w:rsidP="005F5AA7">
      <w:pPr>
        <w:pStyle w:val="EndNoteBibliography"/>
        <w:ind w:left="720" w:hanging="720"/>
        <w:rPr>
          <w:noProof/>
        </w:rPr>
      </w:pPr>
      <w:r w:rsidRPr="005F5AA7">
        <w:rPr>
          <w:noProof/>
        </w:rPr>
        <w:t>12</w:t>
      </w:r>
      <w:r w:rsidRPr="005F5AA7">
        <w:rPr>
          <w:noProof/>
        </w:rPr>
        <w:tab/>
        <w:t>Ogba, N.</w:t>
      </w:r>
      <w:r w:rsidRPr="005F5AA7">
        <w:rPr>
          <w:i/>
          <w:noProof/>
        </w:rPr>
        <w:t xml:space="preserve"> et al.</w:t>
      </w:r>
      <w:r w:rsidRPr="005F5AA7">
        <w:rPr>
          <w:noProof/>
        </w:rPr>
        <w:t xml:space="preserve"> Chimeric Antigen Receptor T-Cell Therapy. </w:t>
      </w:r>
      <w:r w:rsidRPr="005F5AA7">
        <w:rPr>
          <w:i/>
          <w:noProof/>
        </w:rPr>
        <w:t>J Natl Compr Canc Netw</w:t>
      </w:r>
      <w:r w:rsidRPr="005F5AA7">
        <w:rPr>
          <w:noProof/>
        </w:rPr>
        <w:t xml:space="preserve"> </w:t>
      </w:r>
      <w:r w:rsidRPr="005F5AA7">
        <w:rPr>
          <w:b/>
          <w:noProof/>
        </w:rPr>
        <w:t>16</w:t>
      </w:r>
      <w:r w:rsidRPr="005F5AA7">
        <w:rPr>
          <w:noProof/>
        </w:rPr>
        <w:t>, 1092-1106,(2018).</w:t>
      </w:r>
    </w:p>
    <w:p w:rsidR="005F5AA7" w:rsidRPr="005F5AA7" w:rsidRDefault="005F5AA7" w:rsidP="005F5AA7">
      <w:pPr>
        <w:pStyle w:val="EndNoteBibliography"/>
        <w:ind w:left="720" w:hanging="720"/>
        <w:rPr>
          <w:noProof/>
        </w:rPr>
      </w:pPr>
      <w:r w:rsidRPr="005F5AA7">
        <w:rPr>
          <w:noProof/>
        </w:rPr>
        <w:t>13</w:t>
      </w:r>
      <w:r w:rsidRPr="005F5AA7">
        <w:rPr>
          <w:noProof/>
        </w:rPr>
        <w:tab/>
        <w:t>Park, J. H.</w:t>
      </w:r>
      <w:r w:rsidRPr="005F5AA7">
        <w:rPr>
          <w:i/>
          <w:noProof/>
        </w:rPr>
        <w:t xml:space="preserve"> et al.</w:t>
      </w:r>
      <w:r w:rsidRPr="005F5AA7">
        <w:rPr>
          <w:noProof/>
        </w:rPr>
        <w:t xml:space="preserve"> Long-Term Follow-up of CD19 CAR Therapy in Acute Lymphoblastic Leukemia. </w:t>
      </w:r>
      <w:r w:rsidRPr="005F5AA7">
        <w:rPr>
          <w:i/>
          <w:noProof/>
        </w:rPr>
        <w:t>N Engl J Med</w:t>
      </w:r>
      <w:r w:rsidRPr="005F5AA7">
        <w:rPr>
          <w:noProof/>
        </w:rPr>
        <w:t xml:space="preserve"> </w:t>
      </w:r>
      <w:r w:rsidRPr="005F5AA7">
        <w:rPr>
          <w:b/>
          <w:noProof/>
        </w:rPr>
        <w:t>378</w:t>
      </w:r>
      <w:r w:rsidRPr="005F5AA7">
        <w:rPr>
          <w:noProof/>
        </w:rPr>
        <w:t>, 449-459,(2018).</w:t>
      </w:r>
    </w:p>
    <w:p w:rsidR="005F5AA7" w:rsidRPr="005F5AA7" w:rsidRDefault="005F5AA7" w:rsidP="005F5AA7">
      <w:pPr>
        <w:pStyle w:val="EndNoteBibliography"/>
        <w:ind w:left="720" w:hanging="720"/>
        <w:rPr>
          <w:noProof/>
        </w:rPr>
      </w:pPr>
      <w:r w:rsidRPr="005F5AA7">
        <w:rPr>
          <w:noProof/>
        </w:rPr>
        <w:t>14</w:t>
      </w:r>
      <w:r w:rsidRPr="005F5AA7">
        <w:rPr>
          <w:noProof/>
        </w:rPr>
        <w:tab/>
        <w:t>Chen, H.</w:t>
      </w:r>
      <w:r w:rsidRPr="005F5AA7">
        <w:rPr>
          <w:i/>
          <w:noProof/>
        </w:rPr>
        <w:t xml:space="preserve"> et al.</w:t>
      </w:r>
      <w:r w:rsidRPr="005F5AA7">
        <w:rPr>
          <w:noProof/>
        </w:rPr>
        <w:t xml:space="preserve"> Management of cytokine release syndrome related to CAR-T cell therapy. </w:t>
      </w:r>
      <w:r w:rsidRPr="005F5AA7">
        <w:rPr>
          <w:i/>
          <w:noProof/>
        </w:rPr>
        <w:t>Front Med</w:t>
      </w:r>
      <w:r w:rsidRPr="005F5AA7">
        <w:rPr>
          <w:noProof/>
        </w:rPr>
        <w:t xml:space="preserve"> </w:t>
      </w:r>
      <w:r w:rsidRPr="005F5AA7">
        <w:rPr>
          <w:b/>
          <w:noProof/>
        </w:rPr>
        <w:t>13</w:t>
      </w:r>
      <w:r w:rsidRPr="005F5AA7">
        <w:rPr>
          <w:noProof/>
        </w:rPr>
        <w:t>, 610-617,(2019).</w:t>
      </w:r>
    </w:p>
    <w:p w:rsidR="005F5AA7" w:rsidRPr="005F5AA7" w:rsidRDefault="005F5AA7" w:rsidP="005F5AA7">
      <w:pPr>
        <w:pStyle w:val="EndNoteBibliography"/>
        <w:ind w:left="720" w:hanging="720"/>
        <w:rPr>
          <w:noProof/>
        </w:rPr>
      </w:pPr>
      <w:r w:rsidRPr="005F5AA7">
        <w:rPr>
          <w:noProof/>
        </w:rPr>
        <w:t>15</w:t>
      </w:r>
      <w:r w:rsidRPr="005F5AA7">
        <w:rPr>
          <w:noProof/>
        </w:rPr>
        <w:tab/>
        <w:t xml:space="preserve">Maude, S. L., Teachey, D. T., Porter, D. L. &amp; Grupp, S. A. CD19-targeted chimeric antigen receptor T-cell therapy for acute lymphoblastic leukemia. </w:t>
      </w:r>
      <w:r w:rsidRPr="005F5AA7">
        <w:rPr>
          <w:i/>
          <w:noProof/>
        </w:rPr>
        <w:t>Blood</w:t>
      </w:r>
      <w:r w:rsidRPr="005F5AA7">
        <w:rPr>
          <w:noProof/>
        </w:rPr>
        <w:t xml:space="preserve"> </w:t>
      </w:r>
      <w:r w:rsidRPr="005F5AA7">
        <w:rPr>
          <w:b/>
          <w:noProof/>
        </w:rPr>
        <w:t>125</w:t>
      </w:r>
      <w:r w:rsidRPr="005F5AA7">
        <w:rPr>
          <w:noProof/>
        </w:rPr>
        <w:t>, 4017-4023,(2015).</w:t>
      </w:r>
    </w:p>
    <w:p w:rsidR="005F5AA7" w:rsidRPr="005F5AA7" w:rsidRDefault="005F5AA7" w:rsidP="005F5AA7">
      <w:pPr>
        <w:pStyle w:val="EndNoteBibliography"/>
        <w:ind w:left="720" w:hanging="720"/>
        <w:rPr>
          <w:noProof/>
        </w:rPr>
      </w:pPr>
      <w:r w:rsidRPr="005F5AA7">
        <w:rPr>
          <w:noProof/>
        </w:rPr>
        <w:t>16</w:t>
      </w:r>
      <w:r w:rsidRPr="005F5AA7">
        <w:rPr>
          <w:noProof/>
        </w:rPr>
        <w:tab/>
        <w:t xml:space="preserve">Shah, N. N. &amp; Fry, T. J. Mechanisms of resistance to CAR T cell therapy. </w:t>
      </w:r>
      <w:r w:rsidRPr="005F5AA7">
        <w:rPr>
          <w:i/>
          <w:noProof/>
        </w:rPr>
        <w:t>Nat Rev Clin Oncol</w:t>
      </w:r>
      <w:r w:rsidRPr="005F5AA7">
        <w:rPr>
          <w:noProof/>
        </w:rPr>
        <w:t xml:space="preserve"> </w:t>
      </w:r>
      <w:r w:rsidRPr="005F5AA7">
        <w:rPr>
          <w:b/>
          <w:noProof/>
        </w:rPr>
        <w:t>16</w:t>
      </w:r>
      <w:r w:rsidRPr="005F5AA7">
        <w:rPr>
          <w:noProof/>
        </w:rPr>
        <w:t>, 372-385,(2019).</w:t>
      </w:r>
    </w:p>
    <w:p w:rsidR="005F5AA7" w:rsidRPr="005F5AA7" w:rsidRDefault="005F5AA7" w:rsidP="005F5AA7">
      <w:pPr>
        <w:pStyle w:val="EndNoteBibliography"/>
        <w:ind w:left="720" w:hanging="720"/>
        <w:rPr>
          <w:noProof/>
        </w:rPr>
      </w:pPr>
      <w:r w:rsidRPr="005F5AA7">
        <w:rPr>
          <w:noProof/>
        </w:rPr>
        <w:t>17</w:t>
      </w:r>
      <w:r w:rsidRPr="005F5AA7">
        <w:rPr>
          <w:noProof/>
        </w:rPr>
        <w:tab/>
        <w:t>Anguille, S.</w:t>
      </w:r>
      <w:r w:rsidRPr="005F5AA7">
        <w:rPr>
          <w:i/>
          <w:noProof/>
        </w:rPr>
        <w:t xml:space="preserve"> et al.</w:t>
      </w:r>
      <w:r w:rsidRPr="005F5AA7">
        <w:rPr>
          <w:noProof/>
        </w:rPr>
        <w:t xml:space="preserve"> Interferon-α in acute myeloid leukemia: an old drug revisited. </w:t>
      </w:r>
      <w:r w:rsidRPr="005F5AA7">
        <w:rPr>
          <w:i/>
          <w:noProof/>
        </w:rPr>
        <w:t>Leukemia</w:t>
      </w:r>
      <w:r w:rsidRPr="005F5AA7">
        <w:rPr>
          <w:noProof/>
        </w:rPr>
        <w:t xml:space="preserve"> </w:t>
      </w:r>
      <w:r w:rsidRPr="005F5AA7">
        <w:rPr>
          <w:b/>
          <w:noProof/>
        </w:rPr>
        <w:t>25</w:t>
      </w:r>
      <w:r w:rsidRPr="005F5AA7">
        <w:rPr>
          <w:noProof/>
        </w:rPr>
        <w:t>, 739-748,(2011).</w:t>
      </w:r>
    </w:p>
    <w:p w:rsidR="005F5AA7" w:rsidRPr="005F5AA7" w:rsidRDefault="005F5AA7" w:rsidP="005F5AA7">
      <w:pPr>
        <w:pStyle w:val="EndNoteBibliography"/>
        <w:ind w:left="720" w:hanging="720"/>
        <w:rPr>
          <w:noProof/>
        </w:rPr>
      </w:pPr>
      <w:r w:rsidRPr="005F5AA7">
        <w:rPr>
          <w:noProof/>
        </w:rPr>
        <w:t>18</w:t>
      </w:r>
      <w:r w:rsidRPr="005F5AA7">
        <w:rPr>
          <w:noProof/>
        </w:rPr>
        <w:tab/>
        <w:t>Lin, X. J.</w:t>
      </w:r>
      <w:r w:rsidRPr="005F5AA7">
        <w:rPr>
          <w:i/>
          <w:noProof/>
        </w:rPr>
        <w:t xml:space="preserve"> et al.</w:t>
      </w:r>
      <w:r w:rsidRPr="005F5AA7">
        <w:rPr>
          <w:noProof/>
        </w:rPr>
        <w:t xml:space="preserve"> Effects of preemptive interferon-alpha monotherapy in acute leukemia patients with relapse tendency after allogeneic hematopoietic stem cell transplantation: a case-control study. </w:t>
      </w:r>
      <w:r w:rsidRPr="005F5AA7">
        <w:rPr>
          <w:i/>
          <w:noProof/>
        </w:rPr>
        <w:t>Ann Hematol</w:t>
      </w:r>
      <w:r w:rsidRPr="005F5AA7">
        <w:rPr>
          <w:noProof/>
        </w:rPr>
        <w:t xml:space="preserve"> </w:t>
      </w:r>
      <w:r w:rsidRPr="005F5AA7">
        <w:rPr>
          <w:b/>
          <w:noProof/>
        </w:rPr>
        <w:t>97</w:t>
      </w:r>
      <w:r w:rsidRPr="005F5AA7">
        <w:rPr>
          <w:noProof/>
        </w:rPr>
        <w:t>, 2195-2204,(2018).</w:t>
      </w:r>
    </w:p>
    <w:p w:rsidR="005F5AA7" w:rsidRPr="005F5AA7" w:rsidRDefault="005F5AA7" w:rsidP="005F5AA7">
      <w:pPr>
        <w:pStyle w:val="EndNoteBibliography"/>
        <w:ind w:left="720" w:hanging="720"/>
        <w:rPr>
          <w:noProof/>
        </w:rPr>
      </w:pPr>
      <w:r w:rsidRPr="005F5AA7">
        <w:rPr>
          <w:noProof/>
        </w:rPr>
        <w:t>19</w:t>
      </w:r>
      <w:r w:rsidRPr="005F5AA7">
        <w:rPr>
          <w:noProof/>
        </w:rPr>
        <w:tab/>
        <w:t>Mo, X.</w:t>
      </w:r>
      <w:r w:rsidRPr="005F5AA7">
        <w:rPr>
          <w:i/>
          <w:noProof/>
        </w:rPr>
        <w:t xml:space="preserve"> et al.</w:t>
      </w:r>
      <w:r w:rsidRPr="005F5AA7">
        <w:rPr>
          <w:noProof/>
        </w:rPr>
        <w:t xml:space="preserve"> Interferon alpha: the salvage therapy for patients with unsatisfactory response to minimal residual disease-directed modified donor lymphocyte infusion. </w:t>
      </w:r>
      <w:r w:rsidRPr="005F5AA7">
        <w:rPr>
          <w:i/>
          <w:noProof/>
        </w:rPr>
        <w:t>Chin Med J (Engl)</w:t>
      </w:r>
      <w:r w:rsidRPr="005F5AA7">
        <w:rPr>
          <w:noProof/>
        </w:rPr>
        <w:t xml:space="preserve"> </w:t>
      </w:r>
      <w:r w:rsidRPr="005F5AA7">
        <w:rPr>
          <w:b/>
          <w:noProof/>
        </w:rPr>
        <w:t>127</w:t>
      </w:r>
      <w:r w:rsidRPr="005F5AA7">
        <w:rPr>
          <w:noProof/>
        </w:rPr>
        <w:t>, 2583-2587,(2014).</w:t>
      </w:r>
    </w:p>
    <w:p w:rsidR="005F5AA7" w:rsidRPr="005F5AA7" w:rsidRDefault="005F5AA7" w:rsidP="005F5AA7">
      <w:pPr>
        <w:pStyle w:val="EndNoteBibliography"/>
        <w:ind w:left="720" w:hanging="720"/>
        <w:rPr>
          <w:noProof/>
        </w:rPr>
      </w:pPr>
      <w:r w:rsidRPr="005F5AA7">
        <w:rPr>
          <w:noProof/>
        </w:rPr>
        <w:t>20</w:t>
      </w:r>
      <w:r w:rsidRPr="005F5AA7">
        <w:rPr>
          <w:noProof/>
        </w:rPr>
        <w:tab/>
        <w:t>Mo, X.</w:t>
      </w:r>
      <w:r w:rsidRPr="005F5AA7">
        <w:rPr>
          <w:i/>
          <w:noProof/>
        </w:rPr>
        <w:t xml:space="preserve"> et al.</w:t>
      </w:r>
      <w:r w:rsidRPr="005F5AA7">
        <w:rPr>
          <w:noProof/>
        </w:rPr>
        <w:t xml:space="preserve"> Minimal residual disease-directed immunotherapy for high-risk myelodysplastic syndrome after allogeneic hematopoietic stem cell transplantation. </w:t>
      </w:r>
      <w:r w:rsidRPr="005F5AA7">
        <w:rPr>
          <w:i/>
          <w:noProof/>
        </w:rPr>
        <w:t>Front Med</w:t>
      </w:r>
      <w:r w:rsidRPr="005F5AA7">
        <w:rPr>
          <w:noProof/>
        </w:rPr>
        <w:t xml:space="preserve"> </w:t>
      </w:r>
      <w:r w:rsidRPr="005F5AA7">
        <w:rPr>
          <w:b/>
          <w:noProof/>
        </w:rPr>
        <w:t>13</w:t>
      </w:r>
      <w:r w:rsidRPr="005F5AA7">
        <w:rPr>
          <w:noProof/>
        </w:rPr>
        <w:t>, 354-364,(2019).</w:t>
      </w:r>
    </w:p>
    <w:p w:rsidR="005F5AA7" w:rsidRPr="005F5AA7" w:rsidRDefault="005F5AA7" w:rsidP="005F5AA7">
      <w:pPr>
        <w:pStyle w:val="EndNoteBibliography"/>
        <w:ind w:left="720" w:hanging="720"/>
        <w:rPr>
          <w:noProof/>
        </w:rPr>
      </w:pPr>
      <w:r w:rsidRPr="005F5AA7">
        <w:rPr>
          <w:noProof/>
        </w:rPr>
        <w:t>21</w:t>
      </w:r>
      <w:r w:rsidRPr="005F5AA7">
        <w:rPr>
          <w:noProof/>
        </w:rPr>
        <w:tab/>
        <w:t>Mo, X.-D.</w:t>
      </w:r>
      <w:r w:rsidRPr="005F5AA7">
        <w:rPr>
          <w:i/>
          <w:noProof/>
        </w:rPr>
        <w:t xml:space="preserve"> et al.</w:t>
      </w:r>
      <w:r w:rsidRPr="005F5AA7">
        <w:rPr>
          <w:noProof/>
        </w:rPr>
        <w:t xml:space="preserve"> Interferon-α Is Effective for Treatment of Minimal Residual Disease in Patients with t(8;21) Acute Myeloid Leukemia After Allogeneic Hematopoietic Stem Cell Transplantation: Results of a Prospective Registry Study. </w:t>
      </w:r>
      <w:r w:rsidRPr="005F5AA7">
        <w:rPr>
          <w:i/>
          <w:noProof/>
        </w:rPr>
        <w:t>Oncologist</w:t>
      </w:r>
      <w:r w:rsidRPr="005F5AA7">
        <w:rPr>
          <w:noProof/>
        </w:rPr>
        <w:t xml:space="preserve"> </w:t>
      </w:r>
      <w:r w:rsidRPr="005F5AA7">
        <w:rPr>
          <w:b/>
          <w:noProof/>
        </w:rPr>
        <w:t>23</w:t>
      </w:r>
      <w:r w:rsidRPr="005F5AA7">
        <w:rPr>
          <w:noProof/>
        </w:rPr>
        <w:t>, 1349-1357,(2018).</w:t>
      </w:r>
    </w:p>
    <w:p w:rsidR="005F5AA7" w:rsidRPr="005F5AA7" w:rsidRDefault="005F5AA7" w:rsidP="005F5AA7">
      <w:pPr>
        <w:pStyle w:val="EndNoteBibliography"/>
        <w:ind w:left="720" w:hanging="720"/>
        <w:rPr>
          <w:noProof/>
        </w:rPr>
      </w:pPr>
      <w:r w:rsidRPr="005F5AA7">
        <w:rPr>
          <w:noProof/>
        </w:rPr>
        <w:t>22</w:t>
      </w:r>
      <w:r w:rsidRPr="005F5AA7">
        <w:rPr>
          <w:noProof/>
        </w:rPr>
        <w:tab/>
        <w:t>Mo, X.-D.</w:t>
      </w:r>
      <w:r w:rsidRPr="005F5AA7">
        <w:rPr>
          <w:i/>
          <w:noProof/>
        </w:rPr>
        <w:t xml:space="preserve"> et al.</w:t>
      </w:r>
      <w:r w:rsidRPr="005F5AA7">
        <w:rPr>
          <w:noProof/>
        </w:rPr>
        <w:t xml:space="preserve"> Interferon-α: A Potentially Effective Treatment for Minimal Residual Disease in Acute Leukemia/Myelodysplastic Syndrome after Allogeneic Hematopoietic Stem Cell Transplantation. </w:t>
      </w:r>
      <w:r w:rsidRPr="005F5AA7">
        <w:rPr>
          <w:i/>
          <w:noProof/>
        </w:rPr>
        <w:t>Biol Blood Marrow Transplant</w:t>
      </w:r>
      <w:r w:rsidRPr="005F5AA7">
        <w:rPr>
          <w:noProof/>
        </w:rPr>
        <w:t xml:space="preserve"> </w:t>
      </w:r>
      <w:r w:rsidRPr="005F5AA7">
        <w:rPr>
          <w:b/>
          <w:noProof/>
        </w:rPr>
        <w:t>21</w:t>
      </w:r>
      <w:r w:rsidRPr="005F5AA7">
        <w:rPr>
          <w:noProof/>
        </w:rPr>
        <w:t>, 1939-1947,(2015).</w:t>
      </w:r>
    </w:p>
    <w:p w:rsidR="005F5AA7" w:rsidRPr="005F5AA7" w:rsidRDefault="005F5AA7" w:rsidP="005F5AA7">
      <w:pPr>
        <w:pStyle w:val="EndNoteBibliography"/>
        <w:ind w:left="720" w:hanging="720"/>
        <w:rPr>
          <w:noProof/>
        </w:rPr>
      </w:pPr>
      <w:r w:rsidRPr="005F5AA7">
        <w:rPr>
          <w:noProof/>
        </w:rPr>
        <w:t>23</w:t>
      </w:r>
      <w:r w:rsidRPr="005F5AA7">
        <w:rPr>
          <w:noProof/>
        </w:rPr>
        <w:tab/>
        <w:t>Mo, X.</w:t>
      </w:r>
      <w:r w:rsidRPr="005F5AA7">
        <w:rPr>
          <w:i/>
          <w:noProof/>
        </w:rPr>
        <w:t xml:space="preserve"> et al.</w:t>
      </w:r>
      <w:r w:rsidRPr="005F5AA7">
        <w:rPr>
          <w:noProof/>
        </w:rPr>
        <w:t xml:space="preserve"> Interferon-alpha salvage treatment is effective for patients with acute leukemia/myelodysplastic syndrome with unsatisfactory response to minimal residual disease-directed donor lymphocyte infusion after allogeneic hematopoietic stem cell transplantation. </w:t>
      </w:r>
      <w:r w:rsidRPr="005F5AA7">
        <w:rPr>
          <w:i/>
          <w:noProof/>
        </w:rPr>
        <w:t>Front Med</w:t>
      </w:r>
      <w:r w:rsidRPr="005F5AA7">
        <w:rPr>
          <w:noProof/>
        </w:rPr>
        <w:t xml:space="preserve"> </w:t>
      </w:r>
      <w:r w:rsidRPr="005F5AA7">
        <w:rPr>
          <w:b/>
          <w:noProof/>
        </w:rPr>
        <w:t>13</w:t>
      </w:r>
      <w:r w:rsidRPr="005F5AA7">
        <w:rPr>
          <w:noProof/>
        </w:rPr>
        <w:t>, 238-249,(2019).</w:t>
      </w:r>
    </w:p>
    <w:p w:rsidR="0096751B" w:rsidRDefault="0096751B" w:rsidP="00C60278">
      <w:pPr>
        <w:rPr>
          <w:b/>
          <w:bCs/>
          <w:szCs w:val="21"/>
        </w:rPr>
      </w:pPr>
    </w:p>
    <w:p w:rsidR="0096751B" w:rsidRPr="002F6CE8" w:rsidRDefault="0096751B" w:rsidP="005750B7">
      <w:pPr>
        <w:rPr>
          <w:color w:val="000000"/>
          <w:sz w:val="20"/>
          <w:szCs w:val="20"/>
        </w:rPr>
      </w:pPr>
      <w:r w:rsidRPr="0096751B">
        <w:rPr>
          <w:b/>
          <w:bCs/>
          <w:szCs w:val="21"/>
        </w:rPr>
        <w:t>Study goals and objectives</w:t>
      </w:r>
      <w:r>
        <w:rPr>
          <w:b/>
          <w:bCs/>
          <w:szCs w:val="21"/>
        </w:rPr>
        <w:t>:</w:t>
      </w:r>
      <w:r w:rsidRPr="0096751B">
        <w:rPr>
          <w:color w:val="000000"/>
          <w:sz w:val="20"/>
          <w:szCs w:val="20"/>
        </w:rPr>
        <w:t xml:space="preserve"> </w:t>
      </w:r>
      <w:r w:rsidRPr="002400F1">
        <w:rPr>
          <w:color w:val="000000"/>
          <w:sz w:val="20"/>
          <w:szCs w:val="20"/>
        </w:rPr>
        <w:t xml:space="preserve">we aimed to identify the safety and </w:t>
      </w:r>
      <w:r>
        <w:rPr>
          <w:rFonts w:hint="eastAsia"/>
          <w:color w:val="000000"/>
          <w:sz w:val="20"/>
          <w:szCs w:val="20"/>
        </w:rPr>
        <w:t>long-term</w:t>
      </w:r>
      <w:r>
        <w:rPr>
          <w:color w:val="000000"/>
          <w:sz w:val="20"/>
          <w:szCs w:val="20"/>
        </w:rPr>
        <w:t xml:space="preserve"> </w:t>
      </w:r>
      <w:r w:rsidRPr="002400F1">
        <w:rPr>
          <w:color w:val="000000"/>
          <w:sz w:val="20"/>
          <w:szCs w:val="20"/>
        </w:rPr>
        <w:t xml:space="preserve">efficacy of preemptive IFN-α treatment in ALL patients following </w:t>
      </w:r>
      <w:proofErr w:type="spellStart"/>
      <w:r w:rsidRPr="002400F1">
        <w:rPr>
          <w:color w:val="000000"/>
          <w:sz w:val="20"/>
          <w:szCs w:val="20"/>
        </w:rPr>
        <w:t>allo-HSCT</w:t>
      </w:r>
      <w:proofErr w:type="spellEnd"/>
      <w:r w:rsidRPr="002400F1">
        <w:rPr>
          <w:color w:val="000000"/>
          <w:sz w:val="20"/>
          <w:szCs w:val="20"/>
        </w:rPr>
        <w:t>.</w:t>
      </w:r>
      <w:r w:rsidR="005750B7">
        <w:rPr>
          <w:color w:val="000000"/>
          <w:sz w:val="20"/>
          <w:szCs w:val="20"/>
        </w:rPr>
        <w:t xml:space="preserve"> The primary objective was relapse, the s</w:t>
      </w:r>
      <w:r w:rsidR="005750B7" w:rsidRPr="002F6CE8">
        <w:rPr>
          <w:color w:val="000000"/>
          <w:sz w:val="20"/>
          <w:szCs w:val="20"/>
        </w:rPr>
        <w:t>econdary objective included n</w:t>
      </w:r>
      <w:r w:rsidR="005750B7" w:rsidRPr="005750B7">
        <w:rPr>
          <w:color w:val="000000"/>
          <w:sz w:val="20"/>
          <w:szCs w:val="20"/>
        </w:rPr>
        <w:t>on-relapse mortality (NRM)</w:t>
      </w:r>
      <w:r w:rsidR="005750B7">
        <w:rPr>
          <w:color w:val="000000"/>
          <w:sz w:val="20"/>
          <w:szCs w:val="20"/>
        </w:rPr>
        <w:t>, o</w:t>
      </w:r>
      <w:r w:rsidR="005750B7" w:rsidRPr="005750B7">
        <w:rPr>
          <w:color w:val="000000"/>
          <w:sz w:val="20"/>
          <w:szCs w:val="20"/>
        </w:rPr>
        <w:t>verall survival (OS)</w:t>
      </w:r>
      <w:r w:rsidR="005750B7">
        <w:rPr>
          <w:color w:val="000000"/>
          <w:sz w:val="20"/>
          <w:szCs w:val="20"/>
        </w:rPr>
        <w:t xml:space="preserve"> and d</w:t>
      </w:r>
      <w:r w:rsidR="005750B7" w:rsidRPr="005750B7">
        <w:rPr>
          <w:color w:val="000000"/>
          <w:sz w:val="20"/>
          <w:szCs w:val="20"/>
        </w:rPr>
        <w:t>isease-free survival (DFS).</w:t>
      </w:r>
    </w:p>
    <w:p w:rsidR="004315D6" w:rsidRPr="009F4B9A" w:rsidRDefault="004315D6" w:rsidP="004315D6">
      <w:pPr>
        <w:rPr>
          <w:b/>
          <w:bCs/>
          <w:szCs w:val="21"/>
        </w:rPr>
      </w:pPr>
      <w:r w:rsidRPr="009F4B9A">
        <w:rPr>
          <w:b/>
          <w:bCs/>
          <w:szCs w:val="21"/>
        </w:rPr>
        <w:lastRenderedPageBreak/>
        <w:t>Study design</w:t>
      </w:r>
    </w:p>
    <w:p w:rsidR="004315D6" w:rsidRPr="009F4B9A" w:rsidRDefault="004315D6" w:rsidP="004315D6">
      <w:pPr>
        <w:ind w:firstLine="397"/>
        <w:rPr>
          <w:szCs w:val="21"/>
        </w:rPr>
      </w:pPr>
      <w:r w:rsidRPr="009F4B9A">
        <w:rPr>
          <w:b/>
          <w:bCs/>
          <w:szCs w:val="21"/>
        </w:rPr>
        <w:t xml:space="preserve">Study Type: </w:t>
      </w:r>
      <w:proofErr w:type="gramStart"/>
      <w:r w:rsidRPr="009F4B9A">
        <w:rPr>
          <w:szCs w:val="21"/>
        </w:rPr>
        <w:t>Interventional  (</w:t>
      </w:r>
      <w:proofErr w:type="gramEnd"/>
      <w:r w:rsidRPr="009F4B9A">
        <w:rPr>
          <w:szCs w:val="21"/>
        </w:rPr>
        <w:t>Clinical Trial)</w:t>
      </w:r>
    </w:p>
    <w:p w:rsidR="004315D6" w:rsidRDefault="004315D6" w:rsidP="004315D6">
      <w:pPr>
        <w:ind w:firstLine="397"/>
        <w:rPr>
          <w:szCs w:val="21"/>
        </w:rPr>
      </w:pPr>
      <w:r w:rsidRPr="009F4B9A">
        <w:rPr>
          <w:b/>
          <w:bCs/>
          <w:szCs w:val="21"/>
        </w:rPr>
        <w:t>Estimated Enrollment</w:t>
      </w:r>
      <w:r>
        <w:rPr>
          <w:b/>
          <w:bCs/>
          <w:szCs w:val="21"/>
        </w:rPr>
        <w:t xml:space="preserve"> for </w:t>
      </w:r>
      <w:r w:rsidRPr="007B1644">
        <w:rPr>
          <w:b/>
          <w:szCs w:val="21"/>
        </w:rPr>
        <w:t xml:space="preserve">the ALL subgroup: </w:t>
      </w:r>
      <w:r>
        <w:rPr>
          <w:szCs w:val="21"/>
        </w:rPr>
        <w:t xml:space="preserve">68 </w:t>
      </w:r>
    </w:p>
    <w:p w:rsidR="004315D6" w:rsidRPr="009F4B9A" w:rsidRDefault="004315D6" w:rsidP="004315D6">
      <w:pPr>
        <w:ind w:firstLine="397"/>
        <w:rPr>
          <w:szCs w:val="21"/>
        </w:rPr>
      </w:pPr>
      <w:r w:rsidRPr="0036407C">
        <w:rPr>
          <w:rFonts w:hint="eastAsia"/>
          <w:szCs w:val="21"/>
        </w:rPr>
        <w:t>This study was planned to detect a relapse rate of 55% in patients with MRD receiving preemptive IFN-</w:t>
      </w:r>
      <w:r w:rsidRPr="0036407C">
        <w:rPr>
          <w:rFonts w:hint="eastAsia"/>
          <w:szCs w:val="21"/>
        </w:rPr>
        <w:t>α</w:t>
      </w:r>
      <w:r w:rsidRPr="0036407C">
        <w:rPr>
          <w:rFonts w:hint="eastAsia"/>
          <w:szCs w:val="21"/>
        </w:rPr>
        <w:t xml:space="preserve"> treatment, from the reference rate of 75% in patients with PCR or MFC positivity but did not receive interventions in our previous study, controlling for type I and II error rates at 5% and 10%, respectively. Considering an expulsion rate of 15%, a total of 68 patients was planned to be enrolled.</w:t>
      </w:r>
    </w:p>
    <w:p w:rsidR="004315D6" w:rsidRPr="009F4B9A" w:rsidRDefault="004315D6" w:rsidP="004315D6">
      <w:pPr>
        <w:ind w:firstLine="397"/>
        <w:rPr>
          <w:szCs w:val="21"/>
        </w:rPr>
      </w:pPr>
      <w:r w:rsidRPr="009F4B9A">
        <w:rPr>
          <w:b/>
          <w:bCs/>
          <w:szCs w:val="21"/>
        </w:rPr>
        <w:t>Study Start Date</w:t>
      </w:r>
      <w:r w:rsidR="0065424B" w:rsidRPr="0065424B">
        <w:rPr>
          <w:b/>
          <w:szCs w:val="21"/>
        </w:rPr>
        <w:t xml:space="preserve"> </w:t>
      </w:r>
      <w:r w:rsidR="0065424B" w:rsidRPr="007B1644">
        <w:rPr>
          <w:b/>
          <w:szCs w:val="21"/>
        </w:rPr>
        <w:t>for ALL subgroup</w:t>
      </w:r>
      <w:r w:rsidRPr="009F4B9A">
        <w:rPr>
          <w:b/>
          <w:bCs/>
          <w:szCs w:val="21"/>
        </w:rPr>
        <w:t xml:space="preserve">: </w:t>
      </w:r>
      <w:r w:rsidRPr="009F4B9A">
        <w:rPr>
          <w:szCs w:val="21"/>
        </w:rPr>
        <w:t>June 2014</w:t>
      </w:r>
    </w:p>
    <w:p w:rsidR="004315D6" w:rsidRDefault="004315D6" w:rsidP="004315D6">
      <w:pPr>
        <w:ind w:firstLine="397"/>
        <w:rPr>
          <w:szCs w:val="21"/>
        </w:rPr>
      </w:pPr>
      <w:r w:rsidRPr="007B1644">
        <w:rPr>
          <w:b/>
          <w:szCs w:val="21"/>
        </w:rPr>
        <w:t>Study completion date for ALL subgroup:</w:t>
      </w:r>
      <w:r>
        <w:rPr>
          <w:rFonts w:hint="eastAsia"/>
          <w:szCs w:val="21"/>
        </w:rPr>
        <w:t xml:space="preserve"> </w:t>
      </w:r>
      <w:r>
        <w:rPr>
          <w:szCs w:val="21"/>
        </w:rPr>
        <w:t>December 2017</w:t>
      </w:r>
    </w:p>
    <w:p w:rsidR="0036027E" w:rsidRDefault="00CA072B" w:rsidP="004315D6">
      <w:pPr>
        <w:ind w:firstLine="397"/>
        <w:rPr>
          <w:szCs w:val="21"/>
        </w:rPr>
      </w:pPr>
      <w:r>
        <w:rPr>
          <w:b/>
          <w:szCs w:val="21"/>
        </w:rPr>
        <w:t>Expected d</w:t>
      </w:r>
      <w:r w:rsidR="0036027E" w:rsidRPr="002F6CE8">
        <w:rPr>
          <w:b/>
          <w:szCs w:val="21"/>
        </w:rPr>
        <w:t>uration of the study</w:t>
      </w:r>
      <w:r w:rsidR="0036027E">
        <w:rPr>
          <w:b/>
          <w:szCs w:val="21"/>
        </w:rPr>
        <w:t xml:space="preserve">: </w:t>
      </w:r>
      <w:r w:rsidR="00747FBA" w:rsidRPr="002F6CE8">
        <w:rPr>
          <w:szCs w:val="21"/>
        </w:rPr>
        <w:t xml:space="preserve">2 </w:t>
      </w:r>
      <w:r w:rsidR="0036027E" w:rsidRPr="002F6CE8">
        <w:rPr>
          <w:szCs w:val="21"/>
        </w:rPr>
        <w:t>year</w:t>
      </w:r>
      <w:r w:rsidR="00747FBA" w:rsidRPr="002F6CE8">
        <w:rPr>
          <w:szCs w:val="21"/>
        </w:rPr>
        <w:t>s</w:t>
      </w:r>
      <w:r w:rsidR="0036027E" w:rsidRPr="002F6CE8">
        <w:rPr>
          <w:szCs w:val="21"/>
        </w:rPr>
        <w:t xml:space="preserve"> after </w:t>
      </w:r>
      <w:r w:rsidR="00747FBA" w:rsidRPr="002F6CE8">
        <w:rPr>
          <w:szCs w:val="21"/>
        </w:rPr>
        <w:t xml:space="preserve">the </w:t>
      </w:r>
      <w:r w:rsidR="0036027E" w:rsidRPr="002F6CE8">
        <w:rPr>
          <w:szCs w:val="21"/>
        </w:rPr>
        <w:t>enroll</w:t>
      </w:r>
      <w:r w:rsidR="00747FBA" w:rsidRPr="002F6CE8">
        <w:rPr>
          <w:szCs w:val="21"/>
        </w:rPr>
        <w:t>ment of the last patients</w:t>
      </w:r>
    </w:p>
    <w:p w:rsidR="0084398E" w:rsidRPr="009F4B9A" w:rsidRDefault="0084398E" w:rsidP="002F6CE8">
      <w:pPr>
        <w:snapToGrid w:val="0"/>
        <w:ind w:firstLineChars="150" w:firstLine="316"/>
        <w:rPr>
          <w:b/>
          <w:szCs w:val="21"/>
        </w:rPr>
      </w:pPr>
      <w:r w:rsidRPr="009F4B9A">
        <w:rPr>
          <w:rFonts w:hint="eastAsia"/>
          <w:b/>
          <w:szCs w:val="21"/>
        </w:rPr>
        <w:t>Inclusion criteria and exclusion criteria</w:t>
      </w:r>
    </w:p>
    <w:p w:rsidR="0084398E" w:rsidRPr="009F4B9A" w:rsidRDefault="0084398E" w:rsidP="002F6CE8">
      <w:pPr>
        <w:snapToGrid w:val="0"/>
        <w:ind w:firstLineChars="150" w:firstLine="316"/>
        <w:rPr>
          <w:b/>
          <w:szCs w:val="21"/>
        </w:rPr>
      </w:pPr>
      <w:r w:rsidRPr="009F4B9A">
        <w:rPr>
          <w:b/>
          <w:i/>
          <w:szCs w:val="21"/>
        </w:rPr>
        <w:t>Inclusion criteria</w:t>
      </w:r>
      <w:r w:rsidRPr="009F4B9A">
        <w:rPr>
          <w:b/>
          <w:szCs w:val="21"/>
        </w:rPr>
        <w:t>:</w:t>
      </w:r>
    </w:p>
    <w:p w:rsidR="0084398E" w:rsidRPr="009F4B9A" w:rsidRDefault="0084398E" w:rsidP="0084398E">
      <w:pPr>
        <w:snapToGrid w:val="0"/>
        <w:ind w:firstLine="397"/>
        <w:rPr>
          <w:szCs w:val="21"/>
        </w:rPr>
      </w:pPr>
      <w:r w:rsidRPr="009F4B9A">
        <w:rPr>
          <w:szCs w:val="21"/>
        </w:rPr>
        <w:t xml:space="preserve">Consecutive patients subjects receiving non-T-cell–depleted </w:t>
      </w:r>
      <w:proofErr w:type="spellStart"/>
      <w:r w:rsidRPr="009F4B9A">
        <w:rPr>
          <w:szCs w:val="21"/>
        </w:rPr>
        <w:t>allo-HSCT</w:t>
      </w:r>
      <w:proofErr w:type="spellEnd"/>
      <w:r w:rsidRPr="009F4B9A">
        <w:rPr>
          <w:szCs w:val="21"/>
        </w:rPr>
        <w:t xml:space="preserve"> at the Peking University Institute of Hematology were enrolled if they met the following criteria: (1) acute </w:t>
      </w:r>
      <w:r w:rsidRPr="009F4B9A">
        <w:rPr>
          <w:rFonts w:hint="eastAsia"/>
          <w:szCs w:val="21"/>
        </w:rPr>
        <w:t>lymphoblastic</w:t>
      </w:r>
      <w:r w:rsidRPr="009F4B9A">
        <w:rPr>
          <w:szCs w:val="21"/>
        </w:rPr>
        <w:t xml:space="preserve"> leukemia (ALL) defined as first or second complete</w:t>
      </w:r>
      <w:r w:rsidRPr="009F4B9A">
        <w:rPr>
          <w:rFonts w:hint="eastAsia"/>
          <w:szCs w:val="21"/>
        </w:rPr>
        <w:t xml:space="preserve"> re</w:t>
      </w:r>
      <w:r w:rsidRPr="009F4B9A">
        <w:rPr>
          <w:szCs w:val="21"/>
        </w:rPr>
        <w:t>mission</w:t>
      </w:r>
      <w:r w:rsidRPr="009F4B9A">
        <w:rPr>
          <w:rFonts w:hint="eastAsia"/>
          <w:szCs w:val="21"/>
        </w:rPr>
        <w:t xml:space="preserve"> (</w:t>
      </w:r>
      <w:r w:rsidRPr="009F4B9A">
        <w:rPr>
          <w:szCs w:val="21"/>
        </w:rPr>
        <w:t>CR</w:t>
      </w:r>
      <w:r w:rsidRPr="009F4B9A">
        <w:rPr>
          <w:rFonts w:hint="eastAsia"/>
          <w:szCs w:val="21"/>
        </w:rPr>
        <w:t>)</w:t>
      </w:r>
      <w:r w:rsidRPr="009F4B9A">
        <w:rPr>
          <w:szCs w:val="21"/>
        </w:rPr>
        <w:t xml:space="preserve"> without t(9;22) mutations; (2) regained </w:t>
      </w:r>
      <w:r w:rsidRPr="009F4B9A">
        <w:rPr>
          <w:rFonts w:hint="eastAsia"/>
          <w:szCs w:val="21"/>
        </w:rPr>
        <w:t>minimal residual disease (</w:t>
      </w:r>
      <w:r w:rsidRPr="009F4B9A">
        <w:rPr>
          <w:szCs w:val="21"/>
        </w:rPr>
        <w:t>MRD</w:t>
      </w:r>
      <w:r w:rsidRPr="009F4B9A">
        <w:rPr>
          <w:rFonts w:hint="eastAsia"/>
          <w:szCs w:val="21"/>
        </w:rPr>
        <w:t>)</w:t>
      </w:r>
      <w:r w:rsidRPr="009F4B9A">
        <w:rPr>
          <w:szCs w:val="21"/>
        </w:rPr>
        <w:t xml:space="preserve"> positivity after </w:t>
      </w:r>
      <w:proofErr w:type="spellStart"/>
      <w:r w:rsidRPr="009F4B9A">
        <w:rPr>
          <w:szCs w:val="21"/>
        </w:rPr>
        <w:t>allo-HSCT</w:t>
      </w:r>
      <w:proofErr w:type="spellEnd"/>
      <w:r w:rsidRPr="009F4B9A">
        <w:rPr>
          <w:rFonts w:hint="eastAsia"/>
          <w:szCs w:val="21"/>
        </w:rPr>
        <w:t xml:space="preserve">. </w:t>
      </w:r>
    </w:p>
    <w:p w:rsidR="0084398E" w:rsidRPr="009F4B9A" w:rsidRDefault="0084398E" w:rsidP="002F6CE8">
      <w:pPr>
        <w:snapToGrid w:val="0"/>
        <w:ind w:firstLineChars="200" w:firstLine="422"/>
        <w:rPr>
          <w:b/>
          <w:szCs w:val="21"/>
        </w:rPr>
      </w:pPr>
      <w:r w:rsidRPr="009F4B9A">
        <w:rPr>
          <w:b/>
          <w:i/>
          <w:szCs w:val="21"/>
        </w:rPr>
        <w:t>Exclusion criteria</w:t>
      </w:r>
      <w:r w:rsidRPr="009F4B9A">
        <w:rPr>
          <w:b/>
          <w:szCs w:val="21"/>
        </w:rPr>
        <w:t xml:space="preserve">: </w:t>
      </w:r>
    </w:p>
    <w:p w:rsidR="0092070D" w:rsidRDefault="0084398E" w:rsidP="0092070D">
      <w:pPr>
        <w:ind w:firstLine="397"/>
        <w:rPr>
          <w:szCs w:val="21"/>
        </w:rPr>
      </w:pPr>
      <w:r w:rsidRPr="009F4B9A">
        <w:rPr>
          <w:rFonts w:hint="eastAsia"/>
          <w:szCs w:val="21"/>
        </w:rPr>
        <w:t>A</w:t>
      </w:r>
      <w:r w:rsidRPr="009F4B9A">
        <w:rPr>
          <w:szCs w:val="21"/>
        </w:rPr>
        <w:t>ctive GVHD (</w:t>
      </w:r>
      <w:proofErr w:type="spellStart"/>
      <w:r w:rsidRPr="009F4B9A">
        <w:rPr>
          <w:szCs w:val="21"/>
        </w:rPr>
        <w:t>aGVHD</w:t>
      </w:r>
      <w:proofErr w:type="spellEnd"/>
      <w:r w:rsidRPr="009F4B9A">
        <w:rPr>
          <w:szCs w:val="21"/>
        </w:rPr>
        <w:t>), active chronic GVHD (</w:t>
      </w:r>
      <w:proofErr w:type="spellStart"/>
      <w:r w:rsidRPr="009F4B9A">
        <w:rPr>
          <w:szCs w:val="21"/>
        </w:rPr>
        <w:t>cGVHD</w:t>
      </w:r>
      <w:proofErr w:type="spellEnd"/>
      <w:r w:rsidRPr="009F4B9A">
        <w:rPr>
          <w:szCs w:val="21"/>
        </w:rPr>
        <w:t>), active infections, severe myelosuppression (white blood cell count &lt;1.0×10</w:t>
      </w:r>
      <w:r w:rsidRPr="009F4B9A">
        <w:rPr>
          <w:szCs w:val="21"/>
          <w:vertAlign w:val="superscript"/>
        </w:rPr>
        <w:t>9</w:t>
      </w:r>
      <w:r w:rsidRPr="009F4B9A">
        <w:rPr>
          <w:szCs w:val="21"/>
        </w:rPr>
        <w:t xml:space="preserve"> cells/L, absolute neutrophil count &lt;0.5×10</w:t>
      </w:r>
      <w:r w:rsidRPr="009F4B9A">
        <w:rPr>
          <w:szCs w:val="21"/>
          <w:vertAlign w:val="superscript"/>
        </w:rPr>
        <w:t>9</w:t>
      </w:r>
      <w:r w:rsidRPr="009F4B9A">
        <w:rPr>
          <w:szCs w:val="21"/>
        </w:rPr>
        <w:t xml:space="preserve"> cells/L, hemoglobin count &lt;</w:t>
      </w:r>
      <w:r w:rsidRPr="009F4B9A">
        <w:rPr>
          <w:rFonts w:hint="eastAsia"/>
          <w:szCs w:val="21"/>
        </w:rPr>
        <w:t>6</w:t>
      </w:r>
      <w:r w:rsidRPr="009F4B9A">
        <w:rPr>
          <w:szCs w:val="21"/>
        </w:rPr>
        <w:t>5 g/L, or platelet count &lt;25×10</w:t>
      </w:r>
      <w:r w:rsidRPr="009F4B9A">
        <w:rPr>
          <w:szCs w:val="21"/>
          <w:vertAlign w:val="superscript"/>
        </w:rPr>
        <w:t>9</w:t>
      </w:r>
      <w:r w:rsidRPr="009F4B9A">
        <w:rPr>
          <w:szCs w:val="21"/>
        </w:rPr>
        <w:t xml:space="preserve"> cells/L), and organ </w:t>
      </w:r>
      <w:r w:rsidR="0092070D">
        <w:rPr>
          <w:szCs w:val="21"/>
        </w:rPr>
        <w:t>failure</w:t>
      </w:r>
    </w:p>
    <w:p w:rsidR="0092070D" w:rsidRPr="0092070D" w:rsidRDefault="002F6CE8" w:rsidP="002F6CE8">
      <w:pPr>
        <w:ind w:firstLine="397"/>
        <w:rPr>
          <w:szCs w:val="21"/>
        </w:rPr>
      </w:pPr>
      <w:r>
        <w:rPr>
          <w:noProof/>
          <w:szCs w:val="21"/>
          <w:lang w:val="en-IN" w:eastAsia="en-IN"/>
        </w:rPr>
        <w:lastRenderedPageBreak/>
        <w:drawing>
          <wp:inline distT="0" distB="0" distL="0" distR="0">
            <wp:extent cx="5727700" cy="3935095"/>
            <wp:effectExtent l="0" t="0" r="0"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FN-a.pn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27700" cy="3935095"/>
                    </a:xfrm>
                    <a:prstGeom prst="rect">
                      <a:avLst/>
                    </a:prstGeom>
                  </pic:spPr>
                </pic:pic>
              </a:graphicData>
            </a:graphic>
          </wp:inline>
        </w:drawing>
      </w:r>
    </w:p>
    <w:p w:rsidR="007C71D8" w:rsidRDefault="007C71D8" w:rsidP="002F6CE8">
      <w:pPr>
        <w:snapToGrid w:val="0"/>
        <w:ind w:firstLineChars="150" w:firstLine="316"/>
        <w:rPr>
          <w:b/>
          <w:szCs w:val="21"/>
        </w:rPr>
      </w:pPr>
      <w:r>
        <w:rPr>
          <w:rFonts w:hint="eastAsia"/>
          <w:b/>
          <w:szCs w:val="21"/>
        </w:rPr>
        <w:t>M</w:t>
      </w:r>
      <w:r>
        <w:rPr>
          <w:b/>
          <w:szCs w:val="21"/>
        </w:rPr>
        <w:t>ethodology</w:t>
      </w:r>
    </w:p>
    <w:p w:rsidR="009F4B9A" w:rsidRPr="009F4B9A" w:rsidRDefault="00472A25" w:rsidP="002F6CE8">
      <w:pPr>
        <w:snapToGrid w:val="0"/>
        <w:rPr>
          <w:szCs w:val="21"/>
        </w:rPr>
      </w:pPr>
      <w:r>
        <w:rPr>
          <w:b/>
          <w:szCs w:val="21"/>
        </w:rPr>
        <w:t xml:space="preserve">     </w:t>
      </w:r>
      <w:r w:rsidRPr="002F6CE8">
        <w:rPr>
          <w:b/>
          <w:i/>
          <w:szCs w:val="21"/>
        </w:rPr>
        <w:t xml:space="preserve">  </w:t>
      </w:r>
      <w:r w:rsidR="009F4B9A" w:rsidRPr="002F6CE8">
        <w:rPr>
          <w:b/>
          <w:bCs/>
          <w:i/>
          <w:szCs w:val="21"/>
        </w:rPr>
        <w:t xml:space="preserve">MRD monitoring and definition </w:t>
      </w:r>
    </w:p>
    <w:p w:rsidR="009F4B9A" w:rsidRPr="009F4B9A" w:rsidRDefault="009F4B9A" w:rsidP="009F4B9A">
      <w:pPr>
        <w:snapToGrid w:val="0"/>
        <w:ind w:firstLine="420"/>
        <w:rPr>
          <w:szCs w:val="21"/>
        </w:rPr>
      </w:pPr>
      <w:r w:rsidRPr="009F4B9A">
        <w:rPr>
          <w:rFonts w:hint="eastAsia"/>
          <w:szCs w:val="21"/>
        </w:rPr>
        <w:t>MRD was monitored</w:t>
      </w:r>
      <w:r w:rsidRPr="009F4B9A">
        <w:rPr>
          <w:szCs w:val="21"/>
        </w:rPr>
        <w:t xml:space="preserve"> according to leukemia-associated aberrant immune phenotypes (LAIPs) and </w:t>
      </w:r>
      <w:r w:rsidRPr="009F4B9A">
        <w:rPr>
          <w:kern w:val="0"/>
          <w:szCs w:val="21"/>
        </w:rPr>
        <w:t xml:space="preserve">Wilms’ tumor gene 1 </w:t>
      </w:r>
      <w:r w:rsidRPr="009F4B9A">
        <w:rPr>
          <w:szCs w:val="21"/>
        </w:rPr>
        <w:t>(</w:t>
      </w:r>
      <w:r w:rsidRPr="009F4B9A">
        <w:rPr>
          <w:i/>
          <w:kern w:val="0"/>
          <w:szCs w:val="21"/>
        </w:rPr>
        <w:t>WT1</w:t>
      </w:r>
      <w:r w:rsidRPr="009F4B9A">
        <w:rPr>
          <w:szCs w:val="21"/>
        </w:rPr>
        <w:t>)</w:t>
      </w:r>
      <w:r w:rsidRPr="009F4B9A">
        <w:rPr>
          <w:rFonts w:hint="eastAsia"/>
          <w:szCs w:val="21"/>
        </w:rPr>
        <w:t xml:space="preserve"> in patients with acute leukemia.</w:t>
      </w:r>
      <w:r w:rsidRPr="009F4B9A">
        <w:rPr>
          <w:szCs w:val="21"/>
        </w:rPr>
        <w:t xml:space="preserve"> Routine </w:t>
      </w:r>
      <w:r w:rsidRPr="009F4B9A">
        <w:rPr>
          <w:rStyle w:val="hps"/>
          <w:szCs w:val="21"/>
        </w:rPr>
        <w:t>MRD monitoring was performed 1, 2, 3, 4.5, 6, 9, and 12 months post-transplantation</w:t>
      </w:r>
      <w:r w:rsidRPr="009F4B9A">
        <w:rPr>
          <w:szCs w:val="21"/>
        </w:rPr>
        <w:t xml:space="preserve"> </w:t>
      </w:r>
      <w:r w:rsidRPr="009F4B9A">
        <w:rPr>
          <w:rStyle w:val="hps"/>
          <w:szCs w:val="21"/>
        </w:rPr>
        <w:t>and at 6-month intervals thereafter</w:t>
      </w:r>
      <w:r w:rsidRPr="009F4B9A">
        <w:rPr>
          <w:szCs w:val="21"/>
        </w:rPr>
        <w:t xml:space="preserve">. Because we demonstrated that the combined use of </w:t>
      </w:r>
      <w:r w:rsidRPr="009F4B9A">
        <w:rPr>
          <w:iCs/>
          <w:szCs w:val="21"/>
        </w:rPr>
        <w:t>PCR</w:t>
      </w:r>
      <w:r w:rsidRPr="009F4B9A">
        <w:rPr>
          <w:szCs w:val="21"/>
        </w:rPr>
        <w:t xml:space="preserve"> and MFC might achieve higher sensitivity without sacrificing specificity, a patient was considered to have a</w:t>
      </w:r>
      <w:r w:rsidRPr="009F4B9A">
        <w:rPr>
          <w:rFonts w:hint="eastAsia"/>
          <w:szCs w:val="21"/>
        </w:rPr>
        <w:t>n</w:t>
      </w:r>
      <w:r w:rsidRPr="009F4B9A">
        <w:rPr>
          <w:szCs w:val="21"/>
        </w:rPr>
        <w:t xml:space="preserve"> MRD-positive status when a single BM sample tested positive for MFC or PCR. </w:t>
      </w:r>
    </w:p>
    <w:p w:rsidR="009F4B9A" w:rsidRPr="002F6CE8" w:rsidRDefault="009F4B9A" w:rsidP="002F6CE8">
      <w:pPr>
        <w:snapToGrid w:val="0"/>
        <w:ind w:firstLineChars="150" w:firstLine="316"/>
        <w:rPr>
          <w:b/>
          <w:i/>
          <w:szCs w:val="21"/>
        </w:rPr>
      </w:pPr>
      <w:r w:rsidRPr="002F6CE8">
        <w:rPr>
          <w:b/>
          <w:i/>
          <w:szCs w:val="21"/>
        </w:rPr>
        <w:t xml:space="preserve">Preemptive IFN-α treatment protocol </w:t>
      </w:r>
    </w:p>
    <w:p w:rsidR="009F4B9A" w:rsidRPr="009F4B9A" w:rsidRDefault="009F4B9A" w:rsidP="002F6CE8">
      <w:pPr>
        <w:snapToGrid w:val="0"/>
        <w:ind w:firstLineChars="150" w:firstLine="315"/>
        <w:rPr>
          <w:szCs w:val="21"/>
        </w:rPr>
      </w:pPr>
      <w:r w:rsidRPr="009F4B9A">
        <w:rPr>
          <w:szCs w:val="21"/>
        </w:rPr>
        <w:t>Cases in which a single BM sample tested positive for PCR or MFC</w:t>
      </w:r>
      <w:r w:rsidRPr="009F4B9A">
        <w:rPr>
          <w:i/>
          <w:szCs w:val="21"/>
        </w:rPr>
        <w:t xml:space="preserve"> </w:t>
      </w:r>
      <w:r w:rsidRPr="009F4B9A">
        <w:rPr>
          <w:szCs w:val="21"/>
        </w:rPr>
        <w:t xml:space="preserve">were defined as </w:t>
      </w:r>
      <w:proofErr w:type="spellStart"/>
      <w:r w:rsidRPr="009F4B9A">
        <w:rPr>
          <w:szCs w:val="21"/>
        </w:rPr>
        <w:t>MRD</w:t>
      </w:r>
      <w:r w:rsidRPr="009F4B9A">
        <w:rPr>
          <w:szCs w:val="21"/>
          <w:vertAlign w:val="subscript"/>
        </w:rPr>
        <w:t>sin</w:t>
      </w:r>
      <w:proofErr w:type="spellEnd"/>
      <w:r w:rsidRPr="009F4B9A">
        <w:rPr>
          <w:szCs w:val="21"/>
          <w:vertAlign w:val="subscript"/>
        </w:rPr>
        <w:t>+</w:t>
      </w:r>
      <w:r w:rsidRPr="009F4B9A">
        <w:rPr>
          <w:szCs w:val="21"/>
        </w:rPr>
        <w:t xml:space="preserve"> group. </w:t>
      </w:r>
      <w:proofErr w:type="gramStart"/>
      <w:r w:rsidRPr="009F4B9A">
        <w:rPr>
          <w:szCs w:val="21"/>
        </w:rPr>
        <w:t xml:space="preserve">Cases in which 2 consecutive BM samples within a 2-week interval tested positive for PCR or MFC or those in which a single BM sample tested positive for both PCR and MFC were defined as </w:t>
      </w:r>
      <w:proofErr w:type="spellStart"/>
      <w:r w:rsidRPr="009F4B9A">
        <w:rPr>
          <w:szCs w:val="21"/>
        </w:rPr>
        <w:t>MRD</w:t>
      </w:r>
      <w:r w:rsidRPr="009F4B9A">
        <w:rPr>
          <w:szCs w:val="21"/>
          <w:vertAlign w:val="subscript"/>
        </w:rPr>
        <w:t>co</w:t>
      </w:r>
      <w:proofErr w:type="spellEnd"/>
      <w:r w:rsidRPr="009F4B9A">
        <w:rPr>
          <w:szCs w:val="21"/>
          <w:vertAlign w:val="subscript"/>
        </w:rPr>
        <w:t>+</w:t>
      </w:r>
      <w:r w:rsidRPr="009F4B9A">
        <w:rPr>
          <w:szCs w:val="21"/>
        </w:rPr>
        <w:t xml:space="preserve"> group.</w:t>
      </w:r>
      <w:proofErr w:type="gramEnd"/>
      <w:r w:rsidRPr="009F4B9A">
        <w:rPr>
          <w:szCs w:val="21"/>
        </w:rPr>
        <w:t xml:space="preserve"> </w:t>
      </w:r>
    </w:p>
    <w:p w:rsidR="00214D52" w:rsidRDefault="009F4B9A" w:rsidP="002F6CE8">
      <w:pPr>
        <w:snapToGrid w:val="0"/>
        <w:ind w:firstLineChars="150" w:firstLine="315"/>
        <w:rPr>
          <w:szCs w:val="21"/>
        </w:rPr>
      </w:pPr>
      <w:r w:rsidRPr="009F4B9A">
        <w:rPr>
          <w:szCs w:val="21"/>
        </w:rPr>
        <w:t xml:space="preserve">Patients with </w:t>
      </w:r>
      <w:proofErr w:type="spellStart"/>
      <w:r w:rsidRPr="009F4B9A">
        <w:rPr>
          <w:szCs w:val="21"/>
        </w:rPr>
        <w:t>MRD</w:t>
      </w:r>
      <w:r w:rsidRPr="009F4B9A">
        <w:rPr>
          <w:szCs w:val="21"/>
          <w:vertAlign w:val="subscript"/>
        </w:rPr>
        <w:t>sin</w:t>
      </w:r>
      <w:proofErr w:type="spellEnd"/>
      <w:r w:rsidRPr="009F4B9A">
        <w:rPr>
          <w:szCs w:val="21"/>
          <w:vertAlign w:val="subscript"/>
        </w:rPr>
        <w:t>+</w:t>
      </w:r>
      <w:r w:rsidRPr="009F4B9A">
        <w:rPr>
          <w:i/>
          <w:szCs w:val="21"/>
        </w:rPr>
        <w:t xml:space="preserve"> </w:t>
      </w:r>
      <w:r w:rsidRPr="009F4B9A">
        <w:rPr>
          <w:szCs w:val="21"/>
        </w:rPr>
        <w:t>were recommended to receive IFN-α treatment. For the patients who did not agree to receive IFN-α treatment</w:t>
      </w:r>
      <w:r w:rsidRPr="009F4B9A">
        <w:rPr>
          <w:rFonts w:hint="eastAsia"/>
          <w:szCs w:val="21"/>
        </w:rPr>
        <w:t xml:space="preserve">, </w:t>
      </w:r>
      <w:r w:rsidRPr="009F4B9A">
        <w:rPr>
          <w:szCs w:val="21"/>
        </w:rPr>
        <w:t>the tests were repeated 2 weeks after positive results for PCR or MFC results were obtained. If 2 consecutive BM samples tested positive for PCR or MFC (</w:t>
      </w:r>
      <w:proofErr w:type="spellStart"/>
      <w:r w:rsidRPr="009F4B9A">
        <w:rPr>
          <w:szCs w:val="21"/>
        </w:rPr>
        <w:t>MRD</w:t>
      </w:r>
      <w:r w:rsidRPr="009F4B9A">
        <w:rPr>
          <w:szCs w:val="21"/>
          <w:vertAlign w:val="subscript"/>
        </w:rPr>
        <w:t>co</w:t>
      </w:r>
      <w:proofErr w:type="spellEnd"/>
      <w:r w:rsidRPr="009F4B9A">
        <w:rPr>
          <w:szCs w:val="21"/>
          <w:vertAlign w:val="subscript"/>
        </w:rPr>
        <w:t>+</w:t>
      </w:r>
      <w:r w:rsidRPr="009F4B9A">
        <w:rPr>
          <w:szCs w:val="21"/>
        </w:rPr>
        <w:t>) within a 2-</w:t>
      </w:r>
      <w:r w:rsidRPr="009F4B9A">
        <w:rPr>
          <w:szCs w:val="21"/>
        </w:rPr>
        <w:lastRenderedPageBreak/>
        <w:t>week interval, patients should receive preemptive intervention. In addition, cases in which a single BM sample tests positive for both PCR and MFC (</w:t>
      </w:r>
      <w:proofErr w:type="spellStart"/>
      <w:r w:rsidRPr="009F4B9A">
        <w:rPr>
          <w:szCs w:val="21"/>
        </w:rPr>
        <w:t>MRD</w:t>
      </w:r>
      <w:r w:rsidRPr="009F4B9A">
        <w:rPr>
          <w:szCs w:val="21"/>
          <w:vertAlign w:val="subscript"/>
        </w:rPr>
        <w:t>co</w:t>
      </w:r>
      <w:proofErr w:type="spellEnd"/>
      <w:r w:rsidRPr="009F4B9A">
        <w:rPr>
          <w:szCs w:val="21"/>
          <w:vertAlign w:val="subscript"/>
        </w:rPr>
        <w:t>+</w:t>
      </w:r>
      <w:r w:rsidRPr="009F4B9A">
        <w:rPr>
          <w:szCs w:val="21"/>
        </w:rPr>
        <w:t xml:space="preserve">) should also receive preemptive intervention. </w:t>
      </w:r>
    </w:p>
    <w:p w:rsidR="009F4B9A" w:rsidRPr="009F4B9A" w:rsidRDefault="009F4B9A" w:rsidP="002F6CE8">
      <w:pPr>
        <w:snapToGrid w:val="0"/>
        <w:ind w:firstLineChars="150" w:firstLine="315"/>
        <w:rPr>
          <w:szCs w:val="21"/>
        </w:rPr>
      </w:pPr>
      <w:r w:rsidRPr="009F4B9A">
        <w:rPr>
          <w:szCs w:val="21"/>
        </w:rPr>
        <w:t xml:space="preserve">Because the efficacy of </w:t>
      </w:r>
      <w:r w:rsidR="004E143B">
        <w:rPr>
          <w:szCs w:val="21"/>
        </w:rPr>
        <w:t>chemotherapy plus donor lymphocyte infusion (</w:t>
      </w:r>
      <w:r w:rsidRPr="009F4B9A">
        <w:rPr>
          <w:szCs w:val="21"/>
        </w:rPr>
        <w:t>Chemo-DLI</w:t>
      </w:r>
      <w:r w:rsidR="004E143B">
        <w:rPr>
          <w:szCs w:val="21"/>
        </w:rPr>
        <w:t>)</w:t>
      </w:r>
      <w:r w:rsidRPr="009F4B9A">
        <w:rPr>
          <w:szCs w:val="21"/>
        </w:rPr>
        <w:t xml:space="preserve"> had been confirmed but the role of IFN-α treatment was still undefined in </w:t>
      </w:r>
      <w:proofErr w:type="spellStart"/>
      <w:r w:rsidRPr="009F4B9A">
        <w:rPr>
          <w:szCs w:val="21"/>
        </w:rPr>
        <w:t>MRD</w:t>
      </w:r>
      <w:r w:rsidRPr="009F4B9A">
        <w:rPr>
          <w:szCs w:val="21"/>
          <w:vertAlign w:val="subscript"/>
        </w:rPr>
        <w:t>co</w:t>
      </w:r>
      <w:proofErr w:type="spellEnd"/>
      <w:r w:rsidRPr="009F4B9A">
        <w:rPr>
          <w:szCs w:val="21"/>
          <w:vertAlign w:val="subscript"/>
        </w:rPr>
        <w:t xml:space="preserve">+ </w:t>
      </w:r>
      <w:r w:rsidRPr="009F4B9A">
        <w:rPr>
          <w:szCs w:val="21"/>
        </w:rPr>
        <w:t>patients when th</w:t>
      </w:r>
      <w:r w:rsidR="004E143B">
        <w:rPr>
          <w:szCs w:val="21"/>
        </w:rPr>
        <w:t>is</w:t>
      </w:r>
      <w:r w:rsidRPr="009F4B9A">
        <w:rPr>
          <w:szCs w:val="21"/>
        </w:rPr>
        <w:t xml:space="preserve"> </w:t>
      </w:r>
      <w:r w:rsidR="004E143B">
        <w:rPr>
          <w:szCs w:val="21"/>
        </w:rPr>
        <w:t>study</w:t>
      </w:r>
      <w:r w:rsidRPr="009F4B9A">
        <w:rPr>
          <w:szCs w:val="21"/>
        </w:rPr>
        <w:t xml:space="preserve"> started, preemptive Chemo-DLI was the first choice for patients in </w:t>
      </w:r>
      <w:proofErr w:type="spellStart"/>
      <w:r w:rsidRPr="009F4B9A">
        <w:rPr>
          <w:szCs w:val="21"/>
        </w:rPr>
        <w:t>MRD</w:t>
      </w:r>
      <w:r w:rsidRPr="009F4B9A">
        <w:rPr>
          <w:szCs w:val="21"/>
          <w:vertAlign w:val="subscript"/>
        </w:rPr>
        <w:t>co</w:t>
      </w:r>
      <w:proofErr w:type="spellEnd"/>
      <w:r w:rsidRPr="009F4B9A">
        <w:rPr>
          <w:szCs w:val="21"/>
          <w:vertAlign w:val="subscript"/>
        </w:rPr>
        <w:t xml:space="preserve">+ </w:t>
      </w:r>
      <w:r w:rsidRPr="009F4B9A">
        <w:rPr>
          <w:szCs w:val="21"/>
        </w:rPr>
        <w:t xml:space="preserve">group, and those who could not receive Chemo-DLI because of </w:t>
      </w:r>
      <w:r w:rsidRPr="009F4B9A">
        <w:rPr>
          <w:color w:val="000000"/>
          <w:szCs w:val="21"/>
        </w:rPr>
        <w:t>patient or provider refusal</w:t>
      </w:r>
      <w:r w:rsidRPr="009F4B9A">
        <w:rPr>
          <w:szCs w:val="21"/>
        </w:rPr>
        <w:t xml:space="preserve"> received IFN-α treatment and enrolled in these two studies.</w:t>
      </w:r>
    </w:p>
    <w:p w:rsidR="00EC487E" w:rsidRDefault="009F4B9A" w:rsidP="002F6CE8">
      <w:pPr>
        <w:snapToGrid w:val="0"/>
        <w:ind w:firstLineChars="150" w:firstLine="315"/>
        <w:rPr>
          <w:szCs w:val="21"/>
        </w:rPr>
      </w:pPr>
      <w:r w:rsidRPr="009F4B9A">
        <w:rPr>
          <w:szCs w:val="21"/>
        </w:rPr>
        <w:t>Recombinant human IFN-α-2b injections (</w:t>
      </w:r>
      <w:proofErr w:type="spellStart"/>
      <w:r w:rsidRPr="009F4B9A">
        <w:rPr>
          <w:szCs w:val="21"/>
        </w:rPr>
        <w:t>Anferon</w:t>
      </w:r>
      <w:proofErr w:type="spellEnd"/>
      <w:r w:rsidRPr="009F4B9A">
        <w:rPr>
          <w:szCs w:val="21"/>
        </w:rPr>
        <w:t xml:space="preserve">; Tianjin </w:t>
      </w:r>
      <w:proofErr w:type="spellStart"/>
      <w:r w:rsidRPr="009F4B9A">
        <w:rPr>
          <w:szCs w:val="21"/>
        </w:rPr>
        <w:t>Hualida</w:t>
      </w:r>
      <w:proofErr w:type="spellEnd"/>
      <w:r w:rsidRPr="009F4B9A">
        <w:rPr>
          <w:szCs w:val="21"/>
        </w:rPr>
        <w:t xml:space="preserve"> Biotechnology Co., Ltd., Tianjin, China) were administered subcutaneously for 6 cycles (twice weekly in every 4 weeks cycle) at dosages of 3 million units for patients older than 16 years, and at 3 million units per square meter for those younger than 16 years (capped by 3 million units). Prolonged treatment with IFN-α was permitted at the request of patients. MRD status was monitored 1, 2, 3, 4.5, 6, 9, and 12 months after </w:t>
      </w:r>
      <w:r w:rsidRPr="009F4B9A">
        <w:rPr>
          <w:rFonts w:hint="eastAsia"/>
          <w:szCs w:val="21"/>
        </w:rPr>
        <w:t>preemptive I</w:t>
      </w:r>
      <w:r w:rsidRPr="009F4B9A">
        <w:rPr>
          <w:szCs w:val="21"/>
        </w:rPr>
        <w:t xml:space="preserve">FN-α treatment and at 6-month intervals thereafter. </w:t>
      </w:r>
    </w:p>
    <w:p w:rsidR="009F4B9A" w:rsidRPr="009F4B9A" w:rsidRDefault="009F4B9A" w:rsidP="002F6CE8">
      <w:pPr>
        <w:snapToGrid w:val="0"/>
        <w:ind w:firstLineChars="150" w:firstLine="315"/>
        <w:rPr>
          <w:szCs w:val="21"/>
        </w:rPr>
      </w:pPr>
      <w:r w:rsidRPr="009F4B9A">
        <w:rPr>
          <w:szCs w:val="21"/>
        </w:rPr>
        <w:t xml:space="preserve">Adverse events were scored using the National Cancer Institute Common Toxicity Criteria version 4.0, and they were monitored every 1-2 weeks after IFN-α treatment. GVHD was excluded as an adverse event. Study medication with IFN-α was discontinued in any patient with active GVHD (grade II or higher </w:t>
      </w:r>
      <w:proofErr w:type="spellStart"/>
      <w:r w:rsidRPr="009F4B9A">
        <w:rPr>
          <w:szCs w:val="21"/>
        </w:rPr>
        <w:t>aGVHD</w:t>
      </w:r>
      <w:proofErr w:type="spellEnd"/>
      <w:r w:rsidRPr="009F4B9A">
        <w:rPr>
          <w:szCs w:val="21"/>
        </w:rPr>
        <w:t xml:space="preserve"> or </w:t>
      </w:r>
      <w:proofErr w:type="spellStart"/>
      <w:r w:rsidRPr="009F4B9A">
        <w:rPr>
          <w:szCs w:val="21"/>
        </w:rPr>
        <w:t>cGVHD</w:t>
      </w:r>
      <w:proofErr w:type="spellEnd"/>
      <w:r w:rsidRPr="009F4B9A">
        <w:rPr>
          <w:szCs w:val="21"/>
        </w:rPr>
        <w:t xml:space="preserve"> with moderate or higher severity), severe infection, </w:t>
      </w:r>
      <w:r w:rsidRPr="009F4B9A">
        <w:rPr>
          <w:rFonts w:hint="eastAsia"/>
          <w:szCs w:val="21"/>
        </w:rPr>
        <w:t xml:space="preserve">grade </w:t>
      </w:r>
      <w:r w:rsidRPr="009F4B9A">
        <w:rPr>
          <w:szCs w:val="21"/>
        </w:rPr>
        <w:t>≥</w:t>
      </w:r>
      <w:r w:rsidRPr="009F4B9A">
        <w:rPr>
          <w:rFonts w:hint="eastAsia"/>
          <w:szCs w:val="21"/>
        </w:rPr>
        <w:t xml:space="preserve"> 3 toxicity, salvage </w:t>
      </w:r>
      <w:r w:rsidRPr="009F4B9A">
        <w:rPr>
          <w:szCs w:val="21"/>
        </w:rPr>
        <w:t xml:space="preserve">Chemo-DLI use, relapse, or non-relapse mortality (NRM). </w:t>
      </w:r>
    </w:p>
    <w:p w:rsidR="003737A6" w:rsidRDefault="009F4B9A" w:rsidP="002F6CE8">
      <w:pPr>
        <w:snapToGrid w:val="0"/>
        <w:ind w:firstLineChars="150" w:firstLine="315"/>
        <w:rPr>
          <w:szCs w:val="21"/>
        </w:rPr>
      </w:pPr>
      <w:r w:rsidRPr="009F4B9A">
        <w:rPr>
          <w:szCs w:val="21"/>
        </w:rPr>
        <w:t xml:space="preserve">The patients who showed unsatisfactory response to IFN-α treatment can receive salvage Chemo-DLI, if they agreed to receive Chemo-DLI and did not have active GVHD, active infection, and organ failure were eligible for salvage Chemo-DLI: patients had positive MRD again after achieving MRD-negative status </w:t>
      </w:r>
      <w:r w:rsidR="00214D52">
        <w:rPr>
          <w:szCs w:val="21"/>
        </w:rPr>
        <w:t xml:space="preserve"> </w:t>
      </w:r>
      <w:r w:rsidRPr="009F4B9A">
        <w:rPr>
          <w:szCs w:val="21"/>
        </w:rPr>
        <w:t>or those with persistent and increasing level of MRD</w:t>
      </w:r>
      <w:r w:rsidR="00214D52">
        <w:rPr>
          <w:szCs w:val="21"/>
        </w:rPr>
        <w:t xml:space="preserve"> </w:t>
      </w:r>
      <w:r w:rsidRPr="009F4B9A">
        <w:rPr>
          <w:szCs w:val="21"/>
        </w:rPr>
        <w:t xml:space="preserve">after preemptive IFN-α treatment. </w:t>
      </w:r>
    </w:p>
    <w:p w:rsidR="00C06520" w:rsidRDefault="003845C0" w:rsidP="003845C0">
      <w:pPr>
        <w:snapToGrid w:val="0"/>
        <w:ind w:firstLineChars="100" w:firstLine="211"/>
        <w:rPr>
          <w:color w:val="000000"/>
          <w:sz w:val="20"/>
          <w:szCs w:val="20"/>
        </w:rPr>
      </w:pPr>
      <w:proofErr w:type="gramStart"/>
      <w:r w:rsidRPr="003845C0">
        <w:rPr>
          <w:b/>
          <w:bCs/>
          <w:szCs w:val="21"/>
        </w:rPr>
        <w:t>Safety considera</w:t>
      </w:r>
      <w:r w:rsidR="00C06520" w:rsidRPr="003845C0">
        <w:rPr>
          <w:b/>
          <w:bCs/>
          <w:szCs w:val="21"/>
        </w:rPr>
        <w:t>tions</w:t>
      </w:r>
      <w:r w:rsidR="00C06520" w:rsidRPr="002400F1">
        <w:rPr>
          <w:color w:val="000000"/>
          <w:sz w:val="20"/>
          <w:szCs w:val="20"/>
        </w:rPr>
        <w:t>.</w:t>
      </w:r>
      <w:proofErr w:type="gramEnd"/>
      <w:r w:rsidR="00C06520" w:rsidRPr="002400F1">
        <w:rPr>
          <w:color w:val="000000"/>
          <w:sz w:val="20"/>
          <w:szCs w:val="20"/>
        </w:rPr>
        <w:t xml:space="preserve"> </w:t>
      </w:r>
    </w:p>
    <w:p w:rsidR="003845C0" w:rsidRDefault="00C06520" w:rsidP="003845C0">
      <w:pPr>
        <w:snapToGrid w:val="0"/>
        <w:ind w:firstLineChars="100" w:firstLine="200"/>
        <w:rPr>
          <w:b/>
          <w:bCs/>
          <w:szCs w:val="21"/>
        </w:rPr>
      </w:pPr>
      <w:r w:rsidRPr="00474EA9">
        <w:rPr>
          <w:sz w:val="20"/>
          <w:szCs w:val="20"/>
        </w:rPr>
        <w:t>Adverse events were scored using the National Cancer Institute Common Toxicity Criteria version 4.0, and they were monitored every 1-2 weeks after IFN-α treatment.</w:t>
      </w:r>
      <w:r w:rsidRPr="00C06520">
        <w:rPr>
          <w:sz w:val="20"/>
          <w:szCs w:val="20"/>
        </w:rPr>
        <w:t xml:space="preserve"> </w:t>
      </w:r>
      <w:r w:rsidRPr="00474EA9">
        <w:rPr>
          <w:sz w:val="20"/>
          <w:szCs w:val="20"/>
        </w:rPr>
        <w:t xml:space="preserve">GVHD was excluded as an adverse event. Study medication with IFN-α was discontinued in any patient with active GVHD (grade II or higher </w:t>
      </w:r>
      <w:proofErr w:type="spellStart"/>
      <w:r w:rsidRPr="00474EA9">
        <w:rPr>
          <w:sz w:val="20"/>
          <w:szCs w:val="20"/>
        </w:rPr>
        <w:t>aGVHD</w:t>
      </w:r>
      <w:proofErr w:type="spellEnd"/>
      <w:r w:rsidRPr="00474EA9">
        <w:rPr>
          <w:sz w:val="20"/>
          <w:szCs w:val="20"/>
        </w:rPr>
        <w:t xml:space="preserve"> or </w:t>
      </w:r>
      <w:proofErr w:type="spellStart"/>
      <w:r w:rsidRPr="00474EA9">
        <w:rPr>
          <w:sz w:val="20"/>
          <w:szCs w:val="20"/>
        </w:rPr>
        <w:t>cGVHD</w:t>
      </w:r>
      <w:proofErr w:type="spellEnd"/>
      <w:r w:rsidRPr="00474EA9">
        <w:rPr>
          <w:sz w:val="20"/>
          <w:szCs w:val="20"/>
        </w:rPr>
        <w:t xml:space="preserve"> with moderate or higher severity), severe infection, </w:t>
      </w:r>
      <w:r w:rsidRPr="00474EA9">
        <w:rPr>
          <w:rFonts w:hint="eastAsia"/>
          <w:sz w:val="20"/>
          <w:szCs w:val="20"/>
        </w:rPr>
        <w:t xml:space="preserve">grade </w:t>
      </w:r>
      <w:r w:rsidRPr="00474EA9">
        <w:rPr>
          <w:sz w:val="20"/>
          <w:szCs w:val="20"/>
        </w:rPr>
        <w:t>≥</w:t>
      </w:r>
      <w:r w:rsidRPr="00474EA9">
        <w:rPr>
          <w:rFonts w:hint="eastAsia"/>
          <w:sz w:val="20"/>
          <w:szCs w:val="20"/>
        </w:rPr>
        <w:t xml:space="preserve"> 3 toxicity, salvage </w:t>
      </w:r>
      <w:r w:rsidRPr="00474EA9">
        <w:rPr>
          <w:sz w:val="20"/>
          <w:szCs w:val="20"/>
        </w:rPr>
        <w:t>Chemo-DLI use, relapse, or non-relapse mortality (NRM).</w:t>
      </w:r>
    </w:p>
    <w:p w:rsidR="00D075BF" w:rsidRPr="002F6CE8" w:rsidRDefault="00D075BF" w:rsidP="00D075BF">
      <w:pPr>
        <w:snapToGrid w:val="0"/>
        <w:ind w:firstLineChars="100" w:firstLine="211"/>
        <w:rPr>
          <w:b/>
          <w:bCs/>
          <w:szCs w:val="21"/>
        </w:rPr>
      </w:pPr>
      <w:r w:rsidRPr="002F6CE8">
        <w:rPr>
          <w:b/>
          <w:bCs/>
          <w:szCs w:val="21"/>
        </w:rPr>
        <w:t>Follow-up</w:t>
      </w:r>
      <w:r w:rsidR="00CA072B" w:rsidRPr="002F6CE8">
        <w:rPr>
          <w:b/>
          <w:bCs/>
          <w:szCs w:val="21"/>
        </w:rPr>
        <w:t>:</w:t>
      </w:r>
    </w:p>
    <w:p w:rsidR="00CA072B" w:rsidRPr="002F6CE8" w:rsidRDefault="00CA072B" w:rsidP="00CA072B">
      <w:pPr>
        <w:snapToGrid w:val="0"/>
        <w:ind w:firstLineChars="100" w:firstLine="210"/>
        <w:rPr>
          <w:bCs/>
          <w:szCs w:val="21"/>
        </w:rPr>
      </w:pPr>
      <w:r w:rsidRPr="002F6CE8">
        <w:rPr>
          <w:bCs/>
          <w:szCs w:val="21"/>
        </w:rPr>
        <w:lastRenderedPageBreak/>
        <w:t>Data were censored at the time of relapse, death or the last available follow-up.</w:t>
      </w:r>
      <w:r w:rsidRPr="002F6CE8">
        <w:t xml:space="preserve"> The e</w:t>
      </w:r>
      <w:r w:rsidRPr="002F6CE8">
        <w:rPr>
          <w:bCs/>
          <w:szCs w:val="21"/>
        </w:rPr>
        <w:t xml:space="preserve">xpected </w:t>
      </w:r>
      <w:r w:rsidR="006B00A6" w:rsidRPr="002F6CE8">
        <w:rPr>
          <w:bCs/>
          <w:szCs w:val="21"/>
        </w:rPr>
        <w:t>last follow</w:t>
      </w:r>
      <w:r w:rsidR="009551D3" w:rsidRPr="002F6CE8">
        <w:rPr>
          <w:bCs/>
          <w:szCs w:val="21"/>
        </w:rPr>
        <w:t>-</w:t>
      </w:r>
      <w:r w:rsidR="006B00A6" w:rsidRPr="002F6CE8">
        <w:rPr>
          <w:bCs/>
          <w:szCs w:val="21"/>
        </w:rPr>
        <w:t>up visit</w:t>
      </w:r>
      <w:r w:rsidR="009551D3" w:rsidRPr="002F6CE8">
        <w:rPr>
          <w:bCs/>
          <w:szCs w:val="21"/>
        </w:rPr>
        <w:t xml:space="preserve"> was </w:t>
      </w:r>
      <w:r w:rsidRPr="002F6CE8">
        <w:rPr>
          <w:bCs/>
          <w:szCs w:val="21"/>
        </w:rPr>
        <w:t xml:space="preserve">2 years </w:t>
      </w:r>
      <w:r w:rsidR="009551D3" w:rsidRPr="002F6CE8">
        <w:rPr>
          <w:bCs/>
          <w:szCs w:val="21"/>
        </w:rPr>
        <w:t>from</w:t>
      </w:r>
      <w:r w:rsidRPr="002F6CE8">
        <w:rPr>
          <w:bCs/>
          <w:szCs w:val="21"/>
        </w:rPr>
        <w:t xml:space="preserve"> the enrollment of the last patients</w:t>
      </w:r>
    </w:p>
    <w:p w:rsidR="00D075BF" w:rsidRDefault="00D075BF" w:rsidP="00D075BF">
      <w:pPr>
        <w:snapToGrid w:val="0"/>
        <w:ind w:firstLineChars="100" w:firstLine="211"/>
        <w:rPr>
          <w:b/>
          <w:bCs/>
          <w:szCs w:val="21"/>
        </w:rPr>
      </w:pPr>
      <w:r w:rsidRPr="00D075BF">
        <w:rPr>
          <w:b/>
          <w:bCs/>
          <w:szCs w:val="21"/>
        </w:rPr>
        <w:t>Data management and statistical analysis</w:t>
      </w:r>
    </w:p>
    <w:p w:rsidR="00D075BF" w:rsidRPr="002400F1" w:rsidRDefault="00D075BF" w:rsidP="002F6CE8">
      <w:pPr>
        <w:snapToGrid w:val="0"/>
        <w:ind w:firstLineChars="200" w:firstLine="400"/>
        <w:rPr>
          <w:color w:val="000000"/>
          <w:sz w:val="20"/>
          <w:szCs w:val="20"/>
        </w:rPr>
      </w:pPr>
      <w:r w:rsidRPr="002400F1">
        <w:rPr>
          <w:color w:val="000000"/>
          <w:sz w:val="20"/>
          <w:szCs w:val="20"/>
        </w:rPr>
        <w:t>The primary endpoint was relapse, and secondary endpoints were NRM, disease-free survival (DFS), and overall survival (OS). This study was planned to detect a relapse rate of 55% in patients with MRD receiving preemptive IFN-α treatment, from the reference rate of 75% in patients with PCR or MFC positivity but did not receive interventions in our previous study, controlling for type I and II error rates at 5% and 10%, respectively. Considering an expulsion rate of 15%, a total of 68 patients was planned to be enrolled.</w:t>
      </w:r>
    </w:p>
    <w:p w:rsidR="00D075BF" w:rsidRDefault="00D075BF" w:rsidP="00BE2497">
      <w:pPr>
        <w:snapToGrid w:val="0"/>
        <w:ind w:firstLineChars="200" w:firstLine="400"/>
        <w:rPr>
          <w:color w:val="000000"/>
          <w:kern w:val="0"/>
          <w:sz w:val="20"/>
          <w:szCs w:val="20"/>
        </w:rPr>
      </w:pPr>
      <w:r w:rsidRPr="002400F1">
        <w:rPr>
          <w:color w:val="000000"/>
          <w:sz w:val="20"/>
          <w:szCs w:val="20"/>
        </w:rPr>
        <w:t xml:space="preserve">Comparisons of patient characteristics between the groups were performed using the Mann-Whitney </w:t>
      </w:r>
      <w:r w:rsidRPr="002400F1">
        <w:rPr>
          <w:i/>
          <w:color w:val="000000"/>
          <w:sz w:val="20"/>
          <w:szCs w:val="20"/>
        </w:rPr>
        <w:t>U</w:t>
      </w:r>
      <w:r w:rsidRPr="002400F1">
        <w:rPr>
          <w:color w:val="000000"/>
          <w:sz w:val="20"/>
          <w:szCs w:val="20"/>
        </w:rPr>
        <w:t xml:space="preserve">-test for continuous variable and </w:t>
      </w:r>
      <w:r w:rsidRPr="002400F1">
        <w:rPr>
          <w:i/>
          <w:color w:val="000000"/>
          <w:sz w:val="20"/>
          <w:szCs w:val="20"/>
        </w:rPr>
        <w:sym w:font="Symbol" w:char="F063"/>
      </w:r>
      <w:r w:rsidRPr="002400F1">
        <w:rPr>
          <w:color w:val="000000"/>
          <w:sz w:val="20"/>
          <w:szCs w:val="20"/>
          <w:vertAlign w:val="superscript"/>
        </w:rPr>
        <w:t>2</w:t>
      </w:r>
      <w:r w:rsidRPr="002400F1">
        <w:rPr>
          <w:color w:val="000000"/>
          <w:sz w:val="20"/>
          <w:szCs w:val="20"/>
        </w:rPr>
        <w:t xml:space="preserve"> and Fisher’s exact tests for categorical data. The probability of survival was calculated using the Kaplan-Meier estimator. The incidences of GVHD were calculated using the cumulative incidence function, with death and relapse as competing risks. Cumulative incidences were estimated for NRM and relapse, to account for competing risks. Relapse was the competing event for NRM and vice versa. Hazard ratios (HRs) for clinical outcomes were estimated from Cox regression analyses. </w:t>
      </w:r>
      <w:r w:rsidRPr="002400F1">
        <w:rPr>
          <w:i/>
          <w:color w:val="000000"/>
          <w:kern w:val="0"/>
          <w:sz w:val="20"/>
          <w:szCs w:val="20"/>
        </w:rPr>
        <w:t>P</w:t>
      </w:r>
      <w:r w:rsidRPr="002400F1">
        <w:rPr>
          <w:color w:val="000000"/>
          <w:kern w:val="0"/>
          <w:sz w:val="20"/>
          <w:szCs w:val="20"/>
        </w:rPr>
        <w:t xml:space="preserve"> values were 2-sided. The SPSS 24 (SPSS Inc</w:t>
      </w:r>
      <w:proofErr w:type="gramStart"/>
      <w:r w:rsidRPr="002400F1">
        <w:rPr>
          <w:color w:val="000000"/>
          <w:kern w:val="0"/>
          <w:sz w:val="20"/>
          <w:szCs w:val="20"/>
        </w:rPr>
        <w:t>./</w:t>
      </w:r>
      <w:proofErr w:type="gramEnd"/>
      <w:r w:rsidRPr="002400F1">
        <w:rPr>
          <w:color w:val="000000"/>
          <w:kern w:val="0"/>
          <w:sz w:val="20"/>
          <w:szCs w:val="20"/>
        </w:rPr>
        <w:t>IBM, Armonk, NY, USA) and the R software package (version 2.6.1; http://www.r-project.org) were used for data analyses.</w:t>
      </w:r>
    </w:p>
    <w:p w:rsidR="00BE2497" w:rsidRPr="002F6CE8" w:rsidRDefault="00BE2497" w:rsidP="00BE2497">
      <w:pPr>
        <w:snapToGrid w:val="0"/>
        <w:ind w:firstLineChars="200" w:firstLine="422"/>
        <w:rPr>
          <w:b/>
          <w:bCs/>
          <w:szCs w:val="21"/>
        </w:rPr>
      </w:pPr>
      <w:r w:rsidRPr="002F6CE8">
        <w:rPr>
          <w:b/>
          <w:bCs/>
          <w:szCs w:val="21"/>
        </w:rPr>
        <w:t>Quality assurance</w:t>
      </w:r>
    </w:p>
    <w:p w:rsidR="00875E37" w:rsidRPr="002F6CE8" w:rsidRDefault="00875E37" w:rsidP="00875E37">
      <w:pPr>
        <w:snapToGrid w:val="0"/>
        <w:ind w:firstLineChars="200" w:firstLine="420"/>
        <w:rPr>
          <w:szCs w:val="21"/>
        </w:rPr>
      </w:pPr>
      <w:r w:rsidRPr="002F6CE8">
        <w:rPr>
          <w:szCs w:val="21"/>
        </w:rPr>
        <w:t xml:space="preserve">For studies using eCRFs, </w:t>
      </w:r>
      <w:r w:rsidR="00C60278" w:rsidRPr="002F6CE8">
        <w:rPr>
          <w:rFonts w:hint="eastAsia"/>
          <w:szCs w:val="21"/>
        </w:rPr>
        <w:t>investigator</w:t>
      </w:r>
      <w:r w:rsidRPr="002F6CE8">
        <w:rPr>
          <w:szCs w:val="21"/>
        </w:rPr>
        <w:t xml:space="preserve"> will review the data entered by investigational staff for completeness and accuracy. After these actions have been completed and the data has been verified to be complete and accurate, the database will be declared locked and made available for data analysis. Authorization is required prior to making any database changes to locked data.</w:t>
      </w:r>
    </w:p>
    <w:p w:rsidR="00BE2497" w:rsidRPr="003845C0" w:rsidRDefault="00BE2497" w:rsidP="002F6CE8">
      <w:pPr>
        <w:snapToGrid w:val="0"/>
        <w:ind w:firstLineChars="200" w:firstLine="422"/>
        <w:rPr>
          <w:b/>
          <w:bCs/>
          <w:szCs w:val="21"/>
        </w:rPr>
      </w:pPr>
      <w:r w:rsidRPr="00BE2497">
        <w:rPr>
          <w:b/>
          <w:bCs/>
          <w:szCs w:val="21"/>
        </w:rPr>
        <w:t>Expected outcomes of the study</w:t>
      </w:r>
    </w:p>
    <w:p w:rsidR="003845C0" w:rsidRPr="009F4B9A" w:rsidRDefault="00BE2497" w:rsidP="009F4B9A">
      <w:pPr>
        <w:snapToGrid w:val="0"/>
        <w:ind w:firstLine="420"/>
        <w:rPr>
          <w:szCs w:val="21"/>
        </w:rPr>
      </w:pPr>
      <w:r>
        <w:rPr>
          <w:color w:val="000000"/>
          <w:sz w:val="20"/>
          <w:szCs w:val="20"/>
        </w:rPr>
        <w:t>P</w:t>
      </w:r>
      <w:r w:rsidRPr="002400F1">
        <w:rPr>
          <w:color w:val="000000"/>
          <w:sz w:val="20"/>
          <w:szCs w:val="20"/>
        </w:rPr>
        <w:t xml:space="preserve">reemptive IFN-α treatment could protect against relapse and improved </w:t>
      </w:r>
      <w:r>
        <w:rPr>
          <w:color w:val="000000"/>
          <w:sz w:val="20"/>
          <w:szCs w:val="20"/>
        </w:rPr>
        <w:t xml:space="preserve">long-term </w:t>
      </w:r>
      <w:r w:rsidRPr="002400F1">
        <w:rPr>
          <w:color w:val="000000"/>
          <w:sz w:val="20"/>
          <w:szCs w:val="20"/>
        </w:rPr>
        <w:t xml:space="preserve">survival of ALL patients who had MRD after </w:t>
      </w:r>
      <w:proofErr w:type="spellStart"/>
      <w:r w:rsidRPr="002400F1">
        <w:rPr>
          <w:color w:val="000000"/>
          <w:sz w:val="20"/>
          <w:szCs w:val="20"/>
        </w:rPr>
        <w:t>allo-HSCT</w:t>
      </w:r>
      <w:proofErr w:type="spellEnd"/>
      <w:r w:rsidRPr="002400F1">
        <w:rPr>
          <w:color w:val="000000"/>
          <w:sz w:val="20"/>
          <w:szCs w:val="20"/>
        </w:rPr>
        <w:t xml:space="preserve">. Because </w:t>
      </w:r>
      <w:proofErr w:type="spellStart"/>
      <w:r w:rsidRPr="002400F1">
        <w:rPr>
          <w:color w:val="000000"/>
          <w:sz w:val="20"/>
          <w:szCs w:val="20"/>
        </w:rPr>
        <w:t>IFN</w:t>
      </w:r>
      <w:proofErr w:type="spellEnd"/>
      <w:r w:rsidRPr="002400F1">
        <w:rPr>
          <w:color w:val="000000"/>
          <w:sz w:val="20"/>
          <w:szCs w:val="20"/>
        </w:rPr>
        <w:t xml:space="preserve">-α may tend to be started in patients with relatively low leukemia burden, it could not only unlock its therapeutic potential in ALL, but also spare the patients in remission from further therapy. Moreover, IFN-α </w:t>
      </w:r>
      <w:r>
        <w:rPr>
          <w:color w:val="000000"/>
          <w:sz w:val="20"/>
          <w:szCs w:val="20"/>
        </w:rPr>
        <w:t>is</w:t>
      </w:r>
      <w:r w:rsidRPr="002400F1">
        <w:rPr>
          <w:color w:val="000000"/>
          <w:sz w:val="20"/>
          <w:szCs w:val="20"/>
        </w:rPr>
        <w:t xml:space="preserve"> a simple treatment with increased accessibility as it could be performed on an outpatient basis.</w:t>
      </w:r>
    </w:p>
    <w:p w:rsidR="006F5D74" w:rsidRPr="006F5D74" w:rsidRDefault="006F5D74" w:rsidP="006F5D74">
      <w:pPr>
        <w:snapToGrid w:val="0"/>
        <w:ind w:firstLine="420"/>
        <w:rPr>
          <w:b/>
          <w:bCs/>
          <w:szCs w:val="21"/>
        </w:rPr>
      </w:pPr>
      <w:r w:rsidRPr="0082500D">
        <w:rPr>
          <w:b/>
          <w:bCs/>
          <w:szCs w:val="21"/>
        </w:rPr>
        <w:t>Project management</w:t>
      </w:r>
    </w:p>
    <w:p w:rsidR="00F065F6" w:rsidRPr="006130EE" w:rsidRDefault="00F065F6" w:rsidP="002F6CE8">
      <w:pPr>
        <w:ind w:firstLineChars="200" w:firstLine="402"/>
        <w:rPr>
          <w:color w:val="231F20"/>
          <w:sz w:val="20"/>
          <w:szCs w:val="20"/>
        </w:rPr>
      </w:pPr>
      <w:r w:rsidRPr="002F6CE8">
        <w:rPr>
          <w:b/>
          <w:i/>
          <w:color w:val="231F20"/>
          <w:sz w:val="20"/>
          <w:szCs w:val="20"/>
        </w:rPr>
        <w:t>Conception/Design</w:t>
      </w:r>
      <w:r w:rsidRPr="002F6CE8">
        <w:rPr>
          <w:i/>
          <w:color w:val="231F20"/>
          <w:sz w:val="20"/>
          <w:szCs w:val="20"/>
        </w:rPr>
        <w:t>:</w:t>
      </w:r>
      <w:r w:rsidRPr="006130EE">
        <w:rPr>
          <w:rFonts w:hint="eastAsia"/>
          <w:color w:val="231F20"/>
          <w:sz w:val="20"/>
          <w:szCs w:val="20"/>
        </w:rPr>
        <w:t xml:space="preserve"> Xiao-Dong Mo</w:t>
      </w:r>
      <w:proofErr w:type="gramStart"/>
      <w:r w:rsidRPr="006130EE">
        <w:rPr>
          <w:rFonts w:hint="eastAsia"/>
          <w:color w:val="231F20"/>
          <w:sz w:val="20"/>
          <w:szCs w:val="20"/>
        </w:rPr>
        <w:t>,  and</w:t>
      </w:r>
      <w:proofErr w:type="gramEnd"/>
      <w:r w:rsidRPr="006130EE">
        <w:rPr>
          <w:rFonts w:hint="eastAsia"/>
          <w:color w:val="231F20"/>
          <w:sz w:val="20"/>
          <w:szCs w:val="20"/>
        </w:rPr>
        <w:t xml:space="preserve"> Xiao-Jun Huang</w:t>
      </w:r>
    </w:p>
    <w:p w:rsidR="00F065F6" w:rsidRPr="006130EE" w:rsidRDefault="006331C6" w:rsidP="002F6CE8">
      <w:pPr>
        <w:ind w:firstLineChars="200" w:firstLine="402"/>
        <w:rPr>
          <w:color w:val="231F20"/>
          <w:sz w:val="20"/>
          <w:szCs w:val="20"/>
        </w:rPr>
      </w:pPr>
      <w:r>
        <w:rPr>
          <w:b/>
          <w:i/>
          <w:color w:val="231F20"/>
          <w:sz w:val="20"/>
          <w:szCs w:val="20"/>
        </w:rPr>
        <w:lastRenderedPageBreak/>
        <w:t>P</w:t>
      </w:r>
      <w:r w:rsidR="00400160" w:rsidRPr="00400160">
        <w:rPr>
          <w:b/>
          <w:i/>
          <w:color w:val="231F20"/>
          <w:sz w:val="20"/>
          <w:szCs w:val="20"/>
        </w:rPr>
        <w:t>atient management</w:t>
      </w:r>
      <w:r w:rsidR="00F065F6" w:rsidRPr="002F6CE8">
        <w:rPr>
          <w:i/>
          <w:color w:val="231F20"/>
          <w:sz w:val="20"/>
          <w:szCs w:val="20"/>
        </w:rPr>
        <w:t>:</w:t>
      </w:r>
      <w:r w:rsidR="00F065F6" w:rsidRPr="006130EE">
        <w:rPr>
          <w:rFonts w:hint="eastAsia"/>
          <w:color w:val="231F20"/>
          <w:sz w:val="20"/>
          <w:szCs w:val="20"/>
        </w:rPr>
        <w:t xml:space="preserve"> </w:t>
      </w:r>
      <w:r w:rsidR="00F065F6">
        <w:rPr>
          <w:color w:val="231F20"/>
          <w:sz w:val="20"/>
          <w:szCs w:val="20"/>
        </w:rPr>
        <w:t xml:space="preserve">Xiao-Dong Mo, </w:t>
      </w:r>
      <w:r w:rsidR="00F065F6" w:rsidRPr="006130EE">
        <w:rPr>
          <w:rFonts w:hint="eastAsia"/>
          <w:color w:val="231F20"/>
          <w:sz w:val="20"/>
          <w:szCs w:val="20"/>
        </w:rPr>
        <w:t xml:space="preserve">Lan-Ping Xu, Xiao-Hui Zhang, </w:t>
      </w:r>
      <w:r w:rsidR="00F065F6">
        <w:rPr>
          <w:color w:val="231F20"/>
          <w:sz w:val="20"/>
          <w:szCs w:val="20"/>
        </w:rPr>
        <w:t xml:space="preserve">Yu Wang, </w:t>
      </w:r>
      <w:r w:rsidR="00F065F6" w:rsidRPr="006130EE">
        <w:rPr>
          <w:rFonts w:hint="eastAsia"/>
          <w:color w:val="231F20"/>
          <w:sz w:val="20"/>
          <w:szCs w:val="20"/>
        </w:rPr>
        <w:t xml:space="preserve">Chen-Hua Yan, Huan Chen, Yu-Hong Chen, </w:t>
      </w:r>
      <w:r w:rsidR="00F065F6">
        <w:rPr>
          <w:color w:val="231F20"/>
          <w:sz w:val="20"/>
          <w:szCs w:val="20"/>
        </w:rPr>
        <w:t xml:space="preserve">Wei Han, Feng-Rong Wang, Jing-Zhi Wang, </w:t>
      </w:r>
      <w:r w:rsidR="00F065F6" w:rsidRPr="006130EE">
        <w:rPr>
          <w:rFonts w:hint="eastAsia"/>
          <w:color w:val="231F20"/>
          <w:sz w:val="20"/>
          <w:szCs w:val="20"/>
        </w:rPr>
        <w:t>Kai-Yan Liu</w:t>
      </w:r>
      <w:r w:rsidR="00F065F6">
        <w:rPr>
          <w:color w:val="231F20"/>
          <w:sz w:val="20"/>
          <w:szCs w:val="20"/>
        </w:rPr>
        <w:t>, and Xiao-Jun Huang</w:t>
      </w:r>
    </w:p>
    <w:p w:rsidR="00F065F6" w:rsidRPr="006130EE" w:rsidRDefault="00F065F6" w:rsidP="002F6CE8">
      <w:pPr>
        <w:ind w:firstLineChars="150" w:firstLine="301"/>
        <w:rPr>
          <w:color w:val="231F20"/>
          <w:sz w:val="20"/>
          <w:szCs w:val="20"/>
        </w:rPr>
      </w:pPr>
      <w:r w:rsidRPr="002F6CE8">
        <w:rPr>
          <w:b/>
          <w:i/>
          <w:color w:val="231F20"/>
          <w:sz w:val="20"/>
          <w:szCs w:val="20"/>
        </w:rPr>
        <w:t>Collection and/or assembly of data</w:t>
      </w:r>
      <w:r w:rsidRPr="002F6CE8">
        <w:rPr>
          <w:i/>
          <w:color w:val="231F20"/>
          <w:sz w:val="20"/>
          <w:szCs w:val="20"/>
        </w:rPr>
        <w:t xml:space="preserve">: </w:t>
      </w:r>
      <w:r w:rsidRPr="006130EE">
        <w:rPr>
          <w:rFonts w:hint="eastAsia"/>
          <w:color w:val="231F20"/>
          <w:sz w:val="20"/>
          <w:szCs w:val="20"/>
        </w:rPr>
        <w:t>Xiao-Dong Mo</w:t>
      </w:r>
      <w:r>
        <w:rPr>
          <w:color w:val="231F20"/>
          <w:sz w:val="20"/>
          <w:szCs w:val="20"/>
        </w:rPr>
        <w:t xml:space="preserve">, Si-Ning Liu, and </w:t>
      </w:r>
      <w:proofErr w:type="spellStart"/>
      <w:r>
        <w:rPr>
          <w:color w:val="231F20"/>
          <w:sz w:val="20"/>
          <w:szCs w:val="20"/>
        </w:rPr>
        <w:t>Xue</w:t>
      </w:r>
      <w:proofErr w:type="spellEnd"/>
      <w:r>
        <w:rPr>
          <w:color w:val="231F20"/>
          <w:sz w:val="20"/>
          <w:szCs w:val="20"/>
        </w:rPr>
        <w:t xml:space="preserve">-Yi </w:t>
      </w:r>
      <w:proofErr w:type="spellStart"/>
      <w:r>
        <w:rPr>
          <w:color w:val="231F20"/>
          <w:sz w:val="20"/>
          <w:szCs w:val="20"/>
        </w:rPr>
        <w:t>Luo</w:t>
      </w:r>
      <w:proofErr w:type="spellEnd"/>
    </w:p>
    <w:p w:rsidR="00F065F6" w:rsidRPr="006130EE" w:rsidRDefault="00F065F6" w:rsidP="002F6CE8">
      <w:pPr>
        <w:ind w:firstLineChars="150" w:firstLine="301"/>
        <w:rPr>
          <w:color w:val="231F20"/>
          <w:sz w:val="20"/>
          <w:szCs w:val="20"/>
        </w:rPr>
      </w:pPr>
      <w:r w:rsidRPr="002F6CE8">
        <w:rPr>
          <w:b/>
          <w:i/>
          <w:color w:val="231F20"/>
          <w:sz w:val="20"/>
          <w:szCs w:val="20"/>
        </w:rPr>
        <w:t>Data analysis and interpretation</w:t>
      </w:r>
      <w:r w:rsidRPr="002F6CE8">
        <w:rPr>
          <w:i/>
          <w:color w:val="231F20"/>
          <w:sz w:val="20"/>
          <w:szCs w:val="20"/>
        </w:rPr>
        <w:t>:</w:t>
      </w:r>
      <w:r w:rsidRPr="006130EE">
        <w:rPr>
          <w:rFonts w:hint="eastAsia"/>
          <w:color w:val="231F20"/>
          <w:sz w:val="20"/>
          <w:szCs w:val="20"/>
        </w:rPr>
        <w:t xml:space="preserve"> Xiao-Dong Mo and </w:t>
      </w:r>
      <w:r>
        <w:rPr>
          <w:color w:val="231F20"/>
          <w:sz w:val="20"/>
          <w:szCs w:val="20"/>
        </w:rPr>
        <w:t>Si-Ning Liu</w:t>
      </w:r>
      <w:r w:rsidRPr="006130EE">
        <w:rPr>
          <w:rFonts w:hint="eastAsia"/>
          <w:color w:val="231F20"/>
          <w:sz w:val="20"/>
          <w:szCs w:val="20"/>
        </w:rPr>
        <w:t xml:space="preserve"> </w:t>
      </w:r>
    </w:p>
    <w:p w:rsidR="006F5D74" w:rsidRPr="006F5D74" w:rsidRDefault="006F5D74" w:rsidP="002F6CE8">
      <w:pPr>
        <w:snapToGrid w:val="0"/>
        <w:ind w:firstLineChars="150" w:firstLine="316"/>
        <w:rPr>
          <w:b/>
          <w:bCs/>
          <w:szCs w:val="21"/>
        </w:rPr>
      </w:pPr>
      <w:r w:rsidRPr="006F5D74">
        <w:rPr>
          <w:b/>
          <w:bCs/>
          <w:szCs w:val="21"/>
        </w:rPr>
        <w:t>Ethics</w:t>
      </w:r>
    </w:p>
    <w:p w:rsidR="006F5D74" w:rsidRPr="002F6CE8" w:rsidRDefault="00F065F6" w:rsidP="006F5D74">
      <w:pPr>
        <w:snapToGrid w:val="0"/>
        <w:ind w:firstLine="420"/>
        <w:rPr>
          <w:bCs/>
          <w:szCs w:val="21"/>
        </w:rPr>
      </w:pPr>
      <w:r w:rsidRPr="002400F1">
        <w:rPr>
          <w:color w:val="000000"/>
          <w:sz w:val="20"/>
          <w:szCs w:val="20"/>
        </w:rPr>
        <w:t xml:space="preserve">The study was performed in accordance with the Declaration of Helsinki and was approved by the Ethics Committee of Peking University People’s Hospital. </w:t>
      </w:r>
    </w:p>
    <w:p w:rsidR="006F5D74" w:rsidRPr="006F5D74" w:rsidRDefault="006F5D74" w:rsidP="006F5D74">
      <w:pPr>
        <w:snapToGrid w:val="0"/>
        <w:ind w:firstLine="420"/>
        <w:rPr>
          <w:b/>
          <w:bCs/>
          <w:szCs w:val="21"/>
        </w:rPr>
      </w:pPr>
      <w:r w:rsidRPr="006F5D74">
        <w:rPr>
          <w:b/>
          <w:bCs/>
          <w:szCs w:val="21"/>
        </w:rPr>
        <w:t>Informed consent forms</w:t>
      </w:r>
    </w:p>
    <w:p w:rsidR="003737A6" w:rsidRPr="0045640E" w:rsidRDefault="00F065F6" w:rsidP="002F6CE8">
      <w:pPr>
        <w:snapToGrid w:val="0"/>
        <w:ind w:firstLineChars="150" w:firstLine="300"/>
        <w:rPr>
          <w:szCs w:val="21"/>
        </w:rPr>
      </w:pPr>
      <w:bookmarkStart w:id="17" w:name="_Hlk35091834"/>
      <w:r w:rsidRPr="002400F1">
        <w:rPr>
          <w:color w:val="000000"/>
          <w:sz w:val="20"/>
          <w:szCs w:val="20"/>
        </w:rPr>
        <w:t>All patients or the patients’ guardians</w:t>
      </w:r>
      <w:bookmarkEnd w:id="17"/>
      <w:r w:rsidRPr="002400F1">
        <w:rPr>
          <w:color w:val="000000"/>
          <w:sz w:val="20"/>
          <w:szCs w:val="20"/>
        </w:rPr>
        <w:t xml:space="preserve"> gave written informed consent before enrollment.</w:t>
      </w:r>
    </w:p>
    <w:sectPr w:rsidR="003737A6" w:rsidRPr="0045640E" w:rsidSect="0094368B">
      <w:pgSz w:w="11900" w:h="16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3E05" w:rsidRDefault="001D3E05" w:rsidP="00204B32">
      <w:pPr>
        <w:spacing w:line="240" w:lineRule="auto"/>
      </w:pPr>
      <w:r>
        <w:separator/>
      </w:r>
    </w:p>
  </w:endnote>
  <w:endnote w:type="continuationSeparator" w:id="0">
    <w:p w:rsidR="001D3E05" w:rsidRDefault="001D3E05" w:rsidP="00204B3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等线">
    <w:panose1 w:val="00000000000000000000"/>
    <w:charset w:val="80"/>
    <w:family w:val="roman"/>
    <w:notTrueType/>
    <w:pitch w:val="default"/>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3E05" w:rsidRDefault="001D3E05" w:rsidP="00204B32">
      <w:pPr>
        <w:spacing w:line="240" w:lineRule="auto"/>
      </w:pPr>
      <w:r>
        <w:separator/>
      </w:r>
    </w:p>
  </w:footnote>
  <w:footnote w:type="continuationSeparator" w:id="0">
    <w:p w:rsidR="001D3E05" w:rsidRDefault="001D3E05" w:rsidP="00204B32">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bordersDoNotSurroundHeader/>
  <w:bordersDoNotSurroundFooter/>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
  <w:docVars>
    <w:docVar w:name="EN.InstantFormat" w:val="&lt;ENInstantFormat&gt;&lt;Enabled&gt;1&lt;/Enabled&gt;&lt;ScanUnformatted&gt;1&lt;/ScanUnformatted&gt;&lt;ScanChanges&gt;1&lt;/ScanChanges&gt;&lt;Suspended&gt;0&lt;/Suspended&gt;&lt;/ENInstantFormat&gt;"/>
    <w:docVar w:name="EN.Layout" w:val="&lt;ENLayout&gt;&lt;Style&gt;Nature Scientific Reports&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2exzfep8wape1e2v21x2a979dvdsppp2twe&quot;&gt;IFN-ALL&lt;record-ids&gt;&lt;item&gt;1&lt;/item&gt;&lt;item&gt;2&lt;/item&gt;&lt;item&gt;3&lt;/item&gt;&lt;item&gt;4&lt;/item&gt;&lt;item&gt;5&lt;/item&gt;&lt;item&gt;6&lt;/item&gt;&lt;item&gt;7&lt;/item&gt;&lt;item&gt;8&lt;/item&gt;&lt;item&gt;10&lt;/item&gt;&lt;item&gt;11&lt;/item&gt;&lt;item&gt;12&lt;/item&gt;&lt;item&gt;13&lt;/item&gt;&lt;item&gt;30&lt;/item&gt;&lt;item&gt;37&lt;/item&gt;&lt;item&gt;44&lt;/item&gt;&lt;item&gt;45&lt;/item&gt;&lt;item&gt;46&lt;/item&gt;&lt;item&gt;47&lt;/item&gt;&lt;item&gt;48&lt;/item&gt;&lt;item&gt;49&lt;/item&gt;&lt;item&gt;50&lt;/item&gt;&lt;item&gt;64&lt;/item&gt;&lt;/record-ids&gt;&lt;/item&gt;&lt;/Libraries&gt;"/>
  </w:docVars>
  <w:rsids>
    <w:rsidRoot w:val="003737A6"/>
    <w:rsid w:val="00016317"/>
    <w:rsid w:val="00030BD1"/>
    <w:rsid w:val="00044340"/>
    <w:rsid w:val="000719AB"/>
    <w:rsid w:val="000C5A6E"/>
    <w:rsid w:val="000E6FD2"/>
    <w:rsid w:val="00127CBE"/>
    <w:rsid w:val="001351A0"/>
    <w:rsid w:val="00173DE1"/>
    <w:rsid w:val="001B385F"/>
    <w:rsid w:val="001C174B"/>
    <w:rsid w:val="001D3E05"/>
    <w:rsid w:val="001F6CB2"/>
    <w:rsid w:val="00204B32"/>
    <w:rsid w:val="00214D52"/>
    <w:rsid w:val="0025703C"/>
    <w:rsid w:val="00267412"/>
    <w:rsid w:val="002758D6"/>
    <w:rsid w:val="002B7DA3"/>
    <w:rsid w:val="002E5FA9"/>
    <w:rsid w:val="002F6CE8"/>
    <w:rsid w:val="0036027E"/>
    <w:rsid w:val="0036407C"/>
    <w:rsid w:val="003737A6"/>
    <w:rsid w:val="003845C0"/>
    <w:rsid w:val="00395727"/>
    <w:rsid w:val="003C36BC"/>
    <w:rsid w:val="00400160"/>
    <w:rsid w:val="004315D6"/>
    <w:rsid w:val="004513E2"/>
    <w:rsid w:val="0045640E"/>
    <w:rsid w:val="0046771B"/>
    <w:rsid w:val="004715CC"/>
    <w:rsid w:val="00472A25"/>
    <w:rsid w:val="004B0501"/>
    <w:rsid w:val="004E143B"/>
    <w:rsid w:val="00503AB2"/>
    <w:rsid w:val="005750B7"/>
    <w:rsid w:val="005D56CD"/>
    <w:rsid w:val="005E78C1"/>
    <w:rsid w:val="005F5AA7"/>
    <w:rsid w:val="00607E83"/>
    <w:rsid w:val="00620075"/>
    <w:rsid w:val="006331C6"/>
    <w:rsid w:val="0065424B"/>
    <w:rsid w:val="00657073"/>
    <w:rsid w:val="00685AB3"/>
    <w:rsid w:val="006B00A6"/>
    <w:rsid w:val="006F3A04"/>
    <w:rsid w:val="006F5D74"/>
    <w:rsid w:val="00740C67"/>
    <w:rsid w:val="00747436"/>
    <w:rsid w:val="00747FBA"/>
    <w:rsid w:val="0076483D"/>
    <w:rsid w:val="00794E9F"/>
    <w:rsid w:val="007A76BC"/>
    <w:rsid w:val="007B1644"/>
    <w:rsid w:val="007C4207"/>
    <w:rsid w:val="007C71D8"/>
    <w:rsid w:val="0082500D"/>
    <w:rsid w:val="0084398E"/>
    <w:rsid w:val="00875E37"/>
    <w:rsid w:val="008E453D"/>
    <w:rsid w:val="00917EA1"/>
    <w:rsid w:val="0092070D"/>
    <w:rsid w:val="0094368B"/>
    <w:rsid w:val="00953CD2"/>
    <w:rsid w:val="009551D3"/>
    <w:rsid w:val="009555E8"/>
    <w:rsid w:val="0096751B"/>
    <w:rsid w:val="00997570"/>
    <w:rsid w:val="009A6F84"/>
    <w:rsid w:val="009F4B9A"/>
    <w:rsid w:val="00A03E01"/>
    <w:rsid w:val="00A23287"/>
    <w:rsid w:val="00A35B71"/>
    <w:rsid w:val="00A804EA"/>
    <w:rsid w:val="00A83165"/>
    <w:rsid w:val="00AC3C50"/>
    <w:rsid w:val="00B32193"/>
    <w:rsid w:val="00B528C9"/>
    <w:rsid w:val="00B62D17"/>
    <w:rsid w:val="00B66DB7"/>
    <w:rsid w:val="00BC4778"/>
    <w:rsid w:val="00BD5CEC"/>
    <w:rsid w:val="00BE2497"/>
    <w:rsid w:val="00BE397D"/>
    <w:rsid w:val="00C06520"/>
    <w:rsid w:val="00C27AF6"/>
    <w:rsid w:val="00C60278"/>
    <w:rsid w:val="00CA072B"/>
    <w:rsid w:val="00D06C27"/>
    <w:rsid w:val="00D075BF"/>
    <w:rsid w:val="00D7665A"/>
    <w:rsid w:val="00E029DE"/>
    <w:rsid w:val="00EB1E6B"/>
    <w:rsid w:val="00EC487E"/>
    <w:rsid w:val="00EE69AE"/>
    <w:rsid w:val="00F065F6"/>
    <w:rsid w:val="00F633A7"/>
    <w:rsid w:val="00F73D79"/>
    <w:rsid w:val="00F82839"/>
    <w:rsid w:val="00F84975"/>
    <w:rsid w:val="00FA36F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7A6"/>
    <w:pPr>
      <w:spacing w:line="480" w:lineRule="auto"/>
      <w:jc w:val="both"/>
    </w:pPr>
    <w:rPr>
      <w:rFonts w:ascii="Times New Roman" w:eastAsia="SimSun" w:hAnsi="Times New Roman" w:cs="Times New Roman"/>
      <w:kern w:val="2"/>
      <w:sz w:val="21"/>
    </w:rPr>
  </w:style>
  <w:style w:type="paragraph" w:styleId="Heading1">
    <w:name w:val="heading 1"/>
    <w:basedOn w:val="Normal"/>
    <w:link w:val="Heading1Char"/>
    <w:uiPriority w:val="9"/>
    <w:qFormat/>
    <w:rsid w:val="00503AB2"/>
    <w:pPr>
      <w:spacing w:before="100" w:beforeAutospacing="1" w:after="100" w:afterAutospacing="1" w:line="240" w:lineRule="auto"/>
      <w:jc w:val="left"/>
      <w:outlineLvl w:val="0"/>
    </w:pPr>
    <w:rPr>
      <w:rFonts w:ascii="SimSun" w:hAnsi="SimSun" w:cs="SimSun"/>
      <w:b/>
      <w:bCs/>
      <w:kern w:val="36"/>
      <w:sz w:val="48"/>
      <w:szCs w:val="48"/>
    </w:rPr>
  </w:style>
  <w:style w:type="paragraph" w:styleId="Heading3">
    <w:name w:val="heading 3"/>
    <w:basedOn w:val="Normal"/>
    <w:next w:val="Normal"/>
    <w:link w:val="Heading3Char"/>
    <w:uiPriority w:val="9"/>
    <w:semiHidden/>
    <w:unhideWhenUsed/>
    <w:qFormat/>
    <w:rsid w:val="00400160"/>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rsid w:val="009F4B9A"/>
  </w:style>
  <w:style w:type="paragraph" w:customStyle="1" w:styleId="Pa3">
    <w:name w:val="Pa3"/>
    <w:basedOn w:val="Normal"/>
    <w:next w:val="Normal"/>
    <w:uiPriority w:val="99"/>
    <w:rsid w:val="009F4B9A"/>
    <w:pPr>
      <w:autoSpaceDE w:val="0"/>
      <w:autoSpaceDN w:val="0"/>
      <w:adjustRightInd w:val="0"/>
      <w:spacing w:line="211" w:lineRule="atLeast"/>
      <w:jc w:val="left"/>
    </w:pPr>
    <w:rPr>
      <w:kern w:val="0"/>
      <w:sz w:val="24"/>
    </w:rPr>
  </w:style>
  <w:style w:type="paragraph" w:styleId="Header">
    <w:name w:val="header"/>
    <w:basedOn w:val="Normal"/>
    <w:link w:val="HeaderChar"/>
    <w:uiPriority w:val="99"/>
    <w:unhideWhenUsed/>
    <w:rsid w:val="00204B32"/>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204B32"/>
    <w:rPr>
      <w:rFonts w:ascii="Times New Roman" w:eastAsia="SimSun" w:hAnsi="Times New Roman" w:cs="Times New Roman"/>
      <w:kern w:val="2"/>
      <w:sz w:val="18"/>
      <w:szCs w:val="18"/>
    </w:rPr>
  </w:style>
  <w:style w:type="paragraph" w:styleId="Footer">
    <w:name w:val="footer"/>
    <w:basedOn w:val="Normal"/>
    <w:link w:val="FooterChar"/>
    <w:uiPriority w:val="99"/>
    <w:unhideWhenUsed/>
    <w:rsid w:val="00204B32"/>
    <w:pPr>
      <w:tabs>
        <w:tab w:val="center" w:pos="4153"/>
        <w:tab w:val="right" w:pos="8306"/>
      </w:tabs>
      <w:snapToGrid w:val="0"/>
      <w:spacing w:line="240" w:lineRule="auto"/>
      <w:jc w:val="left"/>
    </w:pPr>
    <w:rPr>
      <w:sz w:val="18"/>
      <w:szCs w:val="18"/>
    </w:rPr>
  </w:style>
  <w:style w:type="character" w:customStyle="1" w:styleId="FooterChar">
    <w:name w:val="Footer Char"/>
    <w:basedOn w:val="DefaultParagraphFont"/>
    <w:link w:val="Footer"/>
    <w:uiPriority w:val="99"/>
    <w:rsid w:val="00204B32"/>
    <w:rPr>
      <w:rFonts w:ascii="Times New Roman" w:eastAsia="SimSun" w:hAnsi="Times New Roman" w:cs="Times New Roman"/>
      <w:kern w:val="2"/>
      <w:sz w:val="18"/>
      <w:szCs w:val="18"/>
    </w:rPr>
  </w:style>
  <w:style w:type="paragraph" w:styleId="BalloonText">
    <w:name w:val="Balloon Text"/>
    <w:basedOn w:val="Normal"/>
    <w:link w:val="BalloonTextChar"/>
    <w:uiPriority w:val="99"/>
    <w:semiHidden/>
    <w:unhideWhenUsed/>
    <w:rsid w:val="00204B32"/>
    <w:pPr>
      <w:spacing w:line="240" w:lineRule="auto"/>
    </w:pPr>
    <w:rPr>
      <w:sz w:val="18"/>
      <w:szCs w:val="18"/>
    </w:rPr>
  </w:style>
  <w:style w:type="character" w:customStyle="1" w:styleId="BalloonTextChar">
    <w:name w:val="Balloon Text Char"/>
    <w:basedOn w:val="DefaultParagraphFont"/>
    <w:link w:val="BalloonText"/>
    <w:uiPriority w:val="99"/>
    <w:semiHidden/>
    <w:rsid w:val="00204B32"/>
    <w:rPr>
      <w:rFonts w:ascii="Times New Roman" w:eastAsia="SimSun" w:hAnsi="Times New Roman" w:cs="Times New Roman"/>
      <w:kern w:val="2"/>
      <w:sz w:val="18"/>
      <w:szCs w:val="18"/>
    </w:rPr>
  </w:style>
  <w:style w:type="character" w:styleId="CommentReference">
    <w:name w:val="annotation reference"/>
    <w:basedOn w:val="DefaultParagraphFont"/>
    <w:unhideWhenUsed/>
    <w:rsid w:val="00214D52"/>
    <w:rPr>
      <w:sz w:val="21"/>
      <w:szCs w:val="21"/>
    </w:rPr>
  </w:style>
  <w:style w:type="paragraph" w:styleId="CommentText">
    <w:name w:val="annotation text"/>
    <w:basedOn w:val="Normal"/>
    <w:link w:val="CommentTextChar"/>
    <w:uiPriority w:val="99"/>
    <w:semiHidden/>
    <w:unhideWhenUsed/>
    <w:rsid w:val="00214D52"/>
    <w:pPr>
      <w:jc w:val="left"/>
    </w:pPr>
  </w:style>
  <w:style w:type="character" w:customStyle="1" w:styleId="CommentTextChar">
    <w:name w:val="Comment Text Char"/>
    <w:basedOn w:val="DefaultParagraphFont"/>
    <w:link w:val="CommentText"/>
    <w:uiPriority w:val="99"/>
    <w:semiHidden/>
    <w:rsid w:val="00214D52"/>
    <w:rPr>
      <w:rFonts w:ascii="Times New Roman" w:eastAsia="SimSun" w:hAnsi="Times New Roman" w:cs="Times New Roman"/>
      <w:kern w:val="2"/>
      <w:sz w:val="21"/>
    </w:rPr>
  </w:style>
  <w:style w:type="paragraph" w:styleId="CommentSubject">
    <w:name w:val="annotation subject"/>
    <w:basedOn w:val="CommentText"/>
    <w:next w:val="CommentText"/>
    <w:link w:val="CommentSubjectChar"/>
    <w:uiPriority w:val="99"/>
    <w:semiHidden/>
    <w:unhideWhenUsed/>
    <w:rsid w:val="00214D52"/>
    <w:rPr>
      <w:b/>
      <w:bCs/>
    </w:rPr>
  </w:style>
  <w:style w:type="character" w:customStyle="1" w:styleId="CommentSubjectChar">
    <w:name w:val="Comment Subject Char"/>
    <w:basedOn w:val="CommentTextChar"/>
    <w:link w:val="CommentSubject"/>
    <w:uiPriority w:val="99"/>
    <w:semiHidden/>
    <w:rsid w:val="00214D52"/>
    <w:rPr>
      <w:rFonts w:ascii="Times New Roman" w:eastAsia="SimSun" w:hAnsi="Times New Roman" w:cs="Times New Roman"/>
      <w:b/>
      <w:bCs/>
      <w:kern w:val="2"/>
      <w:sz w:val="21"/>
    </w:rPr>
  </w:style>
  <w:style w:type="character" w:customStyle="1" w:styleId="Heading1Char">
    <w:name w:val="Heading 1 Char"/>
    <w:basedOn w:val="DefaultParagraphFont"/>
    <w:link w:val="Heading1"/>
    <w:uiPriority w:val="9"/>
    <w:rsid w:val="00503AB2"/>
    <w:rPr>
      <w:rFonts w:ascii="SimSun" w:eastAsia="SimSun" w:hAnsi="SimSun" w:cs="SimSun"/>
      <w:b/>
      <w:bCs/>
      <w:kern w:val="36"/>
      <w:sz w:val="48"/>
      <w:szCs w:val="48"/>
    </w:rPr>
  </w:style>
  <w:style w:type="character" w:styleId="Hyperlink">
    <w:name w:val="Hyperlink"/>
    <w:uiPriority w:val="99"/>
    <w:unhideWhenUsed/>
    <w:rsid w:val="00503AB2"/>
    <w:rPr>
      <w:color w:val="0000FF"/>
      <w:u w:val="single"/>
    </w:rPr>
  </w:style>
  <w:style w:type="character" w:customStyle="1" w:styleId="apple-converted-space">
    <w:name w:val="apple-converted-space"/>
    <w:basedOn w:val="DefaultParagraphFont"/>
    <w:rsid w:val="00503AB2"/>
  </w:style>
  <w:style w:type="character" w:customStyle="1" w:styleId="highlight">
    <w:name w:val="highlight"/>
    <w:basedOn w:val="DefaultParagraphFont"/>
    <w:rsid w:val="00503AB2"/>
  </w:style>
  <w:style w:type="paragraph" w:customStyle="1" w:styleId="EndNoteBibliography">
    <w:name w:val="EndNote Bibliography"/>
    <w:basedOn w:val="Normal"/>
    <w:rsid w:val="00503AB2"/>
    <w:pPr>
      <w:spacing w:line="240" w:lineRule="auto"/>
    </w:pPr>
    <w:rPr>
      <w:sz w:val="20"/>
    </w:rPr>
  </w:style>
  <w:style w:type="character" w:customStyle="1" w:styleId="Heading3Char">
    <w:name w:val="Heading 3 Char"/>
    <w:basedOn w:val="DefaultParagraphFont"/>
    <w:link w:val="Heading3"/>
    <w:uiPriority w:val="9"/>
    <w:semiHidden/>
    <w:rsid w:val="00400160"/>
    <w:rPr>
      <w:rFonts w:ascii="Times New Roman" w:eastAsia="SimSun" w:hAnsi="Times New Roman" w:cs="Times New Roman"/>
      <w:b/>
      <w:bCs/>
      <w:kern w:val="2"/>
      <w:sz w:val="32"/>
      <w:szCs w:val="32"/>
    </w:rPr>
  </w:style>
  <w:style w:type="paragraph" w:customStyle="1" w:styleId="EndNoteBibliographyTitle">
    <w:name w:val="EndNote Bibliography Title"/>
    <w:basedOn w:val="Normal"/>
    <w:link w:val="EndNoteBibliographyTitle0"/>
    <w:rsid w:val="0092070D"/>
    <w:pPr>
      <w:jc w:val="center"/>
    </w:pPr>
    <w:rPr>
      <w:sz w:val="20"/>
    </w:rPr>
  </w:style>
  <w:style w:type="character" w:customStyle="1" w:styleId="EndNoteBibliographyTitle0">
    <w:name w:val="EndNote Bibliography Title 字符"/>
    <w:basedOn w:val="DefaultParagraphFont"/>
    <w:link w:val="EndNoteBibliographyTitle"/>
    <w:rsid w:val="0092070D"/>
    <w:rPr>
      <w:rFonts w:ascii="Times New Roman" w:eastAsia="SimSun" w:hAnsi="Times New Roman" w:cs="Times New Roman"/>
      <w:kern w:val="2"/>
      <w:sz w:val="20"/>
    </w:rPr>
  </w:style>
</w:styles>
</file>

<file path=word/webSettings.xml><?xml version="1.0" encoding="utf-8"?>
<w:webSettings xmlns:r="http://schemas.openxmlformats.org/officeDocument/2006/relationships" xmlns:w="http://schemas.openxmlformats.org/wordprocessingml/2006/main">
  <w:divs>
    <w:div w:id="621770834">
      <w:bodyDiv w:val="1"/>
      <w:marLeft w:val="0"/>
      <w:marRight w:val="0"/>
      <w:marTop w:val="0"/>
      <w:marBottom w:val="0"/>
      <w:divBdr>
        <w:top w:val="none" w:sz="0" w:space="0" w:color="auto"/>
        <w:left w:val="none" w:sz="0" w:space="0" w:color="auto"/>
        <w:bottom w:val="none" w:sz="0" w:space="0" w:color="auto"/>
        <w:right w:val="none" w:sz="0" w:space="0" w:color="auto"/>
      </w:divBdr>
    </w:div>
    <w:div w:id="1309476484">
      <w:bodyDiv w:val="1"/>
      <w:marLeft w:val="0"/>
      <w:marRight w:val="0"/>
      <w:marTop w:val="0"/>
      <w:marBottom w:val="0"/>
      <w:divBdr>
        <w:top w:val="none" w:sz="0" w:space="0" w:color="auto"/>
        <w:left w:val="none" w:sz="0" w:space="0" w:color="auto"/>
        <w:bottom w:val="none" w:sz="0" w:space="0" w:color="auto"/>
        <w:right w:val="none" w:sz="0" w:space="0" w:color="auto"/>
      </w:divBdr>
    </w:div>
    <w:div w:id="1314067889">
      <w:bodyDiv w:val="1"/>
      <w:marLeft w:val="0"/>
      <w:marRight w:val="0"/>
      <w:marTop w:val="0"/>
      <w:marBottom w:val="0"/>
      <w:divBdr>
        <w:top w:val="none" w:sz="0" w:space="0" w:color="auto"/>
        <w:left w:val="none" w:sz="0" w:space="0" w:color="auto"/>
        <w:bottom w:val="none" w:sz="0" w:space="0" w:color="auto"/>
        <w:right w:val="none" w:sz="0" w:space="0" w:color="auto"/>
      </w:divBdr>
    </w:div>
    <w:div w:id="1319067960">
      <w:bodyDiv w:val="1"/>
      <w:marLeft w:val="0"/>
      <w:marRight w:val="0"/>
      <w:marTop w:val="0"/>
      <w:marBottom w:val="0"/>
      <w:divBdr>
        <w:top w:val="none" w:sz="0" w:space="0" w:color="auto"/>
        <w:left w:val="none" w:sz="0" w:space="0" w:color="auto"/>
        <w:bottom w:val="none" w:sz="0" w:space="0" w:color="auto"/>
        <w:right w:val="none" w:sz="0" w:space="0" w:color="auto"/>
      </w:divBdr>
    </w:div>
    <w:div w:id="1376782630">
      <w:bodyDiv w:val="1"/>
      <w:marLeft w:val="0"/>
      <w:marRight w:val="0"/>
      <w:marTop w:val="0"/>
      <w:marBottom w:val="0"/>
      <w:divBdr>
        <w:top w:val="none" w:sz="0" w:space="0" w:color="auto"/>
        <w:left w:val="none" w:sz="0" w:space="0" w:color="auto"/>
        <w:bottom w:val="none" w:sz="0" w:space="0" w:color="auto"/>
        <w:right w:val="none" w:sz="0" w:space="0" w:color="auto"/>
      </w:divBdr>
    </w:div>
    <w:div w:id="1485974784">
      <w:bodyDiv w:val="1"/>
      <w:marLeft w:val="0"/>
      <w:marRight w:val="0"/>
      <w:marTop w:val="0"/>
      <w:marBottom w:val="0"/>
      <w:divBdr>
        <w:top w:val="none" w:sz="0" w:space="0" w:color="auto"/>
        <w:left w:val="none" w:sz="0" w:space="0" w:color="auto"/>
        <w:bottom w:val="none" w:sz="0" w:space="0" w:color="auto"/>
        <w:right w:val="none" w:sz="0" w:space="0" w:color="auto"/>
      </w:divBdr>
    </w:div>
    <w:div w:id="1699234417">
      <w:bodyDiv w:val="1"/>
      <w:marLeft w:val="0"/>
      <w:marRight w:val="0"/>
      <w:marTop w:val="0"/>
      <w:marBottom w:val="0"/>
      <w:divBdr>
        <w:top w:val="none" w:sz="0" w:space="0" w:color="auto"/>
        <w:left w:val="none" w:sz="0" w:space="0" w:color="auto"/>
        <w:bottom w:val="none" w:sz="0" w:space="0" w:color="auto"/>
        <w:right w:val="none" w:sz="0" w:space="0" w:color="auto"/>
      </w:divBdr>
      <w:divsChild>
        <w:div w:id="634992602">
          <w:marLeft w:val="450"/>
          <w:marRight w:val="0"/>
          <w:marTop w:val="180"/>
          <w:marBottom w:val="0"/>
          <w:divBdr>
            <w:top w:val="none" w:sz="0" w:space="0" w:color="auto"/>
            <w:left w:val="none" w:sz="0" w:space="0" w:color="auto"/>
            <w:bottom w:val="none" w:sz="0" w:space="0" w:color="auto"/>
            <w:right w:val="none" w:sz="0" w:space="0" w:color="auto"/>
          </w:divBdr>
        </w:div>
        <w:div w:id="744689517">
          <w:marLeft w:val="750"/>
          <w:marRight w:val="0"/>
          <w:marTop w:val="0"/>
          <w:marBottom w:val="0"/>
          <w:divBdr>
            <w:top w:val="none" w:sz="0" w:space="0" w:color="auto"/>
            <w:left w:val="none" w:sz="0" w:space="0" w:color="auto"/>
            <w:bottom w:val="none" w:sz="0" w:space="0" w:color="auto"/>
            <w:right w:val="none" w:sz="0" w:space="0" w:color="auto"/>
          </w:divBdr>
        </w:div>
        <w:div w:id="1594391853">
          <w:marLeft w:val="450"/>
          <w:marRight w:val="0"/>
          <w:marTop w:val="180"/>
          <w:marBottom w:val="0"/>
          <w:divBdr>
            <w:top w:val="none" w:sz="0" w:space="0" w:color="auto"/>
            <w:left w:val="none" w:sz="0" w:space="0" w:color="auto"/>
            <w:bottom w:val="none" w:sz="0" w:space="0" w:color="auto"/>
            <w:right w:val="none" w:sz="0" w:space="0" w:color="auto"/>
          </w:divBdr>
        </w:div>
        <w:div w:id="1435663875">
          <w:marLeft w:val="750"/>
          <w:marRight w:val="0"/>
          <w:marTop w:val="0"/>
          <w:marBottom w:val="0"/>
          <w:divBdr>
            <w:top w:val="none" w:sz="0" w:space="0" w:color="auto"/>
            <w:left w:val="none" w:sz="0" w:space="0" w:color="auto"/>
            <w:bottom w:val="none" w:sz="0" w:space="0" w:color="auto"/>
            <w:right w:val="none" w:sz="0" w:space="0" w:color="auto"/>
          </w:divBdr>
        </w:div>
      </w:divsChild>
    </w:div>
    <w:div w:id="1701203899">
      <w:bodyDiv w:val="1"/>
      <w:marLeft w:val="0"/>
      <w:marRight w:val="0"/>
      <w:marTop w:val="0"/>
      <w:marBottom w:val="0"/>
      <w:divBdr>
        <w:top w:val="none" w:sz="0" w:space="0" w:color="auto"/>
        <w:left w:val="none" w:sz="0" w:space="0" w:color="auto"/>
        <w:bottom w:val="none" w:sz="0" w:space="0" w:color="auto"/>
        <w:right w:val="none" w:sz="0" w:space="0" w:color="auto"/>
      </w:divBdr>
    </w:div>
    <w:div w:id="1774279123">
      <w:bodyDiv w:val="1"/>
      <w:marLeft w:val="0"/>
      <w:marRight w:val="0"/>
      <w:marTop w:val="0"/>
      <w:marBottom w:val="0"/>
      <w:divBdr>
        <w:top w:val="none" w:sz="0" w:space="0" w:color="auto"/>
        <w:left w:val="none" w:sz="0" w:space="0" w:color="auto"/>
        <w:bottom w:val="none" w:sz="0" w:space="0" w:color="auto"/>
        <w:right w:val="none" w:sz="0" w:space="0" w:color="auto"/>
      </w:divBdr>
      <w:divsChild>
        <w:div w:id="417940942">
          <w:marLeft w:val="0"/>
          <w:marRight w:val="0"/>
          <w:marTop w:val="0"/>
          <w:marBottom w:val="0"/>
          <w:divBdr>
            <w:top w:val="none" w:sz="0" w:space="0" w:color="auto"/>
            <w:left w:val="none" w:sz="0" w:space="0" w:color="auto"/>
            <w:bottom w:val="none" w:sz="0" w:space="0" w:color="auto"/>
            <w:right w:val="none" w:sz="0" w:space="0" w:color="auto"/>
          </w:divBdr>
          <w:divsChild>
            <w:div w:id="780295078">
              <w:marLeft w:val="240"/>
              <w:marRight w:val="0"/>
              <w:marTop w:val="120"/>
              <w:marBottom w:val="0"/>
              <w:divBdr>
                <w:top w:val="none" w:sz="0" w:space="0" w:color="auto"/>
                <w:left w:val="none" w:sz="0" w:space="0" w:color="auto"/>
                <w:bottom w:val="none" w:sz="0" w:space="0" w:color="auto"/>
                <w:right w:val="none" w:sz="0" w:space="0" w:color="auto"/>
              </w:divBdr>
            </w:div>
          </w:divsChild>
        </w:div>
        <w:div w:id="508759727">
          <w:marLeft w:val="0"/>
          <w:marRight w:val="240"/>
          <w:marTop w:val="0"/>
          <w:marBottom w:val="0"/>
          <w:divBdr>
            <w:top w:val="none" w:sz="0" w:space="0" w:color="auto"/>
            <w:left w:val="none" w:sz="0" w:space="0" w:color="auto"/>
            <w:bottom w:val="none" w:sz="0" w:space="0" w:color="auto"/>
            <w:right w:val="none" w:sz="0" w:space="0" w:color="auto"/>
          </w:divBdr>
          <w:divsChild>
            <w:div w:id="1983077383">
              <w:marLeft w:val="240"/>
              <w:marRight w:val="0"/>
              <w:marTop w:val="120"/>
              <w:marBottom w:val="0"/>
              <w:divBdr>
                <w:top w:val="none" w:sz="0" w:space="0" w:color="auto"/>
                <w:left w:val="none" w:sz="0" w:space="0" w:color="auto"/>
                <w:bottom w:val="none" w:sz="0" w:space="0" w:color="auto"/>
                <w:right w:val="none" w:sz="0" w:space="0" w:color="auto"/>
              </w:divBdr>
            </w:div>
          </w:divsChild>
        </w:div>
      </w:divsChild>
    </w:div>
    <w:div w:id="1801218358">
      <w:bodyDiv w:val="1"/>
      <w:marLeft w:val="0"/>
      <w:marRight w:val="0"/>
      <w:marTop w:val="0"/>
      <w:marBottom w:val="0"/>
      <w:divBdr>
        <w:top w:val="none" w:sz="0" w:space="0" w:color="auto"/>
        <w:left w:val="none" w:sz="0" w:space="0" w:color="auto"/>
        <w:bottom w:val="none" w:sz="0" w:space="0" w:color="auto"/>
        <w:right w:val="none" w:sz="0" w:space="0" w:color="auto"/>
      </w:divBdr>
    </w:div>
    <w:div w:id="1967201640">
      <w:bodyDiv w:val="1"/>
      <w:marLeft w:val="0"/>
      <w:marRight w:val="0"/>
      <w:marTop w:val="0"/>
      <w:marBottom w:val="0"/>
      <w:divBdr>
        <w:top w:val="none" w:sz="0" w:space="0" w:color="auto"/>
        <w:left w:val="none" w:sz="0" w:space="0" w:color="auto"/>
        <w:bottom w:val="none" w:sz="0" w:space="0" w:color="auto"/>
        <w:right w:val="none" w:sz="0" w:space="0" w:color="auto"/>
      </w:divBdr>
    </w:div>
    <w:div w:id="197513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653</TotalTime>
  <Pages>8</Pages>
  <Words>2653</Words>
  <Characters>15124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mx4226</dc:creator>
  <cp:keywords/>
  <dc:description/>
  <cp:lastModifiedBy>0002728</cp:lastModifiedBy>
  <cp:revision>58</cp:revision>
  <dcterms:created xsi:type="dcterms:W3CDTF">2020-06-24T05:15:00Z</dcterms:created>
  <dcterms:modified xsi:type="dcterms:W3CDTF">2020-11-09T14:42:00Z</dcterms:modified>
</cp:coreProperties>
</file>