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Style w:val="St"/>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480" w:before="0" w:after="120"/>
        <w:rPr>
          <w:rFonts w:ascii="Times New Roman" w:hAnsi="Times New Roman" w:cs="Times New Roman"/>
          <w:b/>
          <w:b/>
          <w:sz w:val="24"/>
          <w:szCs w:val="24"/>
          <w:lang w:val="en-US"/>
        </w:rPr>
      </w:pPr>
      <w:r>
        <w:rPr>
          <w:rFonts w:cs="Times New Roman" w:ascii="Times New Roman" w:hAnsi="Times New Roman"/>
          <w:b/>
          <w:sz w:val="24"/>
          <w:szCs w:val="24"/>
          <w:lang w:val="en-US"/>
        </w:rPr>
        <w:t>Time-course profiling of bovine alphaherpesvirus 1 transcriptome using multiplatform sequencing</w:t>
      </w:r>
    </w:p>
    <w:p>
      <w:pPr>
        <w:pStyle w:val="Normal"/>
        <w:spacing w:lineRule="auto" w:line="480" w:before="0" w:after="120"/>
        <w:jc w:val="both"/>
        <w:rPr>
          <w:rFonts w:ascii="Times New Roman" w:hAnsi="Times New Roman" w:cs="Times New Roman"/>
          <w:color w:val="000000" w:themeColor="text1"/>
          <w:sz w:val="24"/>
          <w:szCs w:val="24"/>
          <w:vertAlign w:val="superscript"/>
          <w:lang w:val="en-US"/>
        </w:rPr>
      </w:pPr>
      <w:r>
        <w:rPr>
          <w:rFonts w:cs="Times New Roman" w:ascii="Times New Roman" w:hAnsi="Times New Roman"/>
          <w:color w:val="000000" w:themeColor="text1"/>
          <w:sz w:val="24"/>
          <w:szCs w:val="24"/>
          <w:lang w:val="en-US"/>
        </w:rPr>
        <w:t xml:space="preserve">Norbert </w:t>
      </w:r>
      <w:r>
        <w:rPr>
          <w:rFonts w:cs="Times New Roman" w:ascii="Times New Roman" w:hAnsi="Times New Roman"/>
          <w:sz w:val="24"/>
          <w:szCs w:val="24"/>
          <w:lang w:val="en-US"/>
        </w:rPr>
        <w:t>Moldován, Gábor Torma, Gábor Gulyás, Ákos Hornyák, Zoltán Zádori, Victoria A. Jefferson, Zsolt Csabai, Miklós Boldogkői, Dóra Tombácz, Florencia Meyer,</w:t>
      </w:r>
      <w:r>
        <w:rPr>
          <w:rFonts w:cs="Times New Roman" w:ascii="Times New Roman" w:hAnsi="Times New Roman"/>
          <w:sz w:val="24"/>
          <w:szCs w:val="24"/>
          <w:vertAlign w:val="superscript"/>
          <w:lang w:val="en-US"/>
        </w:rPr>
        <w:t xml:space="preserve"> </w:t>
      </w:r>
      <w:r>
        <w:rPr>
          <w:rFonts w:cs="Times New Roman" w:ascii="Times New Roman" w:hAnsi="Times New Roman"/>
          <w:sz w:val="24"/>
          <w:szCs w:val="24"/>
          <w:lang w:val="en-US"/>
        </w:rPr>
        <w:t>Zsolt Boldogkői</w:t>
      </w:r>
    </w:p>
    <w:p>
      <w:pPr>
        <w:pStyle w:val="Normal"/>
        <w:rPr>
          <w:rStyle w:val="St"/>
          <w:rFonts w:ascii="Times New Roman" w:hAnsi="Times New Roman" w:cs="Times New Roman"/>
          <w:sz w:val="24"/>
          <w:szCs w:val="24"/>
          <w:lang w:val="en-US"/>
        </w:rPr>
      </w:pPr>
      <w:r>
        <w:rPr>
          <w:rFonts w:cs="Times New Roman" w:ascii="Times New Roman" w:hAnsi="Times New Roman"/>
          <w:sz w:val="24"/>
          <w:szCs w:val="24"/>
          <w:lang w:val="en-US"/>
        </w:rPr>
      </w:r>
      <w:r>
        <w:br w:type="page"/>
      </w:r>
    </w:p>
    <w:p>
      <w:pPr>
        <w:pStyle w:val="Normal"/>
        <w:spacing w:lineRule="auto" w:line="240" w:before="0" w:after="120"/>
        <w:jc w:val="center"/>
        <w:rPr>
          <w:rStyle w:val="St"/>
          <w:rFonts w:ascii="Times New Roman" w:hAnsi="Times New Roman" w:cs="Times New Roman"/>
          <w:sz w:val="24"/>
          <w:szCs w:val="24"/>
          <w:lang w:val="en-US"/>
        </w:rPr>
      </w:pPr>
      <w:r>
        <w:rPr/>
        <w:drawing>
          <wp:inline distT="0" distB="0" distL="0" distR="0">
            <wp:extent cx="4636135" cy="8892540"/>
            <wp:effectExtent l="0" t="0" r="0" b="0"/>
            <wp:docPr id="1" name="Kép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
                    <pic:cNvPicPr>
                      <a:picLocks noChangeAspect="1" noChangeArrowheads="1"/>
                    </pic:cNvPicPr>
                  </pic:nvPicPr>
                  <pic:blipFill>
                    <a:blip r:embed="rId2"/>
                    <a:stretch>
                      <a:fillRect/>
                    </a:stretch>
                  </pic:blipFill>
                  <pic:spPr bwMode="auto">
                    <a:xfrm>
                      <a:off x="0" y="0"/>
                      <a:ext cx="4636135" cy="8892540"/>
                    </a:xfrm>
                    <a:prstGeom prst="rect">
                      <a:avLst/>
                    </a:prstGeom>
                  </pic:spPr>
                </pic:pic>
              </a:graphicData>
            </a:graphic>
          </wp:inline>
        </w:drawing>
      </w:r>
    </w:p>
    <w:p>
      <w:pPr>
        <w:pStyle w:val="Normal"/>
        <w:spacing w:lineRule="auto" w:line="240" w:before="0" w:after="120"/>
        <w:rPr>
          <w:rFonts w:ascii="Times New Roman" w:hAnsi="Times New Roman" w:cs="Times New Roman"/>
          <w:sz w:val="24"/>
          <w:szCs w:val="24"/>
          <w:lang w:val="en-US"/>
        </w:rPr>
      </w:pPr>
      <w:r>
        <w:rPr>
          <w:rFonts w:cs="Times New Roman" w:ascii="Times New Roman" w:hAnsi="Times New Roman"/>
          <w:b/>
          <w:sz w:val="24"/>
          <w:szCs w:val="24"/>
          <w:lang w:eastAsia="en-GB"/>
        </w:rPr>
        <w:t xml:space="preserve">Supplementary </w:t>
      </w:r>
      <w:r>
        <w:rPr>
          <w:rStyle w:val="St"/>
          <w:rFonts w:cs="Times New Roman" w:ascii="Times New Roman" w:hAnsi="Times New Roman"/>
          <w:b/>
          <w:sz w:val="24"/>
          <w:szCs w:val="24"/>
          <w:lang w:val="en-US"/>
        </w:rPr>
        <w:t xml:space="preserve">Figure S1. Reproducibility of the results. </w:t>
      </w:r>
      <w:r>
        <w:rPr>
          <w:rStyle w:val="St"/>
          <w:rFonts w:cs="Times New Roman" w:ascii="Times New Roman" w:hAnsi="Times New Roman"/>
          <w:sz w:val="24"/>
          <w:szCs w:val="24"/>
          <w:lang w:val="en-US"/>
        </w:rPr>
        <w:t xml:space="preserve">Pearson’s correlation of the read counts for </w:t>
      </w:r>
      <w:r>
        <w:rPr>
          <w:rStyle w:val="St"/>
          <w:rFonts w:cs="Times New Roman" w:ascii="Times New Roman" w:hAnsi="Times New Roman"/>
          <w:b/>
          <w:sz w:val="24"/>
          <w:szCs w:val="24"/>
          <w:lang w:val="en-US"/>
        </w:rPr>
        <w:t>a.</w:t>
      </w:r>
      <w:r>
        <w:rPr>
          <w:rStyle w:val="St"/>
          <w:rFonts w:cs="Times New Roman" w:ascii="Times New Roman" w:hAnsi="Times New Roman"/>
          <w:sz w:val="24"/>
          <w:szCs w:val="24"/>
          <w:lang w:val="en-US"/>
        </w:rPr>
        <w:t xml:space="preserve"> Replicate A and B, </w:t>
      </w:r>
      <w:r>
        <w:rPr>
          <w:rStyle w:val="St"/>
          <w:rFonts w:cs="Times New Roman" w:ascii="Times New Roman" w:hAnsi="Times New Roman"/>
          <w:b/>
          <w:sz w:val="24"/>
          <w:szCs w:val="24"/>
          <w:lang w:val="en-US"/>
        </w:rPr>
        <w:t>b.</w:t>
      </w:r>
      <w:r>
        <w:rPr>
          <w:rStyle w:val="St"/>
          <w:rFonts w:cs="Times New Roman" w:ascii="Times New Roman" w:hAnsi="Times New Roman"/>
          <w:sz w:val="24"/>
          <w:szCs w:val="24"/>
          <w:lang w:val="en-US"/>
        </w:rPr>
        <w:t xml:space="preserve"> Replicate A and C and </w:t>
      </w:r>
      <w:r>
        <w:rPr>
          <w:rStyle w:val="St"/>
          <w:rFonts w:cs="Times New Roman" w:ascii="Times New Roman" w:hAnsi="Times New Roman"/>
          <w:b/>
          <w:sz w:val="24"/>
          <w:szCs w:val="24"/>
          <w:lang w:val="en-US"/>
        </w:rPr>
        <w:t>c.</w:t>
      </w:r>
      <w:r>
        <w:rPr>
          <w:rStyle w:val="St"/>
          <w:rFonts w:cs="Times New Roman" w:ascii="Times New Roman" w:hAnsi="Times New Roman"/>
          <w:sz w:val="24"/>
          <w:szCs w:val="24"/>
          <w:lang w:val="en-US"/>
        </w:rPr>
        <w:t xml:space="preserve"> Replicate B and C. Data density is show in colors on the right of the scatter plots, where blue and purple represents mora abundant data points. A high correlation was detected among the read counts of the replicates.</w:t>
      </w:r>
    </w:p>
    <w:p>
      <w:pPr>
        <w:pStyle w:val="Normal"/>
        <w:spacing w:lineRule="auto" w:line="240" w:before="0" w:after="120"/>
        <w:jc w:val="both"/>
        <w:rPr>
          <w:rStyle w:val="St"/>
          <w:rFonts w:ascii="Times New Roman" w:hAnsi="Times New Roman" w:cs="Times New Roman"/>
          <w:sz w:val="24"/>
          <w:szCs w:val="24"/>
          <w:lang w:val="en-US"/>
        </w:rPr>
      </w:pPr>
      <w:r>
        <w:rPr>
          <w:rFonts w:cs="Times New Roman" w:ascii="Times New Roman" w:hAnsi="Times New Roman"/>
          <w:sz w:val="24"/>
          <w:szCs w:val="24"/>
          <w:lang w:val="en-US"/>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5760720" cy="8148320"/>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5760720" cy="8148320"/>
                    </a:xfrm>
                    <a:prstGeom prst="rect">
                      <a:avLst/>
                    </a:prstGeom>
                  </pic:spPr>
                </pic:pic>
              </a:graphicData>
            </a:graphic>
          </wp:anchor>
        </w:drawing>
      </w:r>
    </w:p>
    <w:p>
      <w:pPr>
        <w:pStyle w:val="Normal"/>
        <w:rPr>
          <w:rStyle w:val="St"/>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Style w:val="St"/>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Style w:val="St"/>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Style w:val="St"/>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120"/>
        <w:jc w:val="both"/>
        <w:rPr/>
      </w:pPr>
      <w: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760720" cy="2888615"/>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tretch>
                      <a:fillRect/>
                    </a:stretch>
                  </pic:blipFill>
                  <pic:spPr bwMode="auto">
                    <a:xfrm>
                      <a:off x="0" y="0"/>
                      <a:ext cx="5760720" cy="2888615"/>
                    </a:xfrm>
                    <a:prstGeom prst="rect">
                      <a:avLst/>
                    </a:prstGeom>
                  </pic:spPr>
                </pic:pic>
              </a:graphicData>
            </a:graphic>
          </wp:anchor>
        </w:drawing>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5760720" cy="4212590"/>
            <wp:effectExtent l="0" t="0" r="0" b="0"/>
            <wp:wrapSquare wrapText="largest"/>
            <wp:docPr id="4"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 descr=""/>
                    <pic:cNvPicPr>
                      <a:picLocks noChangeAspect="1" noChangeArrowheads="1"/>
                    </pic:cNvPicPr>
                  </pic:nvPicPr>
                  <pic:blipFill>
                    <a:blip r:embed="rId5"/>
                    <a:stretch>
                      <a:fillRect/>
                    </a:stretch>
                  </pic:blipFill>
                  <pic:spPr bwMode="auto">
                    <a:xfrm>
                      <a:off x="0" y="0"/>
                      <a:ext cx="5760720" cy="4212590"/>
                    </a:xfrm>
                    <a:prstGeom prst="rect">
                      <a:avLst/>
                    </a:prstGeom>
                  </pic:spPr>
                </pic:pic>
              </a:graphicData>
            </a:graphic>
          </wp:anchor>
        </w:drawing>
      </w:r>
      <w:r>
        <w:rPr>
          <w:rFonts w:cs="Times New Roman" w:ascii="Times New Roman" w:hAnsi="Times New Roman"/>
          <w:b/>
          <w:color w:val="auto"/>
          <w:sz w:val="24"/>
          <w:szCs w:val="24"/>
          <w:lang w:eastAsia="en-GB"/>
        </w:rPr>
        <w:t>S</w:t>
      </w:r>
      <w:r>
        <w:rPr>
          <w:rFonts w:cs="Times New Roman" w:ascii="Times New Roman" w:hAnsi="Times New Roman"/>
          <w:b/>
          <w:color w:val="auto"/>
          <w:sz w:val="24"/>
          <w:szCs w:val="24"/>
          <w:lang w:eastAsia="en-GB"/>
        </w:rPr>
        <w:t xml:space="preserve">upplementary Figure S2. </w:t>
      </w:r>
      <w:r>
        <w:rPr>
          <w:rStyle w:val="St"/>
          <w:rFonts w:cs="Times New Roman" w:ascii="Times New Roman" w:hAnsi="Times New Roman"/>
          <w:b/>
          <w:bCs/>
          <w:color w:val="auto"/>
          <w:sz w:val="24"/>
          <w:szCs w:val="24"/>
          <w:lang w:val="en-US"/>
        </w:rPr>
        <w:t>The transcriptome of BoHV-1.</w:t>
      </w:r>
      <w:r>
        <w:rPr>
          <w:rStyle w:val="St"/>
          <w:rFonts w:cs="Times New Roman" w:ascii="Times New Roman" w:hAnsi="Times New Roman"/>
          <w:b w:val="false"/>
          <w:bCs w:val="false"/>
          <w:color w:val="auto"/>
          <w:sz w:val="24"/>
          <w:szCs w:val="24"/>
          <w:lang w:val="en-US"/>
        </w:rPr>
        <w:t xml:space="preserve"> Orange rectangles represent ORF-s while blue lines the transcripts present in at least 3 samples. Dotted lines between blue lines represent introns. </w:t>
      </w:r>
      <w:r>
        <w:rPr>
          <w:rStyle w:val="St"/>
          <w:rFonts w:cs="Times New Roman" w:ascii="Times New Roman" w:hAnsi="Times New Roman"/>
          <w:b w:val="false"/>
          <w:bCs w:val="false"/>
          <w:color w:val="auto"/>
          <w:sz w:val="24"/>
          <w:szCs w:val="24"/>
          <w:lang w:val="en-GB"/>
        </w:rPr>
        <w:t xml:space="preserve">Transcripts are aligned to the BoHV-1 genome with accession number: JX898220.1. The </w:t>
      </w:r>
      <w:r>
        <w:rPr>
          <w:rStyle w:val="St"/>
          <w:rFonts w:eastAsia="Calibri" w:cs="Times New Roman" w:ascii="Times New Roman" w:hAnsi="Times New Roman"/>
          <w:b w:val="false"/>
          <w:bCs w:val="false"/>
          <w:color w:val="auto"/>
          <w:kern w:val="0"/>
          <w:sz w:val="24"/>
          <w:szCs w:val="24"/>
          <w:lang w:val="en-GB" w:eastAsia="en-US" w:bidi="ar-SA"/>
        </w:rPr>
        <w:t>g</w:t>
      </w:r>
      <w:r>
        <w:rPr>
          <w:rStyle w:val="St"/>
          <w:rFonts w:cs="Times New Roman" w:ascii="Times New Roman" w:hAnsi="Times New Roman"/>
          <w:b w:val="false"/>
          <w:bCs w:val="false"/>
          <w:color w:val="auto"/>
          <w:sz w:val="24"/>
          <w:szCs w:val="24"/>
          <w:lang w:val="en-GB"/>
        </w:rPr>
        <w:t xml:space="preserve">enomic junction is enlarged, showing the overlapping CIRC-L2 transcript. </w:t>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r>
        <w:br w:type="page"/>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drawing>
          <wp:anchor behindDoc="0" distT="0" distB="0" distL="0" distR="0" simplePos="0" locked="0" layoutInCell="1" allowOverlap="1" relativeHeight="7">
            <wp:simplePos x="0" y="0"/>
            <wp:positionH relativeFrom="column">
              <wp:posOffset>228600</wp:posOffset>
            </wp:positionH>
            <wp:positionV relativeFrom="paragraph">
              <wp:posOffset>68580</wp:posOffset>
            </wp:positionV>
            <wp:extent cx="5303520" cy="4556760"/>
            <wp:effectExtent l="0" t="0" r="0" b="0"/>
            <wp:wrapSquare wrapText="largest"/>
            <wp:docPr id="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pic:cNvPicPr>
                      <a:picLocks noChangeAspect="1" noChangeArrowheads="1"/>
                    </pic:cNvPicPr>
                  </pic:nvPicPr>
                  <pic:blipFill>
                    <a:blip r:embed="rId6"/>
                    <a:stretch>
                      <a:fillRect/>
                    </a:stretch>
                  </pic:blipFill>
                  <pic:spPr bwMode="auto">
                    <a:xfrm>
                      <a:off x="0" y="0"/>
                      <a:ext cx="5303520" cy="4556760"/>
                    </a:xfrm>
                    <a:prstGeom prst="rect">
                      <a:avLst/>
                    </a:prstGeom>
                  </pic:spPr>
                </pic:pic>
              </a:graphicData>
            </a:graphic>
          </wp:anchor>
        </w:drawing>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pPr>
      <w:r>
        <w:rPr>
          <w:rStyle w:val="St"/>
          <w:rFonts w:cs="Times New Roman" w:ascii="Times New Roman" w:hAnsi="Times New Roman"/>
          <w:b/>
          <w:bCs w:val="false"/>
          <w:color w:val="auto"/>
          <w:sz w:val="24"/>
          <w:szCs w:val="24"/>
          <w:lang w:val="en-GB" w:eastAsia="en-GB"/>
        </w:rPr>
        <w:t>Supplementary Figure S</w:t>
      </w:r>
      <w:r>
        <w:rPr>
          <w:rStyle w:val="St"/>
          <w:rFonts w:eastAsia="Calibri" w:cs="Times New Roman" w:ascii="Times New Roman" w:hAnsi="Times New Roman"/>
          <w:b/>
          <w:bCs w:val="false"/>
          <w:color w:val="auto"/>
          <w:kern w:val="0"/>
          <w:sz w:val="24"/>
          <w:szCs w:val="24"/>
          <w:lang w:val="en-GB" w:eastAsia="en-GB" w:bidi="ar-SA"/>
        </w:rPr>
        <w:t>3</w:t>
      </w:r>
      <w:r>
        <w:rPr>
          <w:rStyle w:val="St"/>
          <w:rFonts w:cs="Times New Roman" w:ascii="Times New Roman" w:hAnsi="Times New Roman"/>
          <w:b/>
          <w:bCs w:val="false"/>
          <w:color w:val="auto"/>
          <w:sz w:val="24"/>
          <w:szCs w:val="24"/>
          <w:lang w:val="en-GB" w:eastAsia="en-GB"/>
        </w:rPr>
        <w:t xml:space="preserve">. </w:t>
      </w:r>
      <w:r>
        <w:rPr>
          <w:rStyle w:val="St"/>
          <w:rFonts w:cs="Times New Roman" w:ascii="Times New Roman" w:hAnsi="Times New Roman"/>
          <w:b/>
          <w:bCs/>
          <w:color w:val="auto"/>
          <w:sz w:val="24"/>
          <w:szCs w:val="24"/>
          <w:lang w:val="en-US"/>
        </w:rPr>
        <w:t xml:space="preserve">The </w:t>
      </w:r>
      <w:r>
        <w:rPr>
          <w:rStyle w:val="St"/>
          <w:rFonts w:eastAsia="Calibri" w:cs="Times New Roman" w:ascii="Times New Roman" w:hAnsi="Times New Roman"/>
          <w:b/>
          <w:bCs/>
          <w:color w:val="auto"/>
          <w:kern w:val="0"/>
          <w:sz w:val="24"/>
          <w:szCs w:val="24"/>
          <w:lang w:val="en-US" w:eastAsia="en-US" w:bidi="ar-SA"/>
        </w:rPr>
        <w:t>proportion of viral transcript isoforms in phases of the infection</w:t>
      </w:r>
      <w:r>
        <w:rPr>
          <w:rStyle w:val="St"/>
          <w:rFonts w:cs="Times New Roman" w:ascii="Times New Roman" w:hAnsi="Times New Roman"/>
          <w:b/>
          <w:bCs/>
          <w:color w:val="auto"/>
          <w:sz w:val="24"/>
          <w:szCs w:val="24"/>
          <w:lang w:val="en-US"/>
        </w:rPr>
        <w:t>.</w:t>
      </w:r>
      <w:r>
        <w:rPr>
          <w:rStyle w:val="St"/>
          <w:rFonts w:cs="Times New Roman" w:ascii="Times New Roman" w:hAnsi="Times New Roman"/>
          <w:b w:val="false"/>
          <w:bCs w:val="false"/>
          <w:color w:val="auto"/>
          <w:sz w:val="24"/>
          <w:szCs w:val="24"/>
          <w:lang w:val="en-US"/>
        </w:rPr>
        <w:t xml:space="preserve"> Isoform categories were merged for better visualization as follows: Moncistronic: monocistronic transcripts; Splice isoforms: spliced transcripts and non-spliced isoforms of transcripts previously known to be spliced; Multigenic: bi-, tri-, pol</w:t>
      </w:r>
      <w:r>
        <w:rPr>
          <w:rStyle w:val="St"/>
          <w:rFonts w:eastAsia="Calibri" w:cs="Times New Roman" w:ascii="Times New Roman" w:hAnsi="Times New Roman"/>
          <w:b w:val="false"/>
          <w:bCs w:val="false"/>
          <w:color w:val="auto"/>
          <w:kern w:val="0"/>
          <w:sz w:val="24"/>
          <w:szCs w:val="24"/>
          <w:lang w:val="en-US" w:eastAsia="en-US" w:bidi="ar-SA"/>
        </w:rPr>
        <w:t>y</w:t>
      </w:r>
      <w:r>
        <w:rPr>
          <w:rStyle w:val="St"/>
          <w:rFonts w:cs="Times New Roman" w:ascii="Times New Roman" w:hAnsi="Times New Roman"/>
          <w:b w:val="false"/>
          <w:bCs w:val="false"/>
          <w:color w:val="auto"/>
          <w:sz w:val="24"/>
          <w:szCs w:val="24"/>
          <w:lang w:val="en-US"/>
        </w:rPr>
        <w:t xml:space="preserve">cistronic and complex transcripts; Non-coding: 5’- and 3’-truncated transcripts without an ORF and antisense </w:t>
      </w:r>
      <w:r>
        <w:rPr>
          <w:rStyle w:val="St"/>
          <w:rFonts w:eastAsia="Calibri" w:cs="Times New Roman" w:ascii="Times New Roman" w:hAnsi="Times New Roman"/>
          <w:b w:val="false"/>
          <w:bCs w:val="false"/>
          <w:color w:val="auto"/>
          <w:kern w:val="0"/>
          <w:sz w:val="24"/>
          <w:szCs w:val="24"/>
          <w:lang w:val="en-US" w:eastAsia="en-US" w:bidi="ar-SA"/>
        </w:rPr>
        <w:t xml:space="preserve">and non-coding </w:t>
      </w:r>
      <w:r>
        <w:rPr>
          <w:rStyle w:val="St"/>
          <w:rFonts w:cs="Times New Roman" w:ascii="Times New Roman" w:hAnsi="Times New Roman"/>
          <w:b w:val="false"/>
          <w:bCs w:val="false"/>
          <w:color w:val="auto"/>
          <w:sz w:val="24"/>
          <w:szCs w:val="24"/>
          <w:lang w:val="en-US"/>
        </w:rPr>
        <w:t>transcripts; Possibly protein-coding: 5’-truncated transcripts with truncated ORFs;  TES isoforms: transcripts with alternative terminations; TSS isoforms: transcripts with shorter and longer 5’ UTRs.</w:t>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r>
        <w:br w:type="page"/>
      </w:r>
    </w:p>
    <w:p>
      <w:pPr>
        <w:pStyle w:val="Normal"/>
        <w:spacing w:lineRule="auto" w:line="240" w:before="0" w:after="120"/>
        <w:jc w:val="both"/>
        <w:rPr>
          <w:rStyle w:val="St"/>
          <w:b/>
          <w:b/>
          <w:color w:val="0084D1"/>
          <w:lang w:eastAsia="en-GB"/>
        </w:rPr>
      </w:pPr>
      <w:r>
        <w:rPr>
          <w:b/>
          <w:color w:val="0084D1"/>
          <w:lang w:eastAsia="en-GB"/>
        </w:rPr>
      </w:r>
    </w:p>
    <w:p>
      <w:pPr>
        <w:pStyle w:val="Normal"/>
        <w:spacing w:lineRule="auto" w:line="240" w:before="0" w:after="120"/>
        <w:jc w:val="both"/>
        <w:rPr>
          <w:rStyle w:val="St"/>
          <w:rFonts w:ascii="Times New Roman" w:hAnsi="Times New Roman" w:cs="Times New Roman"/>
          <w:b w:val="false"/>
          <w:b w:val="false"/>
          <w:bCs w:val="false"/>
          <w:color w:val="auto"/>
          <w:sz w:val="24"/>
          <w:szCs w:val="24"/>
          <w:lang w:val="en-GB"/>
        </w:rPr>
      </w:pPr>
      <w:r>
        <w:rPr>
          <w:rFonts w:cs="Times New Roman" w:ascii="Times New Roman" w:hAnsi="Times New Roman"/>
          <w:b w:val="false"/>
          <w:bCs w:val="false"/>
          <w:color w:val="auto"/>
          <w:sz w:val="24"/>
          <w:szCs w:val="24"/>
          <w:lang w:val="en-GB"/>
        </w:rPr>
      </w:r>
    </w:p>
    <w:p>
      <w:pPr>
        <w:pStyle w:val="Normal"/>
        <w:spacing w:lineRule="auto" w:line="240" w:before="0" w:after="120"/>
        <w:jc w:val="both"/>
        <w:rPr>
          <w:rStyle w:val="St"/>
          <w:color w:val="0084D1"/>
          <w:lang w:val="en-US"/>
        </w:rPr>
      </w:pPr>
      <w:r>
        <w:rPr>
          <w:color w:val="0084D1"/>
          <w:lang w:val="en-US"/>
        </w:rPr>
      </w:r>
    </w:p>
    <w:p>
      <w:pPr>
        <w:pStyle w:val="Normal"/>
        <w:spacing w:lineRule="auto" w:line="240" w:before="0" w:after="120"/>
        <w:jc w:val="both"/>
        <w:rPr>
          <w:rStyle w:val="St"/>
          <w:lang w:val="en-US"/>
        </w:rPr>
      </w:pPr>
      <w:r>
        <w:rPr>
          <w:lang w:val="en-US"/>
        </w:rPr>
      </w:r>
    </w:p>
    <w:p>
      <w:pPr>
        <w:pStyle w:val="Normal"/>
        <w:spacing w:lineRule="auto" w:line="240" w:before="0" w:after="120"/>
        <w:jc w:val="both"/>
        <w:rPr>
          <w:rStyle w:val="St"/>
          <w:lang w:val="en-US"/>
        </w:rPr>
      </w:pPr>
      <w:r>
        <w:rPr>
          <w:lang w:val="en-US"/>
        </w:rPr>
      </w:r>
    </w:p>
    <w:p>
      <w:pPr>
        <w:pStyle w:val="Normal"/>
        <w:spacing w:lineRule="auto" w:line="240" w:before="0" w:after="120"/>
        <w:jc w:val="both"/>
        <w:rPr>
          <w:lang w:val="en-US"/>
        </w:rPr>
      </w:pPr>
      <w:r>
        <w:rPr>
          <w:lang w:val="en-US"/>
        </w:rPr>
        <w:drawing>
          <wp:anchor behindDoc="0" distT="0" distB="0" distL="0" distR="0" simplePos="0" locked="0" layoutInCell="1" allowOverlap="1" relativeHeight="5">
            <wp:simplePos x="0" y="0"/>
            <wp:positionH relativeFrom="column">
              <wp:align>center</wp:align>
            </wp:positionH>
            <wp:positionV relativeFrom="paragraph">
              <wp:posOffset>635</wp:posOffset>
            </wp:positionV>
            <wp:extent cx="5760720" cy="6587490"/>
            <wp:effectExtent l="0" t="0" r="0" b="0"/>
            <wp:wrapSquare wrapText="largest"/>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7"/>
                    <a:stretch>
                      <a:fillRect/>
                    </a:stretch>
                  </pic:blipFill>
                  <pic:spPr bwMode="auto">
                    <a:xfrm>
                      <a:off x="0" y="0"/>
                      <a:ext cx="5760720" cy="6587490"/>
                    </a:xfrm>
                    <a:prstGeom prst="rect">
                      <a:avLst/>
                    </a:prstGeom>
                  </pic:spPr>
                </pic:pic>
              </a:graphicData>
            </a:graphic>
          </wp:anchor>
        </w:drawing>
      </w:r>
    </w:p>
    <w:p>
      <w:pPr>
        <w:pStyle w:val="Normal"/>
        <w:spacing w:lineRule="auto" w:line="240" w:before="0" w:after="120"/>
        <w:jc w:val="both"/>
        <w:rPr>
          <w:rFonts w:ascii="Times New Roman" w:hAnsi="Times New Roman" w:cs="Times New Roman"/>
          <w:sz w:val="24"/>
          <w:szCs w:val="24"/>
          <w:lang w:val="en-US"/>
        </w:rPr>
      </w:pPr>
      <w:r>
        <w:rPr>
          <w:rStyle w:val="St"/>
          <w:rFonts w:cs="Times New Roman" w:ascii="Times New Roman" w:hAnsi="Times New Roman"/>
          <w:b/>
          <w:color w:val="auto"/>
          <w:sz w:val="24"/>
          <w:szCs w:val="24"/>
          <w:lang w:val="en-US" w:eastAsia="en-GB"/>
        </w:rPr>
        <w:t>Supplementary Figure S</w:t>
      </w:r>
      <w:r>
        <w:rPr>
          <w:rStyle w:val="St"/>
          <w:rFonts w:eastAsia="Calibri" w:cs="Times New Roman" w:ascii="Times New Roman" w:hAnsi="Times New Roman"/>
          <w:b/>
          <w:color w:val="auto"/>
          <w:kern w:val="0"/>
          <w:sz w:val="24"/>
          <w:szCs w:val="24"/>
          <w:lang w:val="en-US" w:eastAsia="en-GB" w:bidi="ar-SA"/>
        </w:rPr>
        <w:t>4</w:t>
      </w:r>
      <w:r>
        <w:rPr>
          <w:rStyle w:val="St"/>
          <w:rFonts w:cs="Times New Roman" w:ascii="Times New Roman" w:hAnsi="Times New Roman"/>
          <w:b/>
          <w:color w:val="auto"/>
          <w:sz w:val="24"/>
          <w:szCs w:val="24"/>
          <w:lang w:val="en-US" w:eastAsia="en-GB"/>
        </w:rPr>
        <w:t xml:space="preserve">. </w:t>
      </w:r>
      <w:r>
        <w:rPr>
          <w:rStyle w:val="St"/>
          <w:rFonts w:cs="Times New Roman" w:ascii="Times New Roman" w:hAnsi="Times New Roman"/>
          <w:b/>
          <w:color w:val="auto"/>
          <w:sz w:val="24"/>
          <w:szCs w:val="24"/>
          <w:lang w:val="en-US"/>
        </w:rPr>
        <w:t xml:space="preserve">Schematic representation of the workflow. </w:t>
      </w:r>
      <w:r>
        <w:rPr>
          <w:rStyle w:val="St"/>
          <w:rFonts w:cs="Times New Roman" w:ascii="Times New Roman" w:hAnsi="Times New Roman"/>
          <w:b w:val="false"/>
          <w:bCs w:val="false"/>
          <w:color w:val="auto"/>
          <w:sz w:val="24"/>
          <w:szCs w:val="24"/>
          <w:lang w:val="en-US"/>
        </w:rPr>
        <w:t>Colored rectangles represent the sequencing libraries. Steps of data analysis are shown in rectangles, with the libraries undergoing the given step indicated by the tab color. The funnel symbol represents TSS, TES and intron filtering.</w:t>
      </w:r>
    </w:p>
    <w:p>
      <w:pPr>
        <w:pStyle w:val="Normal"/>
        <w:spacing w:lineRule="auto" w:line="240" w:before="0" w:after="120"/>
        <w:jc w:val="both"/>
        <w:rPr>
          <w:b w:val="false"/>
          <w:b w:val="false"/>
          <w:bCs w:val="false"/>
        </w:rPr>
      </w:pPr>
      <w:r>
        <w:rPr>
          <w:b w:val="false"/>
          <w:bCs w:val="false"/>
        </w:rPr>
      </w:r>
    </w:p>
    <w:p>
      <w:pPr>
        <w:pStyle w:val="Normal"/>
        <w:spacing w:lineRule="auto" w:line="240" w:before="0" w:after="120"/>
        <w:jc w:val="both"/>
        <w:rPr>
          <w:rFonts w:ascii="Times New Roman" w:hAnsi="Times New Roman" w:cs="Times New Roman"/>
          <w:b/>
          <w:b/>
        </w:rPr>
      </w:pPr>
      <w:r>
        <w:rPr>
          <w:rFonts w:cs="Times New Roman" w:ascii="Times New Roman" w:hAnsi="Times New Roman"/>
          <w:b/>
        </w:rPr>
        <w:t>SUPPLEMENTARY TABLE LEGENDS</w:t>
      </w:r>
    </w:p>
    <w:p>
      <w:pPr>
        <w:pStyle w:val="Normal"/>
        <w:widowControl w:val="false"/>
        <w:spacing w:lineRule="auto" w:line="240" w:before="0" w:after="120"/>
        <w:jc w:val="both"/>
        <w:rPr>
          <w:sz w:val="24"/>
          <w:szCs w:val="24"/>
        </w:rPr>
      </w:pPr>
      <w:r>
        <w:rPr>
          <w:rFonts w:cs="Times New Roman" w:ascii="Times New Roman" w:hAnsi="Times New Roman"/>
          <w:b/>
          <w:sz w:val="24"/>
          <w:szCs w:val="24"/>
        </w:rPr>
        <w:t xml:space="preserve">Supplementary Table S1. TSSs, TESs and introns of BoHV-1 detected by LoRTIA. </w:t>
      </w:r>
      <w:r>
        <w:rPr>
          <w:rFonts w:cs="Times New Roman" w:ascii="Times New Roman" w:hAnsi="Times New Roman"/>
          <w:b w:val="false"/>
          <w:bCs w:val="false"/>
          <w:color w:val="auto"/>
          <w:sz w:val="24"/>
          <w:szCs w:val="24"/>
          <w:lang w:val="en-GB"/>
        </w:rPr>
        <w:t>Nucleotide positions are given based on the genome with accession number: JX898220.1.</w:t>
      </w:r>
    </w:p>
    <w:p>
      <w:pPr>
        <w:pStyle w:val="Normal"/>
        <w:widowControl w:val="false"/>
        <w:spacing w:lineRule="auto" w:line="240" w:before="0" w:after="120"/>
        <w:jc w:val="both"/>
        <w:rPr>
          <w:sz w:val="24"/>
          <w:szCs w:val="24"/>
        </w:rPr>
      </w:pPr>
      <w:r>
        <w:rPr>
          <w:rFonts w:cs="Times New Roman" w:ascii="Times New Roman" w:hAnsi="Times New Roman"/>
          <w:b/>
          <w:sz w:val="24"/>
          <w:szCs w:val="24"/>
        </w:rPr>
        <w:t>Supplementary Table S2. Promoters and polyadenylation signals of viral transcripts.</w:t>
      </w:r>
    </w:p>
    <w:p>
      <w:pPr>
        <w:pStyle w:val="Normal"/>
        <w:widowControl w:val="false"/>
        <w:spacing w:lineRule="auto" w:line="240" w:before="0" w:after="120"/>
        <w:jc w:val="both"/>
        <w:rPr>
          <w:sz w:val="24"/>
          <w:szCs w:val="24"/>
        </w:rPr>
      </w:pPr>
      <w:r>
        <w:rPr>
          <w:rFonts w:cs="Times New Roman" w:ascii="Times New Roman" w:hAnsi="Times New Roman"/>
          <w:b/>
          <w:sz w:val="24"/>
          <w:szCs w:val="24"/>
        </w:rPr>
        <w:t xml:space="preserve">Supplementary Table S3. Putative peptides </w:t>
      </w:r>
      <w:r>
        <w:rPr>
          <w:rFonts w:eastAsia="Calibri" w:cs="Times New Roman" w:ascii="Times New Roman" w:hAnsi="Times New Roman" w:eastAsiaTheme="minorHAnsi"/>
          <w:b/>
          <w:color w:val="auto"/>
          <w:kern w:val="0"/>
          <w:sz w:val="24"/>
          <w:szCs w:val="24"/>
          <w:lang w:val="en-GB" w:eastAsia="en-US" w:bidi="ar-SA"/>
        </w:rPr>
        <w:t xml:space="preserve">with canoncal and non-canonical ORFs located on transcript isoforms and coding potential assessment. </w:t>
      </w:r>
      <w:r>
        <w:rPr>
          <w:rFonts w:eastAsia="Calibri" w:cs="Times New Roman" w:ascii="Times New Roman" w:hAnsi="Times New Roman" w:eastAsiaTheme="minorHAnsi"/>
          <w:b w:val="false"/>
          <w:bCs w:val="false"/>
          <w:color w:val="auto"/>
          <w:kern w:val="0"/>
          <w:sz w:val="24"/>
          <w:szCs w:val="24"/>
          <w:lang w:val="en-GB" w:eastAsia="en-US" w:bidi="ar-SA"/>
        </w:rPr>
        <w:t xml:space="preserve">Genomic locations are according to the BoHV-1 genome with accession number </w:t>
      </w:r>
      <w:r>
        <w:rPr>
          <w:rFonts w:eastAsia="Calibri" w:cs="Times New Roman" w:ascii="Times New Roman" w:hAnsi="Times New Roman"/>
          <w:b w:val="false"/>
          <w:bCs w:val="false"/>
          <w:color w:val="auto"/>
          <w:kern w:val="0"/>
          <w:sz w:val="24"/>
          <w:szCs w:val="24"/>
          <w:lang w:val="en-GB" w:eastAsia="en-US" w:bidi="ar-SA"/>
        </w:rPr>
        <w:t>JX898220.1. Sheet ‘Non-canonical ORFs’ shows the location of detected peptides, sheet ‘Canonical ORFs’ shows the ORFs relative to transcript isoforms, while sheet ‘CPAT results’ shows the resulst of the coding potential assessment.</w:t>
      </w:r>
      <w:r>
        <w:rPr>
          <w:rFonts w:eastAsia="Calibri" w:cs="Times New Roman" w:ascii="Times New Roman" w:hAnsi="Times New Roman"/>
          <w:b/>
          <w:color w:val="auto"/>
          <w:kern w:val="0"/>
          <w:sz w:val="24"/>
          <w:szCs w:val="24"/>
          <w:lang w:val="en-GB" w:eastAsia="en-US" w:bidi="ar-SA"/>
        </w:rPr>
        <w:t xml:space="preserve"> </w:t>
      </w:r>
    </w:p>
    <w:p>
      <w:pPr>
        <w:pStyle w:val="Normal"/>
        <w:widowControl w:val="false"/>
        <w:spacing w:lineRule="auto" w:line="240" w:before="0" w:after="120"/>
        <w:jc w:val="both"/>
        <w:rPr>
          <w:sz w:val="24"/>
          <w:szCs w:val="24"/>
        </w:rPr>
      </w:pPr>
      <w:r>
        <w:rPr>
          <w:rFonts w:eastAsia="Calibri" w:cs="Times New Roman" w:ascii="Times New Roman" w:hAnsi="Times New Roman" w:eastAsiaTheme="minorHAnsi"/>
          <w:b/>
          <w:color w:val="auto"/>
          <w:kern w:val="0"/>
          <w:sz w:val="24"/>
          <w:szCs w:val="24"/>
          <w:lang w:val="en-GB" w:eastAsia="en-US" w:bidi="ar-SA"/>
        </w:rPr>
        <w:t>Supplementary Data</w:t>
      </w:r>
      <w:r>
        <w:rPr>
          <w:rFonts w:cs="Times New Roman" w:ascii="Times New Roman" w:hAnsi="Times New Roman"/>
          <w:b/>
          <w:sz w:val="24"/>
          <w:szCs w:val="24"/>
        </w:rPr>
        <w:t xml:space="preserve"> S1. The transcript annotations of the BoHV-1 detected by LoRTIA.  </w:t>
      </w:r>
      <w:r>
        <w:rPr>
          <w:rFonts w:cs="Times New Roman" w:ascii="Times New Roman" w:hAnsi="Times New Roman"/>
          <w:b w:val="false"/>
          <w:bCs w:val="false"/>
          <w:color w:val="auto"/>
          <w:sz w:val="24"/>
          <w:szCs w:val="24"/>
          <w:lang w:val="en-GB"/>
        </w:rPr>
        <w:t>Nucleotide positions are given based on the genome with accession number: JX898220.1.</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St" w:customStyle="1">
    <w:name w:val="st"/>
    <w:basedOn w:val="DefaultParagraphFont"/>
    <w:qFormat/>
    <w:rsid w:val="00857e5d"/>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table" w:styleId="Rcsostblzat">
    <w:name w:val="Table Grid"/>
    <w:basedOn w:val="Normltblzat"/>
    <w:uiPriority w:val="39"/>
    <w:rsid w:val="00ec68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0ECAF-40AC-4747-8A69-80BEB750D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Application>LibreOffice/6.4.6.2$Linux_X86_64 LibreOffice_project/40$Build-2</Application>
  <Pages>8</Pages>
  <Words>394</Words>
  <Characters>2473</Characters>
  <CharactersWithSpaces>2860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2020-06-19T08:43:00Z</dcterms:created>
  <dc:creator>u1</dc:creator>
  <dc:description/>
  <dc:language>en-US</dc:language>
  <cp:lastModifiedBy/>
  <dcterms:modified xsi:type="dcterms:W3CDTF">2020-10-30T13:30:30Z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