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A4906" w14:textId="77777777" w:rsidR="00661154" w:rsidRPr="00FD30BD" w:rsidRDefault="00661154" w:rsidP="00661154">
      <w:pPr>
        <w:spacing w:after="0" w:line="360" w:lineRule="auto"/>
        <w:jc w:val="both"/>
        <w:rPr>
          <w:rFonts w:ascii="Times New Roman" w:eastAsia="Calibri" w:hAnsi="Times New Roman"/>
          <w:b/>
          <w:bCs/>
        </w:rPr>
      </w:pPr>
    </w:p>
    <w:p w14:paraId="6D004611" w14:textId="77777777" w:rsidR="00661154" w:rsidRPr="00FD30BD" w:rsidRDefault="00661154" w:rsidP="00661154">
      <w:pPr>
        <w:spacing w:after="0" w:line="360" w:lineRule="auto"/>
        <w:jc w:val="both"/>
        <w:rPr>
          <w:rFonts w:ascii="Times New Roman" w:eastAsia="Calibri" w:hAnsi="Times New Roman"/>
          <w:b/>
          <w:bCs/>
        </w:rPr>
      </w:pPr>
      <w:r>
        <w:rPr>
          <w:rFonts w:ascii="Times New Roman" w:eastAsia="Calibri" w:hAnsi="Times New Roman"/>
          <w:b/>
          <w:bCs/>
        </w:rPr>
        <w:t>Supplementary</w:t>
      </w:r>
      <w:r w:rsidRPr="00FD30BD">
        <w:rPr>
          <w:rFonts w:ascii="Times New Roman" w:eastAsia="Calibri" w:hAnsi="Times New Roman"/>
          <w:b/>
          <w:bCs/>
        </w:rPr>
        <w:t xml:space="preserve"> files:</w:t>
      </w:r>
    </w:p>
    <w:p w14:paraId="3E8CE0AE" w14:textId="77777777" w:rsidR="00661154" w:rsidRDefault="00661154" w:rsidP="00661154">
      <w:pPr>
        <w:spacing w:after="0" w:line="360" w:lineRule="auto"/>
        <w:jc w:val="both"/>
        <w:rPr>
          <w:rFonts w:ascii="Times New Roman" w:eastAsia="Calibri" w:hAnsi="Times New Roman"/>
        </w:rPr>
      </w:pPr>
      <w:r w:rsidRPr="00FD30BD">
        <w:rPr>
          <w:rFonts w:ascii="Times New Roman" w:eastAsia="Calibri" w:hAnsi="Times New Roman"/>
          <w:b/>
          <w:bCs/>
        </w:rPr>
        <w:t xml:space="preserve">Supplemental Table 1: </w:t>
      </w:r>
      <w:r w:rsidRPr="00FD30BD">
        <w:rPr>
          <w:rFonts w:ascii="Times New Roman" w:eastAsia="Calibri" w:hAnsi="Times New Roman"/>
        </w:rPr>
        <w:t>Patients’ demographic pathological characteristics.</w:t>
      </w:r>
    </w:p>
    <w:p w14:paraId="3D943945" w14:textId="77777777" w:rsidR="00661154" w:rsidRDefault="00661154" w:rsidP="00661154">
      <w:pPr>
        <w:spacing w:after="0" w:line="360" w:lineRule="auto"/>
        <w:jc w:val="both"/>
        <w:rPr>
          <w:rFonts w:ascii="Times New Roman" w:eastAsia="Calibri" w:hAnsi="Times New Roman"/>
        </w:rPr>
      </w:pPr>
      <w:r w:rsidRPr="00EE28F3">
        <w:rPr>
          <w:rFonts w:ascii="Times New Roman" w:eastAsia="Calibri" w:hAnsi="Times New Roman"/>
          <w:b/>
        </w:rPr>
        <w:t>Supplemental Figure 1:</w:t>
      </w:r>
      <w:r>
        <w:rPr>
          <w:rFonts w:ascii="Times New Roman" w:eastAsia="Calibri" w:hAnsi="Times New Roman"/>
        </w:rPr>
        <w:t xml:space="preserve"> </w:t>
      </w:r>
      <w:r w:rsidRPr="00613A84">
        <w:rPr>
          <w:rFonts w:ascii="Times New Roman" w:eastAsia="Calibri" w:hAnsi="Times New Roman"/>
        </w:rPr>
        <w:t>High Tumor Nuclear Area (“Purity”) Example. Gallbladder adenocarcinoma in a 75-year old man. High power image of a liver metastasis biopsy showing 90% of the microscopic field nuclear area is derived from malignant tumor cells (hematoxylin and eosin X 200).</w:t>
      </w:r>
    </w:p>
    <w:p w14:paraId="7A65DF89" w14:textId="77777777" w:rsidR="00661154" w:rsidRPr="00FD30BD" w:rsidRDefault="00661154" w:rsidP="00661154">
      <w:pPr>
        <w:spacing w:line="360" w:lineRule="auto"/>
        <w:jc w:val="both"/>
        <w:rPr>
          <w:rFonts w:ascii="Times New Roman" w:eastAsia="Calibri" w:hAnsi="Times New Roman"/>
        </w:rPr>
      </w:pPr>
      <w:r w:rsidRPr="00EE28F3">
        <w:rPr>
          <w:rFonts w:ascii="Times New Roman" w:eastAsia="Calibri" w:hAnsi="Times New Roman"/>
          <w:b/>
        </w:rPr>
        <w:t>Supplemental Figure 2:</w:t>
      </w:r>
      <w:r>
        <w:rPr>
          <w:rFonts w:ascii="Times New Roman" w:eastAsia="Calibri" w:hAnsi="Times New Roman"/>
        </w:rPr>
        <w:t xml:space="preserve"> </w:t>
      </w:r>
      <w:r w:rsidRPr="00613A84">
        <w:rPr>
          <w:rFonts w:ascii="Times New Roman" w:eastAsia="Calibri" w:hAnsi="Times New Roman"/>
        </w:rPr>
        <w:t xml:space="preserve">Low Tumor Nuclear Area (“Purity”) Example. Gallbladder adenocarcinoma in a 70-year old woman. High power image of a lung metastasis revealing that the majority of nucleated cells are composed of inflammatory cells </w:t>
      </w:r>
      <w:proofErr w:type="gramStart"/>
      <w:r w:rsidRPr="00613A84">
        <w:rPr>
          <w:rFonts w:ascii="Times New Roman" w:eastAsia="Calibri" w:hAnsi="Times New Roman"/>
        </w:rPr>
        <w:t>an</w:t>
      </w:r>
      <w:proofErr w:type="gramEnd"/>
      <w:r w:rsidRPr="00613A84">
        <w:rPr>
          <w:rFonts w:ascii="Times New Roman" w:eastAsia="Calibri" w:hAnsi="Times New Roman"/>
        </w:rPr>
        <w:t xml:space="preserve"> lung parenchymal cells. Only scattered islands of malignant cells are identified. This sample was listed as 20% nuclear area composed of tumor cell nuclei (hematoxylin and eosin X 200)</w:t>
      </w:r>
      <w:r>
        <w:rPr>
          <w:rFonts w:ascii="Times New Roman" w:eastAsia="Calibri" w:hAnsi="Times New Roman"/>
        </w:rPr>
        <w:t>.</w:t>
      </w:r>
    </w:p>
    <w:p w14:paraId="313D71F2" w14:textId="77777777" w:rsidR="00661154" w:rsidRPr="00FD30BD" w:rsidRDefault="00661154" w:rsidP="00661154">
      <w:pPr>
        <w:spacing w:after="0" w:line="360" w:lineRule="auto"/>
        <w:jc w:val="both"/>
        <w:rPr>
          <w:rFonts w:ascii="Times New Roman" w:eastAsia="Calibri" w:hAnsi="Times New Roman"/>
        </w:rPr>
      </w:pPr>
      <w:r w:rsidRPr="00FD30BD">
        <w:rPr>
          <w:rFonts w:ascii="Times New Roman" w:eastAsia="Calibri" w:hAnsi="Times New Roman"/>
          <w:b/>
          <w:bCs/>
        </w:rPr>
        <w:t xml:space="preserve">Supplemental Figure </w:t>
      </w:r>
      <w:r>
        <w:rPr>
          <w:rFonts w:ascii="Times New Roman" w:eastAsia="Calibri" w:hAnsi="Times New Roman"/>
          <w:b/>
          <w:bCs/>
        </w:rPr>
        <w:t>3</w:t>
      </w:r>
      <w:r w:rsidRPr="00FD30BD">
        <w:rPr>
          <w:rFonts w:ascii="Times New Roman" w:eastAsia="Calibri" w:hAnsi="Times New Roman"/>
          <w:b/>
          <w:bCs/>
        </w:rPr>
        <w:t>:</w:t>
      </w:r>
      <w:r w:rsidRPr="00FD30BD">
        <w:rPr>
          <w:rFonts w:ascii="Times New Roman" w:eastAsia="Calibri" w:hAnsi="Times New Roman"/>
        </w:rPr>
        <w:t xml:space="preserve"> </w:t>
      </w:r>
      <w:r w:rsidRPr="00FD30BD">
        <w:rPr>
          <w:rFonts w:ascii="Times New Roman" w:hAnsi="Times New Roman"/>
        </w:rPr>
        <w:t>Frequency of both direct and indirect DNA repair genetic aberrations in 760 gallbladder cancer patients.</w:t>
      </w:r>
      <w:r w:rsidRPr="00FD30BD">
        <w:rPr>
          <w:rFonts w:ascii="Times New Roman" w:eastAsia="Calibri" w:hAnsi="Times New Roman"/>
        </w:rPr>
        <w:t xml:space="preserve"> </w:t>
      </w:r>
    </w:p>
    <w:p w14:paraId="1D492F67" w14:textId="77777777" w:rsidR="00661154" w:rsidRPr="00FD30BD" w:rsidRDefault="00661154" w:rsidP="00661154">
      <w:pPr>
        <w:spacing w:after="0" w:line="360" w:lineRule="auto"/>
        <w:jc w:val="both"/>
        <w:rPr>
          <w:rFonts w:ascii="Times New Roman" w:eastAsia="Calibri" w:hAnsi="Times New Roman"/>
        </w:rPr>
      </w:pPr>
      <w:r w:rsidRPr="00FD30BD">
        <w:rPr>
          <w:rFonts w:ascii="Times New Roman" w:eastAsia="Calibri" w:hAnsi="Times New Roman"/>
          <w:b/>
          <w:bCs/>
        </w:rPr>
        <w:t xml:space="preserve">Supplemental figure </w:t>
      </w:r>
      <w:r>
        <w:rPr>
          <w:rFonts w:ascii="Times New Roman" w:eastAsia="Calibri" w:hAnsi="Times New Roman"/>
          <w:b/>
          <w:bCs/>
        </w:rPr>
        <w:t>4</w:t>
      </w:r>
      <w:r w:rsidRPr="00FD30BD">
        <w:rPr>
          <w:rFonts w:ascii="Times New Roman" w:eastAsia="Calibri" w:hAnsi="Times New Roman"/>
          <w:b/>
          <w:bCs/>
        </w:rPr>
        <w:t>:</w:t>
      </w:r>
      <w:r w:rsidRPr="00FD30BD">
        <w:rPr>
          <w:rFonts w:ascii="Times New Roman" w:eastAsia="Calibri" w:hAnsi="Times New Roman"/>
        </w:rPr>
        <w:t xml:space="preserve"> The distribution of the pathogenic variants across </w:t>
      </w:r>
      <w:r w:rsidRPr="00FD30BD">
        <w:rPr>
          <w:rFonts w:ascii="Times New Roman" w:eastAsia="Calibri" w:hAnsi="Times New Roman"/>
          <w:i/>
        </w:rPr>
        <w:t>ATM</w:t>
      </w:r>
      <w:r w:rsidRPr="00FD30BD">
        <w:rPr>
          <w:rFonts w:ascii="Times New Roman" w:eastAsia="Calibri" w:hAnsi="Times New Roman"/>
        </w:rPr>
        <w:t xml:space="preserve"> and </w:t>
      </w:r>
      <w:r w:rsidRPr="00FD30BD">
        <w:rPr>
          <w:rFonts w:ascii="Times New Roman" w:eastAsia="Calibri" w:hAnsi="Times New Roman"/>
          <w:i/>
        </w:rPr>
        <w:t>BRCA2</w:t>
      </w:r>
      <w:r w:rsidRPr="00FD30BD">
        <w:rPr>
          <w:rFonts w:ascii="Times New Roman" w:eastAsia="Calibri" w:hAnsi="Times New Roman"/>
        </w:rPr>
        <w:t xml:space="preserve"> genes. Each lollipop indicates a location where a mutation was detected. If multiple mutations were detected at the same location the lollipop will be longer. Y axis indicates how many mutations were detected at each location. Black lollipops indicate indels. Green </w:t>
      </w:r>
      <w:proofErr w:type="spellStart"/>
      <w:r w:rsidRPr="00FD30BD">
        <w:rPr>
          <w:rFonts w:ascii="Times New Roman" w:eastAsia="Calibri" w:hAnsi="Times New Roman"/>
        </w:rPr>
        <w:t>lollips</w:t>
      </w:r>
      <w:proofErr w:type="spellEnd"/>
      <w:r w:rsidRPr="00FD30BD">
        <w:rPr>
          <w:rFonts w:ascii="Times New Roman" w:eastAsia="Calibri" w:hAnsi="Times New Roman"/>
        </w:rPr>
        <w:t xml:space="preserve"> are </w:t>
      </w:r>
      <w:proofErr w:type="spellStart"/>
      <w:r w:rsidRPr="00FD30BD">
        <w:rPr>
          <w:rFonts w:ascii="Times New Roman" w:eastAsia="Calibri" w:hAnsi="Times New Roman"/>
        </w:rPr>
        <w:t>basesub</w:t>
      </w:r>
      <w:proofErr w:type="spellEnd"/>
      <w:r w:rsidRPr="00FD30BD">
        <w:rPr>
          <w:rFonts w:ascii="Times New Roman" w:eastAsia="Calibri" w:hAnsi="Times New Roman"/>
        </w:rPr>
        <w:t xml:space="preserve"> mutations.</w:t>
      </w:r>
    </w:p>
    <w:p w14:paraId="1BAC37C5" w14:textId="77777777" w:rsidR="00661154" w:rsidRPr="00FD30BD" w:rsidRDefault="00661154" w:rsidP="00661154">
      <w:pPr>
        <w:spacing w:after="0" w:line="360" w:lineRule="auto"/>
        <w:jc w:val="both"/>
        <w:rPr>
          <w:rFonts w:ascii="Times New Roman" w:eastAsia="Calibri" w:hAnsi="Times New Roman"/>
        </w:rPr>
      </w:pPr>
      <w:r w:rsidRPr="00FD30BD">
        <w:rPr>
          <w:rFonts w:ascii="Times New Roman" w:eastAsia="Calibri" w:hAnsi="Times New Roman"/>
          <w:b/>
          <w:bCs/>
        </w:rPr>
        <w:t xml:space="preserve">Supplemental figure </w:t>
      </w:r>
      <w:r>
        <w:rPr>
          <w:rFonts w:ascii="Times New Roman" w:eastAsia="Calibri" w:hAnsi="Times New Roman"/>
          <w:b/>
          <w:bCs/>
        </w:rPr>
        <w:t>5</w:t>
      </w:r>
      <w:r w:rsidRPr="00FD30BD">
        <w:rPr>
          <w:rFonts w:ascii="Times New Roman" w:eastAsia="Calibri" w:hAnsi="Times New Roman"/>
          <w:b/>
          <w:bCs/>
        </w:rPr>
        <w:t>:</w:t>
      </w:r>
      <w:r w:rsidRPr="00FD30BD">
        <w:rPr>
          <w:rFonts w:ascii="Times New Roman" w:eastAsia="Calibri" w:hAnsi="Times New Roman"/>
        </w:rPr>
        <w:t xml:space="preserve"> Box plot of the tumor mutational burden (TMB) in 760 patients with gallbladder cancer.</w:t>
      </w:r>
    </w:p>
    <w:p w14:paraId="38E440A1" w14:textId="77777777" w:rsidR="00661154" w:rsidRPr="00FD30BD" w:rsidRDefault="00661154" w:rsidP="00661154">
      <w:pPr>
        <w:spacing w:after="0" w:line="360" w:lineRule="auto"/>
        <w:jc w:val="both"/>
        <w:rPr>
          <w:rFonts w:ascii="Times New Roman" w:eastAsia="Calibri" w:hAnsi="Times New Roman"/>
          <w:b/>
          <w:bCs/>
        </w:rPr>
      </w:pPr>
      <w:r w:rsidRPr="00FD30BD">
        <w:rPr>
          <w:rFonts w:ascii="Times New Roman" w:eastAsia="Calibri" w:hAnsi="Times New Roman"/>
          <w:b/>
          <w:bCs/>
        </w:rPr>
        <w:t xml:space="preserve">Supplemental figure </w:t>
      </w:r>
      <w:r>
        <w:rPr>
          <w:rFonts w:ascii="Times New Roman" w:eastAsia="Calibri" w:hAnsi="Times New Roman"/>
          <w:b/>
          <w:bCs/>
        </w:rPr>
        <w:t>6</w:t>
      </w:r>
      <w:r w:rsidRPr="00FD30BD">
        <w:rPr>
          <w:rFonts w:ascii="Times New Roman" w:eastAsia="Calibri" w:hAnsi="Times New Roman"/>
          <w:b/>
          <w:bCs/>
        </w:rPr>
        <w:t xml:space="preserve">: </w:t>
      </w:r>
      <w:r w:rsidRPr="00FD30BD">
        <w:rPr>
          <w:rFonts w:ascii="Times New Roman" w:eastAsia="Calibri" w:hAnsi="Times New Roman"/>
        </w:rPr>
        <w:t>Tile plot for 109 gallbladder cancer patients with direct DNA repair genetic aberrations and coexisting actionable genetic aberrations.</w:t>
      </w:r>
      <w:r w:rsidRPr="00FD30BD">
        <w:rPr>
          <w:rFonts w:ascii="Times New Roman" w:eastAsia="Calibri" w:hAnsi="Times New Roman"/>
          <w:b/>
          <w:bCs/>
        </w:rPr>
        <w:t xml:space="preserve"> </w:t>
      </w:r>
    </w:p>
    <w:p w14:paraId="279045F1" w14:textId="77777777" w:rsidR="00661154" w:rsidRDefault="00661154" w:rsidP="00661154">
      <w:pPr>
        <w:spacing w:after="0" w:line="360" w:lineRule="auto"/>
        <w:jc w:val="both"/>
        <w:rPr>
          <w:rFonts w:ascii="Times New Roman" w:hAnsi="Times New Roman"/>
        </w:rPr>
      </w:pPr>
      <w:r w:rsidRPr="00FD30BD">
        <w:rPr>
          <w:rFonts w:ascii="Times New Roman" w:eastAsia="Calibri" w:hAnsi="Times New Roman"/>
          <w:b/>
          <w:bCs/>
        </w:rPr>
        <w:t xml:space="preserve">Supplemental figure </w:t>
      </w:r>
      <w:r>
        <w:rPr>
          <w:rFonts w:ascii="Times New Roman" w:eastAsia="Calibri" w:hAnsi="Times New Roman"/>
          <w:b/>
          <w:bCs/>
        </w:rPr>
        <w:t>7</w:t>
      </w:r>
      <w:r w:rsidRPr="00FD30BD">
        <w:rPr>
          <w:rFonts w:ascii="Times New Roman" w:eastAsia="Calibri" w:hAnsi="Times New Roman"/>
          <w:b/>
          <w:bCs/>
        </w:rPr>
        <w:t>:</w:t>
      </w:r>
      <w:r w:rsidRPr="00FD30BD">
        <w:rPr>
          <w:rFonts w:ascii="Times New Roman" w:hAnsi="Times New Roman"/>
        </w:rPr>
        <w:t xml:space="preserve"> A 59-year-old woman was diagnosed with poorly differentiated, T2N1M0 gallbladder adenocarcinoma and underwent surgical resection with no subsequent adjuvant therapy. Nodal recurrence was observed by positron emission tomography-computerized tomography imaging (PET-CT) 6 months later. Genomic profiling of the primary tumor demonstrated </w:t>
      </w:r>
      <w:r w:rsidRPr="00FD30BD">
        <w:rPr>
          <w:rFonts w:ascii="Times New Roman" w:hAnsi="Times New Roman"/>
          <w:i/>
          <w:iCs/>
        </w:rPr>
        <w:t xml:space="preserve">BRCA2, TP53, ERBB2, NF1, FBXW7, CDK12, </w:t>
      </w:r>
      <w:r w:rsidRPr="00FD30BD">
        <w:rPr>
          <w:rFonts w:ascii="Times New Roman" w:hAnsi="Times New Roman"/>
          <w:iCs/>
        </w:rPr>
        <w:t xml:space="preserve">and </w:t>
      </w:r>
      <w:r w:rsidRPr="00FD30BD">
        <w:rPr>
          <w:rFonts w:ascii="Times New Roman" w:hAnsi="Times New Roman"/>
          <w:i/>
          <w:iCs/>
        </w:rPr>
        <w:t xml:space="preserve">CREBBP </w:t>
      </w:r>
      <w:r w:rsidRPr="00FD30BD">
        <w:rPr>
          <w:rFonts w:ascii="Times New Roman" w:hAnsi="Times New Roman"/>
          <w:iCs/>
        </w:rPr>
        <w:t>GAs</w:t>
      </w:r>
      <w:r w:rsidRPr="00FD30BD">
        <w:rPr>
          <w:rFonts w:ascii="Times New Roman" w:hAnsi="Times New Roman"/>
        </w:rPr>
        <w:t xml:space="preserve">. Patient refused systemic therapy and remained asymptomatic for &gt; 2 years. Symptomatic disease progression was noted on follow-up CT scans. </w:t>
      </w:r>
    </w:p>
    <w:p w14:paraId="64D80624" w14:textId="77777777" w:rsidR="00661154" w:rsidRDefault="00661154" w:rsidP="00661154">
      <w:pPr>
        <w:spacing w:after="0" w:line="360" w:lineRule="auto"/>
        <w:jc w:val="both"/>
        <w:rPr>
          <w:rFonts w:ascii="Times New Roman" w:eastAsia="Calibri" w:hAnsi="Times New Roman"/>
        </w:rPr>
      </w:pPr>
      <w:r w:rsidRPr="00FD30BD">
        <w:rPr>
          <w:rFonts w:ascii="Times New Roman" w:eastAsia="Calibri" w:hAnsi="Times New Roman"/>
        </w:rPr>
        <w:t xml:space="preserve">(A) Axial PET-CT fusion scan revealed a pathologic fluorodeoxyglucose (FDG) uptake in porta hepatis lymph node. </w:t>
      </w:r>
    </w:p>
    <w:p w14:paraId="4E7079E1" w14:textId="77777777" w:rsidR="00661154" w:rsidRPr="00FD30BD" w:rsidRDefault="00661154" w:rsidP="00661154">
      <w:pPr>
        <w:spacing w:after="0" w:line="360" w:lineRule="auto"/>
        <w:jc w:val="both"/>
        <w:rPr>
          <w:rFonts w:ascii="Times New Roman" w:hAnsi="Times New Roman"/>
          <w:b/>
          <w:bCs/>
        </w:rPr>
      </w:pPr>
      <w:r w:rsidRPr="00FD30BD">
        <w:rPr>
          <w:rFonts w:ascii="Times New Roman" w:eastAsia="Calibri" w:hAnsi="Times New Roman"/>
        </w:rPr>
        <w:t xml:space="preserve">(B) After 2 years and 9 months without active treatment, axial PET-CT fusion scan revealed progression in the porta hepatis lymph node with no evidence of extrahepatic disease. </w:t>
      </w:r>
      <w:r w:rsidRPr="00FD30BD">
        <w:rPr>
          <w:rFonts w:ascii="Times New Roman" w:hAnsi="Times New Roman"/>
          <w:b/>
          <w:bCs/>
        </w:rPr>
        <w:t xml:space="preserve"> </w:t>
      </w:r>
    </w:p>
    <w:p w14:paraId="4C008EAB" w14:textId="77777777" w:rsidR="00661154" w:rsidRPr="00FD30BD" w:rsidRDefault="00661154" w:rsidP="00661154">
      <w:pPr>
        <w:spacing w:after="0" w:line="360" w:lineRule="auto"/>
        <w:jc w:val="both"/>
        <w:rPr>
          <w:rFonts w:ascii="Times New Roman" w:hAnsi="Times New Roman"/>
        </w:rPr>
      </w:pPr>
      <w:r w:rsidRPr="00FD30BD">
        <w:rPr>
          <w:rFonts w:ascii="Times New Roman" w:eastAsia="Calibri" w:hAnsi="Times New Roman"/>
          <w:b/>
          <w:bCs/>
        </w:rPr>
        <w:t xml:space="preserve">Supplemental figure </w:t>
      </w:r>
      <w:r>
        <w:rPr>
          <w:rFonts w:ascii="Times New Roman" w:eastAsia="Calibri" w:hAnsi="Times New Roman"/>
          <w:b/>
          <w:bCs/>
        </w:rPr>
        <w:t>8</w:t>
      </w:r>
      <w:r w:rsidRPr="00FD30BD">
        <w:rPr>
          <w:rFonts w:ascii="Times New Roman" w:eastAsia="Calibri" w:hAnsi="Times New Roman"/>
          <w:b/>
          <w:bCs/>
        </w:rPr>
        <w:t xml:space="preserve">: </w:t>
      </w:r>
      <w:r w:rsidRPr="00FD30BD">
        <w:rPr>
          <w:rFonts w:ascii="Times New Roman" w:hAnsi="Times New Roman"/>
        </w:rPr>
        <w:t xml:space="preserve">A 73-year-old woman presented with a gallbladder mass along with small-bowel obstruction. She underwent partial hepatectomy with hepatoduodenal and aortocaval lymphadenectomy for </w:t>
      </w:r>
      <w:r w:rsidRPr="00FD30BD">
        <w:rPr>
          <w:rFonts w:ascii="Times New Roman" w:hAnsi="Times New Roman"/>
        </w:rPr>
        <w:lastRenderedPageBreak/>
        <w:t xml:space="preserve">T2N0M0 poorly differentiated GBC. At that time, no adjuvant therapy recommended. Seven months later, follow-up CT showed an abdominal wall </w:t>
      </w:r>
      <w:proofErr w:type="spellStart"/>
      <w:r w:rsidRPr="00FD30BD">
        <w:rPr>
          <w:rFonts w:ascii="Times New Roman" w:hAnsi="Times New Roman"/>
        </w:rPr>
        <w:t>hypervascular</w:t>
      </w:r>
      <w:proofErr w:type="spellEnd"/>
      <w:r w:rsidRPr="00FD30BD">
        <w:rPr>
          <w:rFonts w:ascii="Times New Roman" w:hAnsi="Times New Roman"/>
        </w:rPr>
        <w:t xml:space="preserve"> metastasis. Surgical resection of the abdominal wall mass with abdominal wall reconstructive surgery was done. Pathological evaluation identified moderately-to-poorly differentiated adenocarcinoma, consistent with primary GBC. Genomic profiling of the metastatic lesion revealed </w:t>
      </w:r>
      <w:r w:rsidRPr="00FD30BD">
        <w:rPr>
          <w:rFonts w:ascii="Times New Roman" w:hAnsi="Times New Roman"/>
          <w:i/>
          <w:iCs/>
        </w:rPr>
        <w:t xml:space="preserve">MLL2, MSH2, TP53, PTEN, RNF43, ARID1A, CHD4, CTCF, GATA2, GATA3, LRP1B, PAX5, PBRM1, and SMAD4 </w:t>
      </w:r>
      <w:r w:rsidRPr="00FD30BD">
        <w:rPr>
          <w:rFonts w:ascii="Times New Roman" w:hAnsi="Times New Roman"/>
        </w:rPr>
        <w:t>GAs</w:t>
      </w:r>
      <w:r w:rsidRPr="00FD30BD">
        <w:rPr>
          <w:rFonts w:ascii="Times New Roman" w:hAnsi="Times New Roman"/>
          <w:i/>
          <w:iCs/>
        </w:rPr>
        <w:t xml:space="preserve">. </w:t>
      </w:r>
      <w:r w:rsidRPr="00FD30BD">
        <w:rPr>
          <w:rFonts w:ascii="Times New Roman" w:hAnsi="Times New Roman"/>
          <w:iCs/>
        </w:rPr>
        <w:t>Case was also noted to have</w:t>
      </w:r>
      <w:r w:rsidRPr="00FD30BD">
        <w:rPr>
          <w:rFonts w:ascii="Times New Roman" w:hAnsi="Times New Roman"/>
          <w:i/>
          <w:iCs/>
        </w:rPr>
        <w:t xml:space="preserve"> </w:t>
      </w:r>
      <w:r w:rsidRPr="00FD30BD">
        <w:rPr>
          <w:rFonts w:ascii="Times New Roman" w:hAnsi="Times New Roman"/>
        </w:rPr>
        <w:t xml:space="preserve">TMB-H (30 </w:t>
      </w:r>
      <w:proofErr w:type="spellStart"/>
      <w:r w:rsidRPr="00FD30BD">
        <w:rPr>
          <w:rFonts w:ascii="Times New Roman" w:hAnsi="Times New Roman"/>
        </w:rPr>
        <w:t>mut</w:t>
      </w:r>
      <w:proofErr w:type="spellEnd"/>
      <w:r w:rsidRPr="00FD30BD">
        <w:rPr>
          <w:rFonts w:ascii="Times New Roman" w:hAnsi="Times New Roman"/>
        </w:rPr>
        <w:t xml:space="preserve">/mb) and MSI-High status. Patient did not receive any systemic therapy and continues to be disease free, 3 years after </w:t>
      </w:r>
      <w:proofErr w:type="spellStart"/>
      <w:r w:rsidRPr="00FD30BD">
        <w:rPr>
          <w:rFonts w:ascii="Times New Roman" w:hAnsi="Times New Roman"/>
        </w:rPr>
        <w:t>metastatectomy</w:t>
      </w:r>
      <w:proofErr w:type="spellEnd"/>
      <w:r w:rsidRPr="00FD30BD">
        <w:rPr>
          <w:rFonts w:ascii="Times New Roman" w:hAnsi="Times New Roman"/>
        </w:rPr>
        <w:t xml:space="preserve">. </w:t>
      </w:r>
    </w:p>
    <w:p w14:paraId="4C6E1F78" w14:textId="77777777" w:rsidR="00661154" w:rsidRPr="00FD30BD" w:rsidRDefault="00661154" w:rsidP="00661154">
      <w:pPr>
        <w:spacing w:after="0" w:line="360" w:lineRule="auto"/>
        <w:jc w:val="both"/>
        <w:rPr>
          <w:rFonts w:ascii="Times New Roman" w:eastAsia="Calibri" w:hAnsi="Times New Roman"/>
        </w:rPr>
      </w:pPr>
      <w:r w:rsidRPr="00FD30BD">
        <w:rPr>
          <w:rFonts w:ascii="Times New Roman" w:eastAsia="Calibri" w:hAnsi="Times New Roman"/>
        </w:rPr>
        <w:t xml:space="preserve">(A) Axial contrast-enhanced CT image shows 1.8 cm midline abdominal wall </w:t>
      </w:r>
      <w:proofErr w:type="spellStart"/>
      <w:r w:rsidRPr="00FD30BD">
        <w:rPr>
          <w:rFonts w:ascii="Times New Roman" w:eastAsia="Calibri" w:hAnsi="Times New Roman"/>
        </w:rPr>
        <w:t>hypervascular</w:t>
      </w:r>
      <w:proofErr w:type="spellEnd"/>
      <w:r w:rsidRPr="00FD30BD">
        <w:rPr>
          <w:rFonts w:ascii="Times New Roman" w:eastAsia="Calibri" w:hAnsi="Times New Roman"/>
        </w:rPr>
        <w:t xml:space="preserve"> metastasis. (B) Axial contrast-enhanced CT image shows disease free 3 years after </w:t>
      </w:r>
      <w:proofErr w:type="spellStart"/>
      <w:r w:rsidRPr="00FD30BD">
        <w:rPr>
          <w:rFonts w:ascii="Times New Roman" w:eastAsia="Calibri" w:hAnsi="Times New Roman"/>
        </w:rPr>
        <w:t>metastatectomy</w:t>
      </w:r>
      <w:proofErr w:type="spellEnd"/>
      <w:r w:rsidRPr="00FD30BD">
        <w:rPr>
          <w:rFonts w:ascii="Times New Roman" w:eastAsia="Calibri" w:hAnsi="Times New Roman"/>
        </w:rPr>
        <w:t>.</w:t>
      </w:r>
    </w:p>
    <w:p w14:paraId="37BA2745" w14:textId="77777777" w:rsidR="00661154" w:rsidRPr="00FD30BD" w:rsidRDefault="00661154" w:rsidP="00661154">
      <w:pPr>
        <w:spacing w:after="0" w:line="360" w:lineRule="auto"/>
        <w:jc w:val="both"/>
        <w:rPr>
          <w:rFonts w:ascii="Times New Roman" w:hAnsi="Times New Roman"/>
        </w:rPr>
      </w:pPr>
      <w:r w:rsidRPr="00FD30BD">
        <w:rPr>
          <w:rFonts w:ascii="Times New Roman" w:eastAsia="Calibri" w:hAnsi="Times New Roman"/>
          <w:b/>
          <w:bCs/>
        </w:rPr>
        <w:t xml:space="preserve">Supplemental figure </w:t>
      </w:r>
      <w:r>
        <w:rPr>
          <w:rFonts w:ascii="Times New Roman" w:eastAsia="Calibri" w:hAnsi="Times New Roman"/>
          <w:b/>
          <w:bCs/>
        </w:rPr>
        <w:t>9</w:t>
      </w:r>
      <w:r w:rsidRPr="00FD30BD">
        <w:rPr>
          <w:rFonts w:ascii="Times New Roman" w:eastAsia="Calibri" w:hAnsi="Times New Roman"/>
          <w:b/>
          <w:bCs/>
        </w:rPr>
        <w:t>:</w:t>
      </w:r>
      <w:r w:rsidRPr="00FD30BD">
        <w:rPr>
          <w:rFonts w:ascii="Times New Roman" w:hAnsi="Times New Roman"/>
          <w:b/>
          <w:bCs/>
        </w:rPr>
        <w:t xml:space="preserve"> </w:t>
      </w:r>
      <w:r w:rsidRPr="00FD30BD">
        <w:rPr>
          <w:rFonts w:ascii="Times New Roman" w:hAnsi="Times New Roman"/>
        </w:rPr>
        <w:t xml:space="preserve">A 53-year-old man diagnosed with moderately differentiated advanced BTC with liver metastasis. Genomic profiling showed </w:t>
      </w:r>
      <w:r w:rsidRPr="00FD30BD">
        <w:rPr>
          <w:rFonts w:ascii="Times New Roman" w:hAnsi="Times New Roman"/>
          <w:i/>
          <w:iCs/>
        </w:rPr>
        <w:t>BRCA1</w:t>
      </w:r>
      <w:r w:rsidRPr="00FD30BD">
        <w:rPr>
          <w:rFonts w:ascii="Times New Roman" w:hAnsi="Times New Roman"/>
        </w:rPr>
        <w:t xml:space="preserve">, </w:t>
      </w:r>
      <w:r w:rsidRPr="00FD30BD">
        <w:rPr>
          <w:rFonts w:ascii="Times New Roman" w:hAnsi="Times New Roman"/>
          <w:i/>
          <w:iCs/>
        </w:rPr>
        <w:t>TP53</w:t>
      </w:r>
      <w:r w:rsidRPr="00FD30BD">
        <w:rPr>
          <w:rFonts w:ascii="Times New Roman" w:hAnsi="Times New Roman"/>
        </w:rPr>
        <w:t>,</w:t>
      </w:r>
      <w:r w:rsidRPr="00FD30BD">
        <w:rPr>
          <w:rFonts w:ascii="Times New Roman" w:hAnsi="Times New Roman"/>
          <w:i/>
          <w:iCs/>
        </w:rPr>
        <w:t xml:space="preserve"> ARID1A</w:t>
      </w:r>
      <w:r w:rsidRPr="00FD30BD">
        <w:rPr>
          <w:rFonts w:ascii="Times New Roman" w:hAnsi="Times New Roman"/>
        </w:rPr>
        <w:t xml:space="preserve">, </w:t>
      </w:r>
      <w:r w:rsidRPr="00FD30BD">
        <w:rPr>
          <w:rFonts w:ascii="Times New Roman" w:hAnsi="Times New Roman"/>
          <w:i/>
          <w:iCs/>
        </w:rPr>
        <w:t>CCND3</w:t>
      </w:r>
      <w:r w:rsidRPr="00FD30BD">
        <w:rPr>
          <w:rFonts w:ascii="Times New Roman" w:hAnsi="Times New Roman"/>
        </w:rPr>
        <w:t xml:space="preserve">, and </w:t>
      </w:r>
      <w:r w:rsidRPr="00FD30BD">
        <w:rPr>
          <w:rFonts w:ascii="Times New Roman" w:hAnsi="Times New Roman"/>
          <w:i/>
          <w:iCs/>
        </w:rPr>
        <w:t xml:space="preserve">NOTCH1 </w:t>
      </w:r>
      <w:r w:rsidRPr="00FD30BD">
        <w:rPr>
          <w:rFonts w:ascii="Times New Roman" w:hAnsi="Times New Roman"/>
        </w:rPr>
        <w:t xml:space="preserve">GAs, as well as amplification in </w:t>
      </w:r>
      <w:r w:rsidRPr="00FD30BD">
        <w:rPr>
          <w:rFonts w:ascii="Times New Roman" w:hAnsi="Times New Roman"/>
          <w:i/>
          <w:iCs/>
        </w:rPr>
        <w:t>FGFR2</w:t>
      </w:r>
      <w:r w:rsidRPr="00FD30BD">
        <w:rPr>
          <w:rFonts w:ascii="Times New Roman" w:hAnsi="Times New Roman"/>
        </w:rPr>
        <w:t xml:space="preserve">, </w:t>
      </w:r>
      <w:r w:rsidRPr="00FD30BD">
        <w:rPr>
          <w:rFonts w:ascii="Times New Roman" w:hAnsi="Times New Roman"/>
          <w:i/>
          <w:iCs/>
        </w:rPr>
        <w:t>FGFR3</w:t>
      </w:r>
      <w:r w:rsidRPr="00FD30BD">
        <w:rPr>
          <w:rFonts w:ascii="Times New Roman" w:hAnsi="Times New Roman"/>
        </w:rPr>
        <w:t xml:space="preserve">, </w:t>
      </w:r>
      <w:r w:rsidRPr="00FD30BD">
        <w:rPr>
          <w:rFonts w:ascii="Times New Roman" w:hAnsi="Times New Roman"/>
          <w:i/>
          <w:iCs/>
        </w:rPr>
        <w:t>RAF1</w:t>
      </w:r>
      <w:r w:rsidRPr="00FD30BD">
        <w:rPr>
          <w:rFonts w:ascii="Times New Roman" w:hAnsi="Times New Roman"/>
        </w:rPr>
        <w:t xml:space="preserve">, </w:t>
      </w:r>
      <w:r w:rsidRPr="00FD30BD">
        <w:rPr>
          <w:rFonts w:ascii="Times New Roman" w:hAnsi="Times New Roman"/>
          <w:i/>
          <w:iCs/>
        </w:rPr>
        <w:t>MYC</w:t>
      </w:r>
      <w:r w:rsidRPr="00FD30BD">
        <w:rPr>
          <w:rFonts w:ascii="Times New Roman" w:hAnsi="Times New Roman"/>
        </w:rPr>
        <w:t xml:space="preserve">, </w:t>
      </w:r>
      <w:r w:rsidRPr="00FD30BD">
        <w:rPr>
          <w:rFonts w:ascii="Times New Roman" w:hAnsi="Times New Roman"/>
          <w:i/>
          <w:iCs/>
        </w:rPr>
        <w:t>VEGFA</w:t>
      </w:r>
      <w:r w:rsidRPr="00FD30BD">
        <w:rPr>
          <w:rFonts w:ascii="Times New Roman" w:hAnsi="Times New Roman"/>
        </w:rPr>
        <w:t xml:space="preserve"> and loss in </w:t>
      </w:r>
      <w:r w:rsidRPr="00FD30BD">
        <w:rPr>
          <w:rFonts w:ascii="Times New Roman" w:hAnsi="Times New Roman"/>
          <w:i/>
          <w:iCs/>
        </w:rPr>
        <w:t>SMAD4</w:t>
      </w:r>
      <w:r w:rsidRPr="00FD30BD">
        <w:rPr>
          <w:rFonts w:ascii="Times New Roman" w:hAnsi="Times New Roman"/>
        </w:rPr>
        <w:t xml:space="preserve"> with TMB-I and MSS. Patient received gemcitabine plus cisplatin with stable disease till he developed allergic drug reaction. Thereafter, patient was prescribed </w:t>
      </w:r>
      <w:proofErr w:type="spellStart"/>
      <w:r w:rsidRPr="00FD30BD">
        <w:rPr>
          <w:rFonts w:ascii="Times New Roman" w:hAnsi="Times New Roman"/>
        </w:rPr>
        <w:t>olaparib</w:t>
      </w:r>
      <w:proofErr w:type="spellEnd"/>
      <w:r w:rsidRPr="00FD30BD">
        <w:rPr>
          <w:rFonts w:ascii="Times New Roman" w:hAnsi="Times New Roman"/>
        </w:rPr>
        <w:t xml:space="preserve"> and has received 5 months of therapy thus far with a stable disease.  </w:t>
      </w:r>
    </w:p>
    <w:p w14:paraId="7B815263" w14:textId="77777777" w:rsidR="00661154" w:rsidRPr="00FF4FEB" w:rsidRDefault="00661154" w:rsidP="0066115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/>
          <w:b/>
          <w:bCs/>
        </w:rPr>
      </w:pPr>
      <w:r w:rsidRPr="00FD30BD">
        <w:rPr>
          <w:rFonts w:ascii="Times New Roman" w:eastAsia="Calibri" w:hAnsi="Times New Roman"/>
        </w:rPr>
        <w:t xml:space="preserve">Axial contrast-enhanced CT image demonstrates a low attenuated lesion at the anterior superior hepatic segment 8 extending between the left and right liver lobes measuring 4.9 x 2.6 cm (arrow) before </w:t>
      </w:r>
      <w:proofErr w:type="spellStart"/>
      <w:r w:rsidRPr="00FD30BD">
        <w:rPr>
          <w:rFonts w:ascii="Times New Roman" w:eastAsia="Calibri" w:hAnsi="Times New Roman"/>
        </w:rPr>
        <w:t>olaparib</w:t>
      </w:r>
      <w:proofErr w:type="spellEnd"/>
      <w:r w:rsidRPr="00FD30BD">
        <w:rPr>
          <w:rFonts w:ascii="Times New Roman" w:eastAsia="Calibri" w:hAnsi="Times New Roman"/>
        </w:rPr>
        <w:t xml:space="preserve">. </w:t>
      </w:r>
    </w:p>
    <w:p w14:paraId="2B429561" w14:textId="77777777" w:rsidR="00661154" w:rsidRPr="00FD30BD" w:rsidRDefault="00661154" w:rsidP="00661154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/>
          <w:b/>
          <w:bCs/>
        </w:rPr>
      </w:pPr>
      <w:r w:rsidRPr="00FD30BD">
        <w:rPr>
          <w:rFonts w:ascii="Times New Roman" w:eastAsia="Calibri" w:hAnsi="Times New Roman"/>
        </w:rPr>
        <w:t xml:space="preserve">(B) After four cycles of </w:t>
      </w:r>
      <w:proofErr w:type="spellStart"/>
      <w:r w:rsidRPr="00FD30BD">
        <w:rPr>
          <w:rFonts w:ascii="Times New Roman" w:eastAsia="Calibri" w:hAnsi="Times New Roman"/>
        </w:rPr>
        <w:t>olaparib</w:t>
      </w:r>
      <w:proofErr w:type="spellEnd"/>
      <w:r w:rsidRPr="00FD30BD">
        <w:rPr>
          <w:rFonts w:ascii="Times New Roman" w:eastAsia="Calibri" w:hAnsi="Times New Roman"/>
        </w:rPr>
        <w:t>, axial contrast-enhanced CT image demonstrates stability of liver metastasis.</w:t>
      </w:r>
      <w:r w:rsidRPr="00FD30BD">
        <w:rPr>
          <w:rFonts w:ascii="Times New Roman" w:eastAsia="Calibri" w:hAnsi="Times New Roman"/>
          <w:b/>
          <w:bCs/>
        </w:rPr>
        <w:t xml:space="preserve"> </w:t>
      </w:r>
    </w:p>
    <w:p w14:paraId="724EBB67" w14:textId="77777777" w:rsidR="001B3E0A" w:rsidRDefault="001B3E0A">
      <w:bookmarkStart w:id="0" w:name="_GoBack"/>
      <w:bookmarkEnd w:id="0"/>
    </w:p>
    <w:sectPr w:rsidR="001B3E0A" w:rsidSect="00EC3C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C5C30"/>
    <w:multiLevelType w:val="hybridMultilevel"/>
    <w:tmpl w:val="95846A5C"/>
    <w:lvl w:ilvl="0" w:tplc="81F40686">
      <w:start w:val="1"/>
      <w:numFmt w:val="upperLetter"/>
      <w:lvlText w:val="(%1)"/>
      <w:lvlJc w:val="left"/>
      <w:pPr>
        <w:ind w:left="420" w:hanging="360"/>
      </w:pPr>
      <w:rPr>
        <w:rFonts w:ascii="Calibri" w:hAnsi="Calibri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154"/>
    <w:rsid w:val="0005107E"/>
    <w:rsid w:val="000E3633"/>
    <w:rsid w:val="001B3E0A"/>
    <w:rsid w:val="00271B24"/>
    <w:rsid w:val="00366408"/>
    <w:rsid w:val="003C5B46"/>
    <w:rsid w:val="003D1335"/>
    <w:rsid w:val="003D36B1"/>
    <w:rsid w:val="00597B17"/>
    <w:rsid w:val="00641E85"/>
    <w:rsid w:val="00661154"/>
    <w:rsid w:val="006B03F8"/>
    <w:rsid w:val="007239EB"/>
    <w:rsid w:val="00736421"/>
    <w:rsid w:val="00855DC3"/>
    <w:rsid w:val="00894E12"/>
    <w:rsid w:val="009402E5"/>
    <w:rsid w:val="00997D5F"/>
    <w:rsid w:val="00AC0F3F"/>
    <w:rsid w:val="00B6179A"/>
    <w:rsid w:val="00DC519C"/>
    <w:rsid w:val="00EC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CCE056"/>
  <w15:chartTrackingRefBased/>
  <w15:docId w15:val="{1743926B-9A35-1547-9252-990352523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154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1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650</Words>
  <Characters>3710</Characters>
  <Application>Microsoft Office Word</Application>
  <DocSecurity>0</DocSecurity>
  <Lines>30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Javle,Milind</dc:creator>
  <cp:keywords/>
  <dc:description/>
  <cp:lastModifiedBy>Javle,Milind</cp:lastModifiedBy>
  <cp:revision>1</cp:revision>
  <dcterms:created xsi:type="dcterms:W3CDTF">2020-06-15T11:17:00Z</dcterms:created>
  <dcterms:modified xsi:type="dcterms:W3CDTF">2020-06-15T11:18:00Z</dcterms:modified>
</cp:coreProperties>
</file>