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AD276" w14:textId="77777777" w:rsidR="005237DD" w:rsidRPr="008D0FBA" w:rsidRDefault="005237DD" w:rsidP="005237DD">
      <w:pPr>
        <w:pStyle w:val="Heading1"/>
        <w:rPr>
          <w:rFonts w:ascii="Palatino Linotype" w:hAnsi="Palatino Linotype"/>
        </w:rPr>
      </w:pPr>
      <w:r w:rsidRPr="008D0FBA">
        <w:rPr>
          <w:rFonts w:ascii="Palatino Linotype" w:hAnsi="Palatino Linotype"/>
        </w:rPr>
        <w:t xml:space="preserve">TITLE: </w:t>
      </w:r>
      <w:bookmarkStart w:id="0" w:name="OLE_LINK2"/>
      <w:r w:rsidRPr="008D0FBA">
        <w:rPr>
          <w:rFonts w:ascii="Palatino Linotype" w:hAnsi="Palatino Linotype"/>
        </w:rPr>
        <w:t>DEVELOPMENT OF A HUMAN PRIMARY GUT-ON-A-CHIP TO MODEL INFLAMMATORY PROCESSES</w:t>
      </w:r>
    </w:p>
    <w:bookmarkEnd w:id="0"/>
    <w:p w14:paraId="51A8B81B" w14:textId="77777777" w:rsidR="005237DD" w:rsidRPr="00440222" w:rsidRDefault="005237DD" w:rsidP="005237DD">
      <w:pPr>
        <w:jc w:val="both"/>
        <w:rPr>
          <w:rFonts w:cstheme="minorHAnsi"/>
          <w:b/>
          <w:caps/>
          <w:u w:val="single"/>
          <w:lang w:val="en-GB"/>
        </w:rPr>
      </w:pPr>
    </w:p>
    <w:p w14:paraId="50ABD4D6" w14:textId="242E9D0B" w:rsidR="005237DD" w:rsidRPr="008D0FBA" w:rsidRDefault="005237DD" w:rsidP="005237DD">
      <w:pPr>
        <w:pStyle w:val="Heading1"/>
        <w:rPr>
          <w:rFonts w:ascii="Palatino Linotype" w:hAnsi="Palatino Linotype"/>
        </w:rPr>
      </w:pPr>
      <w:r w:rsidRPr="008D0FBA">
        <w:rPr>
          <w:rFonts w:ascii="Palatino Linotype" w:hAnsi="Palatino Linotype"/>
        </w:rPr>
        <w:t>AUTHORS:</w:t>
      </w:r>
    </w:p>
    <w:p w14:paraId="6B1102FC" w14:textId="0A55BB98" w:rsidR="005237DD" w:rsidRPr="00440222" w:rsidRDefault="005237DD" w:rsidP="005237DD">
      <w:pPr>
        <w:jc w:val="both"/>
        <w:rPr>
          <w:rFonts w:cstheme="minorHAnsi"/>
          <w:vertAlign w:val="superscript"/>
          <w:lang w:val="en-GB"/>
        </w:rPr>
      </w:pPr>
      <w:r w:rsidRPr="00440222">
        <w:rPr>
          <w:rFonts w:cstheme="minorHAnsi"/>
          <w:lang w:val="en-GB"/>
        </w:rPr>
        <w:t>Claudia Beaurivage</w:t>
      </w:r>
      <w:r w:rsidRPr="00440222">
        <w:rPr>
          <w:rFonts w:cstheme="minorHAnsi"/>
          <w:vertAlign w:val="superscript"/>
          <w:lang w:val="en-GB"/>
        </w:rPr>
        <w:t>1,2</w:t>
      </w:r>
      <w:r w:rsidRPr="00440222">
        <w:rPr>
          <w:rFonts w:cstheme="minorHAnsi"/>
          <w:lang w:val="en-GB"/>
        </w:rPr>
        <w:t>, Auste Kanapeckaite</w:t>
      </w:r>
      <w:r w:rsidRPr="00440222">
        <w:rPr>
          <w:rFonts w:cstheme="minorHAnsi"/>
          <w:vertAlign w:val="superscript"/>
          <w:lang w:val="en-GB"/>
        </w:rPr>
        <w:t>1</w:t>
      </w:r>
      <w:r w:rsidRPr="00440222">
        <w:rPr>
          <w:rFonts w:cstheme="minorHAnsi"/>
          <w:lang w:val="en-GB"/>
        </w:rPr>
        <w:t>, Cindy Loomans</w:t>
      </w:r>
      <w:r w:rsidRPr="00440222">
        <w:rPr>
          <w:rFonts w:cstheme="minorHAnsi"/>
          <w:vertAlign w:val="superscript"/>
          <w:lang w:val="en-GB"/>
        </w:rPr>
        <w:t>1</w:t>
      </w:r>
      <w:r w:rsidRPr="00440222">
        <w:rPr>
          <w:rFonts w:cstheme="minorHAnsi"/>
          <w:lang w:val="en-GB"/>
        </w:rPr>
        <w:t>, Kai S. Erdmann</w:t>
      </w:r>
      <w:r w:rsidRPr="00440222">
        <w:rPr>
          <w:rFonts w:cstheme="minorHAnsi"/>
          <w:vertAlign w:val="superscript"/>
          <w:lang w:val="en-GB"/>
        </w:rPr>
        <w:t>2</w:t>
      </w:r>
      <w:r w:rsidRPr="00440222">
        <w:rPr>
          <w:rFonts w:cstheme="minorHAnsi"/>
          <w:lang w:val="en-GB"/>
        </w:rPr>
        <w:t>, Jan Stallen</w:t>
      </w:r>
      <w:r w:rsidRPr="00440222">
        <w:rPr>
          <w:rFonts w:cstheme="minorHAnsi"/>
          <w:vertAlign w:val="superscript"/>
          <w:lang w:val="en-GB"/>
        </w:rPr>
        <w:t>1</w:t>
      </w:r>
      <w:r w:rsidRPr="00440222">
        <w:rPr>
          <w:rFonts w:cstheme="minorHAnsi"/>
          <w:lang w:val="en-GB"/>
        </w:rPr>
        <w:t>, Richard A</w:t>
      </w:r>
      <w:r w:rsidRPr="00440222">
        <w:rPr>
          <w:rFonts w:cstheme="minorHAnsi"/>
          <w:lang w:val="nl-NL"/>
        </w:rPr>
        <w:t xml:space="preserve">.J. </w:t>
      </w:r>
      <w:r w:rsidRPr="00440222">
        <w:rPr>
          <w:rFonts w:cstheme="minorHAnsi"/>
          <w:lang w:val="en-GB"/>
        </w:rPr>
        <w:t>Janssen</w:t>
      </w:r>
      <w:r w:rsidR="00800B9A" w:rsidRPr="00440222">
        <w:rPr>
          <w:rFonts w:cstheme="minorHAnsi"/>
          <w:vertAlign w:val="superscript"/>
          <w:lang w:val="en-GB"/>
        </w:rPr>
        <w:t>1,</w:t>
      </w:r>
      <w:r w:rsidRPr="00440222">
        <w:rPr>
          <w:rFonts w:cstheme="minorHAnsi"/>
          <w:vertAlign w:val="superscript"/>
          <w:lang w:val="en-GB"/>
        </w:rPr>
        <w:t>*</w:t>
      </w:r>
    </w:p>
    <w:p w14:paraId="3D38C7F0" w14:textId="465B0BD8" w:rsidR="00800B9A" w:rsidRPr="00440222" w:rsidRDefault="00800B9A" w:rsidP="005237DD">
      <w:pPr>
        <w:jc w:val="both"/>
        <w:rPr>
          <w:rFonts w:cstheme="minorHAnsi"/>
          <w:vertAlign w:val="superscript"/>
          <w:lang w:val="en-GB"/>
        </w:rPr>
      </w:pPr>
    </w:p>
    <w:p w14:paraId="57DE60FC" w14:textId="77777777" w:rsidR="00800B9A" w:rsidRPr="00440222" w:rsidRDefault="00800B9A" w:rsidP="00800B9A">
      <w:pPr>
        <w:spacing w:line="360" w:lineRule="auto"/>
        <w:jc w:val="both"/>
        <w:rPr>
          <w:rFonts w:cstheme="minorHAnsi"/>
          <w:color w:val="191919"/>
          <w:lang w:val="en-US"/>
        </w:rPr>
      </w:pPr>
      <w:r w:rsidRPr="00440222">
        <w:rPr>
          <w:rFonts w:cstheme="minorHAnsi"/>
          <w:bCs/>
          <w:vertAlign w:val="superscript"/>
          <w:lang w:val="en-US"/>
        </w:rPr>
        <w:t>1</w:t>
      </w:r>
      <w:r w:rsidRPr="00440222">
        <w:rPr>
          <w:rFonts w:cstheme="minorHAnsi"/>
          <w:color w:val="191919"/>
          <w:lang w:val="en-US"/>
        </w:rPr>
        <w:t xml:space="preserve">Galapagos BV, Leiden, South Holland, 2333CL, The Netherlands </w:t>
      </w:r>
    </w:p>
    <w:p w14:paraId="093B93F1" w14:textId="77777777" w:rsidR="00800B9A" w:rsidRPr="00440222" w:rsidRDefault="00800B9A" w:rsidP="00800B9A">
      <w:pPr>
        <w:spacing w:line="360" w:lineRule="auto"/>
        <w:jc w:val="both"/>
        <w:rPr>
          <w:rFonts w:cstheme="minorHAnsi"/>
          <w:color w:val="191919"/>
        </w:rPr>
      </w:pPr>
      <w:r w:rsidRPr="00440222">
        <w:rPr>
          <w:rFonts w:cstheme="minorHAnsi"/>
          <w:color w:val="191919"/>
          <w:vertAlign w:val="superscript"/>
        </w:rPr>
        <w:t>2</w:t>
      </w:r>
      <w:r w:rsidRPr="00440222">
        <w:rPr>
          <w:rFonts w:cstheme="minorHAnsi"/>
          <w:color w:val="191919"/>
        </w:rPr>
        <w:t xml:space="preserve">Department of Biomedical Science, Faculty of Science, University of Sheffield, Sheffield, South Yorkshire, S10 2TN, United Kingdom </w:t>
      </w:r>
    </w:p>
    <w:p w14:paraId="4DA749B6" w14:textId="77777777" w:rsidR="00800B9A" w:rsidRPr="00440222" w:rsidRDefault="00800B9A" w:rsidP="00800B9A">
      <w:pPr>
        <w:spacing w:line="240" w:lineRule="auto"/>
        <w:jc w:val="both"/>
        <w:rPr>
          <w:rFonts w:cstheme="minorHAnsi"/>
          <w:color w:val="191919"/>
        </w:rPr>
      </w:pPr>
      <w:r w:rsidRPr="00440222">
        <w:rPr>
          <w:rFonts w:cstheme="minorHAnsi"/>
          <w:color w:val="191919"/>
        </w:rPr>
        <w:t>* Corresponding author</w:t>
      </w:r>
    </w:p>
    <w:p w14:paraId="2DE22627" w14:textId="77777777" w:rsidR="00800B9A" w:rsidRPr="00440222" w:rsidRDefault="00800B9A" w:rsidP="005237DD">
      <w:pPr>
        <w:jc w:val="both"/>
        <w:rPr>
          <w:rFonts w:cstheme="minorHAnsi"/>
          <w:vertAlign w:val="superscript"/>
          <w:lang w:val="en-GB"/>
        </w:rPr>
      </w:pPr>
    </w:p>
    <w:p w14:paraId="2DE01857" w14:textId="77777777" w:rsidR="00D105E0" w:rsidRPr="008D0FBA" w:rsidRDefault="00D105E0" w:rsidP="00D105E0">
      <w:pPr>
        <w:pStyle w:val="Heading1"/>
        <w:rPr>
          <w:rFonts w:ascii="Palatino Linotype" w:hAnsi="Palatino Linotype"/>
        </w:rPr>
      </w:pPr>
      <w:r w:rsidRPr="008D0FBA">
        <w:rPr>
          <w:rFonts w:ascii="Palatino Linotype" w:hAnsi="Palatino Linotype"/>
        </w:rPr>
        <w:t>SUPPLEMENTARY INFORMATION</w:t>
      </w:r>
    </w:p>
    <w:p w14:paraId="091290BC" w14:textId="77777777" w:rsidR="00D105E0" w:rsidRPr="00440222" w:rsidRDefault="00D105E0" w:rsidP="00D105E0">
      <w:pPr>
        <w:jc w:val="center"/>
        <w:rPr>
          <w:rFonts w:cstheme="minorHAnsi"/>
          <w:b/>
          <w:lang w:val="en-GB"/>
        </w:rPr>
      </w:pPr>
      <w:r w:rsidRPr="008D0FBA">
        <w:rPr>
          <w:rFonts w:cstheme="minorHAnsi"/>
          <w:b/>
          <w:noProof/>
          <w:lang w:val="en-GB" w:eastAsia="en-GB"/>
        </w:rPr>
        <w:drawing>
          <wp:inline distT="0" distB="0" distL="0" distR="0" wp14:anchorId="004B3147" wp14:editId="5FAE2BAF">
            <wp:extent cx="3855600" cy="28944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55600" cy="2894400"/>
                    </a:xfrm>
                    <a:prstGeom prst="rect">
                      <a:avLst/>
                    </a:prstGeom>
                  </pic:spPr>
                </pic:pic>
              </a:graphicData>
            </a:graphic>
          </wp:inline>
        </w:drawing>
      </w:r>
    </w:p>
    <w:p w14:paraId="28472895" w14:textId="4BAC88AC" w:rsidR="00D105E0" w:rsidRPr="00440222" w:rsidRDefault="00D105E0" w:rsidP="00D105E0">
      <w:pPr>
        <w:spacing w:line="240" w:lineRule="auto"/>
        <w:jc w:val="both"/>
        <w:rPr>
          <w:rFonts w:cstheme="minorHAnsi"/>
          <w:b/>
          <w:szCs w:val="20"/>
          <w:lang w:val="en-GB"/>
        </w:rPr>
      </w:pPr>
      <w:r w:rsidRPr="00440222">
        <w:rPr>
          <w:rFonts w:cstheme="minorHAnsi"/>
          <w:b/>
          <w:szCs w:val="20"/>
          <w:lang w:val="en-GB"/>
        </w:rPr>
        <w:t>Figure S1. O</w:t>
      </w:r>
      <w:r w:rsidR="001507C3" w:rsidRPr="00440222">
        <w:rPr>
          <w:rFonts w:cstheme="minorHAnsi"/>
          <w:b/>
          <w:szCs w:val="20"/>
          <w:lang w:val="en-GB"/>
        </w:rPr>
        <w:t>ptimized HISC medium favours IEC</w:t>
      </w:r>
      <w:r w:rsidRPr="00440222">
        <w:rPr>
          <w:rFonts w:cstheme="minorHAnsi"/>
          <w:b/>
          <w:szCs w:val="20"/>
          <w:lang w:val="en-GB"/>
        </w:rPr>
        <w:t xml:space="preserve"> attachment </w:t>
      </w:r>
    </w:p>
    <w:p w14:paraId="4CEC9D04" w14:textId="44CBE62B" w:rsidR="00D105E0" w:rsidRPr="00440222" w:rsidRDefault="00D105E0" w:rsidP="00D105E0">
      <w:pPr>
        <w:spacing w:line="240" w:lineRule="auto"/>
        <w:jc w:val="both"/>
        <w:rPr>
          <w:rFonts w:cstheme="minorHAnsi"/>
          <w:sz w:val="20"/>
          <w:szCs w:val="20"/>
          <w:lang w:val="en-GB"/>
        </w:rPr>
      </w:pPr>
      <w:r w:rsidRPr="00440222">
        <w:rPr>
          <w:rFonts w:cstheme="minorHAnsi"/>
          <w:b/>
          <w:sz w:val="20"/>
          <w:szCs w:val="20"/>
          <w:lang w:val="en-GB"/>
        </w:rPr>
        <w:t xml:space="preserve">A. </w:t>
      </w:r>
      <w:r w:rsidRPr="00440222">
        <w:rPr>
          <w:rFonts w:cstheme="minorHAnsi"/>
          <w:sz w:val="20"/>
          <w:szCs w:val="20"/>
          <w:lang w:val="en-GB"/>
        </w:rPr>
        <w:t xml:space="preserve">Representative 10X brightfield stitched images of HIO donor growing in microfluidic conditions for 8 days in HISC medium (left panel) or in HISC without A83-01 for 2 days followed by HISC for 6 days (right panel, wo=without). </w:t>
      </w:r>
      <w:r w:rsidRPr="00440222">
        <w:rPr>
          <w:rFonts w:cstheme="minorHAnsi"/>
          <w:b/>
          <w:sz w:val="20"/>
          <w:szCs w:val="20"/>
          <w:lang w:val="en-GB"/>
        </w:rPr>
        <w:t>B</w:t>
      </w:r>
      <w:r w:rsidRPr="00440222">
        <w:rPr>
          <w:rFonts w:cstheme="minorHAnsi"/>
          <w:sz w:val="20"/>
          <w:szCs w:val="20"/>
          <w:lang w:val="en-GB"/>
        </w:rPr>
        <w:t>. Representative 20X photographs of polarization marker ACTIN and EMT marker SM22 in HIO (donor 1) grown in microfluidic conditions for 8 days in HISC medium without A83-01 for 2 days followed by 6 days of HISC medium (top panel) or in HISC without A83-01 for 8 days (bottom panel). Blue depicts nuclei by DAPI staining.</w:t>
      </w:r>
      <w:r w:rsidR="009A4155">
        <w:rPr>
          <w:rFonts w:cstheme="minorHAnsi"/>
          <w:sz w:val="20"/>
          <w:szCs w:val="20"/>
          <w:lang w:val="en-GB"/>
        </w:rPr>
        <w:t xml:space="preserve"> </w:t>
      </w:r>
      <w:bookmarkStart w:id="1" w:name="_Hlk54113087"/>
      <w:r w:rsidR="009A4155">
        <w:rPr>
          <w:rFonts w:cstheme="minorHAnsi"/>
          <w:lang w:val="en-GB"/>
        </w:rPr>
        <w:t xml:space="preserve">Images were created with the Image J software (version 1.47v, </w:t>
      </w:r>
      <w:r w:rsidR="009A4155" w:rsidRPr="00E80946">
        <w:rPr>
          <w:rFonts w:cstheme="minorHAnsi"/>
          <w:lang w:val="en-GB"/>
        </w:rPr>
        <w:t>https://imagej.nih.gov/ij/</w:t>
      </w:r>
      <w:r w:rsidR="009A4155">
        <w:rPr>
          <w:rFonts w:cstheme="minorHAnsi"/>
          <w:lang w:val="en-GB"/>
        </w:rPr>
        <w:t>).</w:t>
      </w:r>
      <w:bookmarkEnd w:id="1"/>
    </w:p>
    <w:p w14:paraId="2C5087D5" w14:textId="77777777" w:rsidR="00D105E0" w:rsidRPr="00440222" w:rsidRDefault="00D105E0" w:rsidP="00D105E0">
      <w:pPr>
        <w:spacing w:after="200"/>
        <w:rPr>
          <w:rFonts w:cstheme="minorHAnsi"/>
          <w:sz w:val="20"/>
          <w:szCs w:val="20"/>
          <w:lang w:val="en-GB"/>
        </w:rPr>
      </w:pPr>
      <w:r w:rsidRPr="00440222">
        <w:rPr>
          <w:rFonts w:cstheme="minorHAnsi"/>
          <w:sz w:val="20"/>
          <w:szCs w:val="20"/>
          <w:lang w:val="en-GB"/>
        </w:rPr>
        <w:br w:type="page"/>
      </w:r>
      <w:bookmarkStart w:id="2" w:name="_GoBack"/>
      <w:bookmarkEnd w:id="2"/>
    </w:p>
    <w:p w14:paraId="2877C701" w14:textId="77777777" w:rsidR="00D105E0" w:rsidRPr="00440222" w:rsidRDefault="00D105E0" w:rsidP="00D105E0">
      <w:pPr>
        <w:jc w:val="both"/>
        <w:rPr>
          <w:rFonts w:cstheme="minorHAnsi"/>
          <w:b/>
          <w:lang w:val="en-GB"/>
        </w:rPr>
      </w:pPr>
    </w:p>
    <w:p w14:paraId="161A35ED" w14:textId="3EBF1BC3" w:rsidR="00D105E0" w:rsidRPr="00440222" w:rsidRDefault="00A0043F" w:rsidP="00A0043F">
      <w:pPr>
        <w:ind w:left="-851"/>
        <w:jc w:val="center"/>
        <w:rPr>
          <w:rFonts w:cstheme="minorHAnsi"/>
          <w:b/>
          <w:lang w:val="en-GB"/>
        </w:rPr>
      </w:pPr>
      <w:r w:rsidRPr="008D0FBA">
        <w:rPr>
          <w:rFonts w:cstheme="minorHAnsi"/>
          <w:b/>
          <w:noProof/>
          <w:lang w:val="en-GB"/>
        </w:rPr>
        <w:drawing>
          <wp:inline distT="0" distB="0" distL="0" distR="0" wp14:anchorId="3F826A19" wp14:editId="0736FA7D">
            <wp:extent cx="6913396" cy="1727200"/>
            <wp:effectExtent l="0" t="0" r="1905" b="635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 Fig 2 - Illustrator HIO 3.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28660" cy="1731014"/>
                    </a:xfrm>
                    <a:prstGeom prst="rect">
                      <a:avLst/>
                    </a:prstGeom>
                  </pic:spPr>
                </pic:pic>
              </a:graphicData>
            </a:graphic>
          </wp:inline>
        </w:drawing>
      </w:r>
    </w:p>
    <w:p w14:paraId="0693804B" w14:textId="77777777" w:rsidR="00D105E0" w:rsidRPr="00440222" w:rsidRDefault="00D105E0" w:rsidP="00D105E0">
      <w:pPr>
        <w:spacing w:line="240" w:lineRule="auto"/>
        <w:jc w:val="both"/>
        <w:rPr>
          <w:rFonts w:cstheme="minorHAnsi"/>
          <w:b/>
          <w:lang w:val="en-GB"/>
        </w:rPr>
      </w:pPr>
      <w:r w:rsidRPr="00440222">
        <w:rPr>
          <w:rFonts w:cstheme="minorHAnsi"/>
          <w:b/>
          <w:lang w:val="en-GB"/>
        </w:rPr>
        <w:t>Figure S2. HIO cultured under microfluidic conditions show higher expression of polarization and differentiation markers</w:t>
      </w:r>
    </w:p>
    <w:p w14:paraId="63AD83C0" w14:textId="5847B5D7" w:rsidR="00D105E0" w:rsidRPr="00440222" w:rsidRDefault="00D105E0" w:rsidP="00D105E0">
      <w:pPr>
        <w:spacing w:line="240" w:lineRule="auto"/>
        <w:jc w:val="both"/>
        <w:rPr>
          <w:bCs/>
          <w:sz w:val="20"/>
        </w:rPr>
      </w:pPr>
      <w:r w:rsidRPr="00440222">
        <w:rPr>
          <w:rFonts w:cstheme="minorHAnsi"/>
          <w:sz w:val="20"/>
          <w:lang w:val="en-GB"/>
        </w:rPr>
        <w:t xml:space="preserve">mRNA expression level of </w:t>
      </w:r>
      <w:r w:rsidR="00A0043F" w:rsidRPr="00440222">
        <w:rPr>
          <w:rFonts w:cstheme="minorHAnsi"/>
          <w:sz w:val="20"/>
          <w:lang w:val="en-GB"/>
        </w:rPr>
        <w:t>(</w:t>
      </w:r>
      <w:r w:rsidR="00A0043F" w:rsidRPr="008D0FBA">
        <w:rPr>
          <w:rFonts w:cstheme="minorHAnsi"/>
          <w:b/>
          <w:bCs/>
          <w:sz w:val="20"/>
          <w:lang w:val="en-GB"/>
        </w:rPr>
        <w:t>A.</w:t>
      </w:r>
      <w:r w:rsidR="00A0043F" w:rsidRPr="00440222">
        <w:rPr>
          <w:rFonts w:cstheme="minorHAnsi"/>
          <w:sz w:val="20"/>
          <w:lang w:val="en-GB"/>
        </w:rPr>
        <w:t xml:space="preserve">) </w:t>
      </w:r>
      <w:r w:rsidRPr="00440222">
        <w:rPr>
          <w:rFonts w:cstheme="minorHAnsi"/>
          <w:sz w:val="20"/>
          <w:lang w:val="en-GB"/>
        </w:rPr>
        <w:t xml:space="preserve">polarization markers </w:t>
      </w:r>
      <w:r w:rsidRPr="00440222">
        <w:rPr>
          <w:rFonts w:cstheme="minorHAnsi"/>
          <w:i/>
          <w:sz w:val="20"/>
          <w:lang w:val="en-GB"/>
        </w:rPr>
        <w:t>CDH1</w:t>
      </w:r>
      <w:r w:rsidRPr="00440222">
        <w:rPr>
          <w:rFonts w:cstheme="minorHAnsi"/>
          <w:sz w:val="20"/>
          <w:lang w:val="en-GB"/>
        </w:rPr>
        <w:t xml:space="preserve">, </w:t>
      </w:r>
      <w:r w:rsidRPr="00440222">
        <w:rPr>
          <w:rFonts w:cstheme="minorHAnsi"/>
          <w:i/>
          <w:sz w:val="20"/>
          <w:lang w:val="en-GB"/>
        </w:rPr>
        <w:t>TJP1</w:t>
      </w:r>
      <w:r w:rsidRPr="00440222">
        <w:rPr>
          <w:rFonts w:cstheme="minorHAnsi"/>
          <w:sz w:val="20"/>
          <w:lang w:val="en-GB"/>
        </w:rPr>
        <w:t xml:space="preserve">, </w:t>
      </w:r>
      <w:r w:rsidRPr="00440222">
        <w:rPr>
          <w:rFonts w:cstheme="minorHAnsi"/>
          <w:i/>
          <w:sz w:val="20"/>
          <w:lang w:val="en-GB"/>
        </w:rPr>
        <w:t>OCLN</w:t>
      </w:r>
      <w:r w:rsidRPr="00440222">
        <w:rPr>
          <w:rFonts w:cstheme="minorHAnsi"/>
          <w:sz w:val="20"/>
          <w:lang w:val="en-GB"/>
        </w:rPr>
        <w:t xml:space="preserve">, </w:t>
      </w:r>
      <w:r w:rsidRPr="00440222">
        <w:rPr>
          <w:rFonts w:cstheme="minorHAnsi"/>
          <w:i/>
          <w:sz w:val="20"/>
          <w:lang w:val="en-GB"/>
        </w:rPr>
        <w:t>EZR</w:t>
      </w:r>
      <w:r w:rsidR="00A0043F" w:rsidRPr="00440222">
        <w:rPr>
          <w:rFonts w:cstheme="minorHAnsi"/>
          <w:sz w:val="20"/>
          <w:lang w:val="en-GB"/>
        </w:rPr>
        <w:t xml:space="preserve"> and </w:t>
      </w:r>
      <w:r w:rsidR="00A0043F" w:rsidRPr="008D0FBA">
        <w:rPr>
          <w:rFonts w:cstheme="minorHAnsi"/>
          <w:i/>
          <w:iCs/>
          <w:sz w:val="20"/>
          <w:lang w:val="en-GB"/>
        </w:rPr>
        <w:t>VIL1</w:t>
      </w:r>
      <w:r w:rsidRPr="00440222">
        <w:rPr>
          <w:rFonts w:cstheme="minorHAnsi"/>
          <w:sz w:val="20"/>
          <w:lang w:val="en-GB"/>
        </w:rPr>
        <w:t xml:space="preserve"> and </w:t>
      </w:r>
      <w:r w:rsidR="00A0043F" w:rsidRPr="00440222">
        <w:rPr>
          <w:rFonts w:cstheme="minorHAnsi"/>
          <w:sz w:val="20"/>
          <w:lang w:val="en-GB"/>
        </w:rPr>
        <w:t>(</w:t>
      </w:r>
      <w:r w:rsidR="00A0043F" w:rsidRPr="008D0FBA">
        <w:rPr>
          <w:rFonts w:cstheme="minorHAnsi"/>
          <w:b/>
          <w:bCs/>
          <w:sz w:val="20"/>
          <w:lang w:val="en-GB"/>
        </w:rPr>
        <w:t>B.</w:t>
      </w:r>
      <w:r w:rsidR="00A0043F" w:rsidRPr="00440222">
        <w:rPr>
          <w:rFonts w:cstheme="minorHAnsi"/>
          <w:sz w:val="20"/>
          <w:lang w:val="en-GB"/>
        </w:rPr>
        <w:t xml:space="preserve">) </w:t>
      </w:r>
      <w:r w:rsidRPr="00440222">
        <w:rPr>
          <w:rFonts w:cstheme="minorHAnsi"/>
          <w:sz w:val="20"/>
          <w:lang w:val="en-GB"/>
        </w:rPr>
        <w:t xml:space="preserve">differentiation markers </w:t>
      </w:r>
      <w:r w:rsidRPr="00440222">
        <w:rPr>
          <w:rFonts w:cstheme="minorHAnsi"/>
          <w:i/>
          <w:sz w:val="20"/>
          <w:lang w:val="en-GB"/>
        </w:rPr>
        <w:t>ALPI</w:t>
      </w:r>
      <w:r w:rsidRPr="00440222">
        <w:rPr>
          <w:rFonts w:cstheme="minorHAnsi"/>
          <w:sz w:val="20"/>
          <w:lang w:val="en-GB"/>
        </w:rPr>
        <w:t xml:space="preserve">, </w:t>
      </w:r>
      <w:r w:rsidRPr="00440222">
        <w:rPr>
          <w:rFonts w:cstheme="minorHAnsi"/>
          <w:i/>
          <w:sz w:val="20"/>
          <w:lang w:val="en-GB"/>
        </w:rPr>
        <w:t>SI</w:t>
      </w:r>
      <w:r w:rsidR="00A0043F" w:rsidRPr="00440222">
        <w:rPr>
          <w:rFonts w:cstheme="minorHAnsi"/>
          <w:sz w:val="20"/>
          <w:lang w:val="en-GB"/>
        </w:rPr>
        <w:t xml:space="preserve">, </w:t>
      </w:r>
      <w:r w:rsidRPr="00440222">
        <w:rPr>
          <w:rFonts w:cstheme="minorHAnsi"/>
          <w:i/>
          <w:sz w:val="20"/>
          <w:lang w:val="en-GB"/>
        </w:rPr>
        <w:t>MUC2</w:t>
      </w:r>
      <w:r w:rsidR="00A0043F" w:rsidRPr="00440222">
        <w:rPr>
          <w:rFonts w:cstheme="minorHAnsi"/>
          <w:sz w:val="20"/>
          <w:lang w:val="en-GB"/>
        </w:rPr>
        <w:t xml:space="preserve">, </w:t>
      </w:r>
      <w:r w:rsidR="00A0043F" w:rsidRPr="008D0FBA">
        <w:rPr>
          <w:rFonts w:cstheme="minorHAnsi"/>
          <w:i/>
          <w:iCs/>
          <w:sz w:val="20"/>
          <w:lang w:val="en-GB"/>
        </w:rPr>
        <w:t>MUC5AC</w:t>
      </w:r>
      <w:r w:rsidR="00A0043F" w:rsidRPr="00440222">
        <w:rPr>
          <w:rFonts w:cstheme="minorHAnsi"/>
          <w:sz w:val="20"/>
          <w:lang w:val="en-GB"/>
        </w:rPr>
        <w:t xml:space="preserve">, </w:t>
      </w:r>
      <w:r w:rsidR="00A0043F" w:rsidRPr="008D0FBA">
        <w:rPr>
          <w:rFonts w:cstheme="minorHAnsi"/>
          <w:i/>
          <w:iCs/>
          <w:sz w:val="20"/>
          <w:lang w:val="en-GB"/>
        </w:rPr>
        <w:t>LYZ</w:t>
      </w:r>
      <w:r w:rsidR="00A0043F" w:rsidRPr="00440222">
        <w:rPr>
          <w:rFonts w:cstheme="minorHAnsi"/>
          <w:sz w:val="20"/>
          <w:lang w:val="en-GB"/>
        </w:rPr>
        <w:t xml:space="preserve"> and </w:t>
      </w:r>
      <w:r w:rsidR="00A0043F" w:rsidRPr="008D0FBA">
        <w:rPr>
          <w:rFonts w:cstheme="minorHAnsi"/>
          <w:i/>
          <w:iCs/>
          <w:sz w:val="20"/>
          <w:lang w:val="en-GB"/>
        </w:rPr>
        <w:t>CHGA</w:t>
      </w:r>
      <w:r w:rsidRPr="00440222">
        <w:rPr>
          <w:rFonts w:cstheme="minorHAnsi"/>
          <w:sz w:val="20"/>
          <w:lang w:val="en-GB"/>
        </w:rPr>
        <w:t xml:space="preserve"> in HIO donor </w:t>
      </w:r>
      <w:r w:rsidR="00A0043F" w:rsidRPr="00440222">
        <w:rPr>
          <w:rFonts w:cstheme="minorHAnsi"/>
          <w:sz w:val="20"/>
          <w:lang w:val="en-GB"/>
        </w:rPr>
        <w:t>3</w:t>
      </w:r>
      <w:r w:rsidRPr="00440222">
        <w:rPr>
          <w:rFonts w:cstheme="minorHAnsi"/>
          <w:sz w:val="20"/>
          <w:lang w:val="en-GB"/>
        </w:rPr>
        <w:t xml:space="preserve">. HIO were grown in static condition or in monolayers subjected to fluid flow (microfluidic) for 8 days. Graph shows average relative expression values normalized to </w:t>
      </w:r>
      <w:r w:rsidRPr="00440222">
        <w:rPr>
          <w:rFonts w:cstheme="minorHAnsi"/>
          <w:i/>
          <w:sz w:val="20"/>
          <w:lang w:val="en-GB"/>
        </w:rPr>
        <w:t>RPS18</w:t>
      </w:r>
      <w:r w:rsidRPr="00440222">
        <w:rPr>
          <w:rFonts w:cstheme="minorHAnsi"/>
          <w:sz w:val="20"/>
          <w:lang w:val="en-GB"/>
        </w:rPr>
        <w:t xml:space="preserve">, </w:t>
      </w:r>
      <w:r w:rsidRPr="00440222">
        <w:rPr>
          <w:rFonts w:cstheme="minorHAnsi"/>
          <w:i/>
          <w:sz w:val="20"/>
          <w:lang w:val="en-GB"/>
        </w:rPr>
        <w:t>HPRT1</w:t>
      </w:r>
      <w:r w:rsidRPr="00440222">
        <w:rPr>
          <w:rFonts w:cstheme="minorHAnsi"/>
          <w:sz w:val="20"/>
          <w:lang w:val="en-GB"/>
        </w:rPr>
        <w:t xml:space="preserve">, </w:t>
      </w:r>
      <w:r w:rsidRPr="00440222">
        <w:rPr>
          <w:rFonts w:cstheme="minorHAnsi"/>
          <w:i/>
          <w:sz w:val="20"/>
          <w:lang w:val="en-GB"/>
        </w:rPr>
        <w:t>GUSB</w:t>
      </w:r>
      <w:r w:rsidRPr="00440222">
        <w:rPr>
          <w:rFonts w:cstheme="minorHAnsi"/>
          <w:sz w:val="20"/>
          <w:lang w:val="en-GB"/>
        </w:rPr>
        <w:t xml:space="preserve"> and</w:t>
      </w:r>
      <w:r w:rsidRPr="00440222">
        <w:rPr>
          <w:rFonts w:cstheme="minorHAnsi"/>
          <w:i/>
          <w:sz w:val="20"/>
          <w:lang w:val="en-GB"/>
        </w:rPr>
        <w:t xml:space="preserve"> YWHAZ</w:t>
      </w:r>
      <w:r w:rsidRPr="00440222">
        <w:rPr>
          <w:rFonts w:cstheme="minorHAnsi"/>
          <w:sz w:val="20"/>
          <w:lang w:val="en-GB"/>
        </w:rPr>
        <w:t xml:space="preserve"> </w:t>
      </w:r>
      <w:r w:rsidRPr="00440222">
        <w:rPr>
          <w:bCs/>
          <w:sz w:val="20"/>
        </w:rPr>
        <w:t xml:space="preserve">± SEM </w:t>
      </w:r>
      <w:r w:rsidRPr="00440222">
        <w:rPr>
          <w:bCs/>
          <w:sz w:val="20"/>
          <w:szCs w:val="20"/>
        </w:rPr>
        <w:t xml:space="preserve">with </w:t>
      </w:r>
      <w:r w:rsidR="00A0043F" w:rsidRPr="00440222">
        <w:rPr>
          <w:bCs/>
          <w:sz w:val="20"/>
          <w:szCs w:val="20"/>
        </w:rPr>
        <w:t xml:space="preserve">two-way ANOVA with </w:t>
      </w:r>
      <w:proofErr w:type="spellStart"/>
      <w:r w:rsidR="00A0043F" w:rsidRPr="00440222">
        <w:rPr>
          <w:bCs/>
          <w:sz w:val="20"/>
          <w:szCs w:val="20"/>
        </w:rPr>
        <w:t>Sidak’s</w:t>
      </w:r>
      <w:proofErr w:type="spellEnd"/>
      <w:r w:rsidR="00A0043F" w:rsidRPr="00440222">
        <w:rPr>
          <w:bCs/>
          <w:sz w:val="20"/>
          <w:szCs w:val="20"/>
        </w:rPr>
        <w:t xml:space="preserve"> post-hoc test</w:t>
      </w:r>
      <w:r w:rsidRPr="00440222">
        <w:rPr>
          <w:bCs/>
          <w:sz w:val="20"/>
          <w:szCs w:val="20"/>
        </w:rPr>
        <w:t xml:space="preserve"> compared to the static condition </w:t>
      </w:r>
      <w:r w:rsidRPr="00440222">
        <w:rPr>
          <w:bCs/>
          <w:sz w:val="20"/>
        </w:rPr>
        <w:t>(n=3).</w:t>
      </w:r>
    </w:p>
    <w:p w14:paraId="12A45A08" w14:textId="77777777" w:rsidR="00D105E0" w:rsidRPr="00440222" w:rsidRDefault="00D105E0" w:rsidP="00D105E0">
      <w:pPr>
        <w:spacing w:line="240" w:lineRule="auto"/>
        <w:jc w:val="both"/>
        <w:rPr>
          <w:bCs/>
          <w:sz w:val="20"/>
        </w:rPr>
      </w:pPr>
    </w:p>
    <w:p w14:paraId="461EB35B" w14:textId="5217DDF5" w:rsidR="00D105E0" w:rsidRPr="00440222" w:rsidRDefault="00B303F5" w:rsidP="008D0FBA">
      <w:pPr>
        <w:spacing w:line="240" w:lineRule="auto"/>
        <w:ind w:left="-284"/>
        <w:jc w:val="both"/>
        <w:rPr>
          <w:rFonts w:cstheme="minorHAnsi"/>
          <w:b/>
          <w:lang w:val="en-GB"/>
        </w:rPr>
      </w:pPr>
      <w:r w:rsidRPr="008D0FBA">
        <w:rPr>
          <w:rFonts w:cstheme="minorHAnsi"/>
          <w:b/>
          <w:noProof/>
          <w:lang w:val="en-GB" w:eastAsia="en-GB"/>
        </w:rPr>
        <w:drawing>
          <wp:inline distT="0" distB="0" distL="0" distR="0" wp14:anchorId="39CF45DA" wp14:editId="6C8DA689">
            <wp:extent cx="5731510" cy="3126740"/>
            <wp:effectExtent l="0" t="0" r="2540"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 Fig 3 - Illustrat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126740"/>
                    </a:xfrm>
                    <a:prstGeom prst="rect">
                      <a:avLst/>
                    </a:prstGeom>
                  </pic:spPr>
                </pic:pic>
              </a:graphicData>
            </a:graphic>
          </wp:inline>
        </w:drawing>
      </w:r>
    </w:p>
    <w:p w14:paraId="22D38AB8" w14:textId="77777777" w:rsidR="00D105E0" w:rsidRPr="00440222" w:rsidRDefault="00D105E0" w:rsidP="00D105E0">
      <w:pPr>
        <w:jc w:val="both"/>
        <w:rPr>
          <w:rFonts w:cstheme="minorHAnsi"/>
          <w:lang w:val="en-GB"/>
        </w:rPr>
      </w:pPr>
    </w:p>
    <w:p w14:paraId="287D7476" w14:textId="78AAEC92" w:rsidR="00D105E0" w:rsidRPr="00440222" w:rsidRDefault="00D105E0" w:rsidP="00D105E0">
      <w:pPr>
        <w:spacing w:line="240" w:lineRule="auto"/>
        <w:jc w:val="both"/>
        <w:rPr>
          <w:rFonts w:cstheme="minorHAnsi"/>
          <w:b/>
          <w:lang w:val="en-GB"/>
        </w:rPr>
      </w:pPr>
      <w:r w:rsidRPr="00440222">
        <w:rPr>
          <w:rFonts w:cstheme="minorHAnsi"/>
          <w:b/>
          <w:lang w:val="en-GB"/>
        </w:rPr>
        <w:t xml:space="preserve">Figure S3. HIO cultured under microfluidic conditions </w:t>
      </w:r>
      <w:r w:rsidR="00A0043F" w:rsidRPr="00440222">
        <w:rPr>
          <w:rFonts w:cstheme="minorHAnsi"/>
          <w:b/>
          <w:lang w:val="en-GB"/>
        </w:rPr>
        <w:t xml:space="preserve">seem to favour differentiation over proliferation </w:t>
      </w:r>
      <w:r w:rsidR="00440222" w:rsidRPr="00345B71">
        <w:rPr>
          <w:rFonts w:cstheme="minorHAnsi"/>
          <w:b/>
          <w:lang w:val="en-GB"/>
        </w:rPr>
        <w:t>pathways</w:t>
      </w:r>
    </w:p>
    <w:p w14:paraId="6FE98E82" w14:textId="775C8BA0" w:rsidR="00D105E0" w:rsidRPr="00440222" w:rsidRDefault="00A0043F" w:rsidP="00D105E0">
      <w:pPr>
        <w:spacing w:line="240" w:lineRule="auto"/>
        <w:jc w:val="both"/>
        <w:rPr>
          <w:bCs/>
          <w:sz w:val="20"/>
        </w:rPr>
      </w:pPr>
      <w:r w:rsidRPr="00440222">
        <w:rPr>
          <w:rFonts w:cstheme="minorHAnsi"/>
          <w:b/>
          <w:sz w:val="20"/>
          <w:lang w:val="en-GB"/>
        </w:rPr>
        <w:t xml:space="preserve">A-B. </w:t>
      </w:r>
      <w:r w:rsidR="00D105E0" w:rsidRPr="00440222">
        <w:rPr>
          <w:rFonts w:cstheme="minorHAnsi"/>
          <w:sz w:val="20"/>
          <w:lang w:val="en-GB"/>
        </w:rPr>
        <w:t>mRNA expression level of</w:t>
      </w:r>
      <w:r w:rsidRPr="00440222">
        <w:rPr>
          <w:rFonts w:cstheme="minorHAnsi"/>
          <w:sz w:val="20"/>
          <w:lang w:val="en-GB"/>
        </w:rPr>
        <w:t xml:space="preserve"> differentiation transcription factors</w:t>
      </w:r>
      <w:r w:rsidR="00D105E0" w:rsidRPr="00440222">
        <w:rPr>
          <w:rFonts w:cstheme="minorHAnsi"/>
          <w:sz w:val="20"/>
          <w:lang w:val="en-GB"/>
        </w:rPr>
        <w:t xml:space="preserve"> </w:t>
      </w:r>
      <w:r w:rsidR="00D105E0" w:rsidRPr="00440222">
        <w:rPr>
          <w:rFonts w:cstheme="minorHAnsi"/>
          <w:i/>
          <w:sz w:val="20"/>
          <w:lang w:val="en-GB"/>
        </w:rPr>
        <w:t>CDX2</w:t>
      </w:r>
      <w:r w:rsidR="00D105E0" w:rsidRPr="00440222">
        <w:rPr>
          <w:rFonts w:cstheme="minorHAnsi"/>
          <w:sz w:val="20"/>
          <w:lang w:val="en-GB"/>
        </w:rPr>
        <w:t xml:space="preserve">, </w:t>
      </w:r>
      <w:r w:rsidR="00D105E0" w:rsidRPr="00440222">
        <w:rPr>
          <w:rFonts w:cstheme="minorHAnsi"/>
          <w:i/>
          <w:sz w:val="20"/>
          <w:lang w:val="en-GB"/>
        </w:rPr>
        <w:t>HES1</w:t>
      </w:r>
      <w:bookmarkStart w:id="3" w:name="OLE_LINK1"/>
      <w:r w:rsidRPr="00440222">
        <w:rPr>
          <w:rFonts w:cstheme="minorHAnsi"/>
          <w:sz w:val="20"/>
          <w:lang w:val="en-GB"/>
        </w:rPr>
        <w:t xml:space="preserve"> and </w:t>
      </w:r>
      <w:r w:rsidR="00D105E0" w:rsidRPr="00440222">
        <w:rPr>
          <w:rFonts w:cstheme="minorHAnsi"/>
          <w:i/>
          <w:sz w:val="20"/>
          <w:lang w:val="en-GB"/>
        </w:rPr>
        <w:t>KLF4</w:t>
      </w:r>
      <w:r w:rsidR="00D105E0" w:rsidRPr="00440222">
        <w:rPr>
          <w:rFonts w:cstheme="minorHAnsi"/>
          <w:sz w:val="20"/>
          <w:lang w:val="en-GB"/>
        </w:rPr>
        <w:t xml:space="preserve"> </w:t>
      </w:r>
      <w:bookmarkEnd w:id="3"/>
      <w:r w:rsidR="00D105E0" w:rsidRPr="00440222">
        <w:rPr>
          <w:rFonts w:cstheme="minorHAnsi"/>
          <w:sz w:val="20"/>
          <w:lang w:val="en-GB"/>
        </w:rPr>
        <w:t>in</w:t>
      </w:r>
      <w:r w:rsidRPr="00440222">
        <w:rPr>
          <w:rFonts w:cstheme="minorHAnsi"/>
          <w:sz w:val="20"/>
          <w:lang w:val="en-GB"/>
        </w:rPr>
        <w:t xml:space="preserve"> HIO donor </w:t>
      </w:r>
      <w:r w:rsidR="00773C07" w:rsidRPr="00440222">
        <w:rPr>
          <w:rFonts w:cstheme="minorHAnsi"/>
          <w:sz w:val="20"/>
          <w:lang w:val="en-GB"/>
        </w:rPr>
        <w:t>2</w:t>
      </w:r>
      <w:r w:rsidRPr="00440222">
        <w:rPr>
          <w:rFonts w:cstheme="minorHAnsi"/>
          <w:sz w:val="20"/>
          <w:lang w:val="en-GB"/>
        </w:rPr>
        <w:t xml:space="preserve"> (</w:t>
      </w:r>
      <w:r w:rsidRPr="008D0FBA">
        <w:rPr>
          <w:rFonts w:cstheme="minorHAnsi"/>
          <w:b/>
          <w:bCs/>
          <w:sz w:val="20"/>
          <w:lang w:val="en-GB"/>
        </w:rPr>
        <w:t>A.</w:t>
      </w:r>
      <w:r w:rsidRPr="00440222">
        <w:rPr>
          <w:rFonts w:cstheme="minorHAnsi"/>
          <w:sz w:val="20"/>
          <w:lang w:val="en-GB"/>
        </w:rPr>
        <w:t>) and</w:t>
      </w:r>
      <w:r w:rsidR="00D105E0" w:rsidRPr="00440222">
        <w:rPr>
          <w:rFonts w:cstheme="minorHAnsi"/>
          <w:sz w:val="20"/>
          <w:lang w:val="en-GB"/>
        </w:rPr>
        <w:t xml:space="preserve"> HIO donor 3</w:t>
      </w:r>
      <w:r w:rsidRPr="00440222">
        <w:rPr>
          <w:rFonts w:cstheme="minorHAnsi"/>
          <w:sz w:val="20"/>
          <w:lang w:val="en-GB"/>
        </w:rPr>
        <w:t xml:space="preserve"> (</w:t>
      </w:r>
      <w:r w:rsidRPr="008D0FBA">
        <w:rPr>
          <w:rFonts w:cstheme="minorHAnsi"/>
          <w:b/>
          <w:bCs/>
          <w:sz w:val="20"/>
          <w:lang w:val="en-GB"/>
        </w:rPr>
        <w:t>B.</w:t>
      </w:r>
      <w:r w:rsidRPr="00440222">
        <w:rPr>
          <w:rFonts w:cstheme="minorHAnsi"/>
          <w:sz w:val="20"/>
          <w:lang w:val="en-GB"/>
        </w:rPr>
        <w:t>)</w:t>
      </w:r>
      <w:r w:rsidR="00D105E0" w:rsidRPr="00440222">
        <w:rPr>
          <w:rFonts w:cstheme="minorHAnsi"/>
          <w:sz w:val="20"/>
          <w:lang w:val="en-GB"/>
        </w:rPr>
        <w:t xml:space="preserve">. </w:t>
      </w:r>
      <w:r w:rsidRPr="00440222">
        <w:rPr>
          <w:rFonts w:cstheme="minorHAnsi"/>
          <w:b/>
          <w:sz w:val="20"/>
          <w:lang w:val="en-GB"/>
        </w:rPr>
        <w:t xml:space="preserve">C. </w:t>
      </w:r>
      <w:r w:rsidR="00D105E0" w:rsidRPr="00440222">
        <w:rPr>
          <w:rFonts w:cstheme="minorHAnsi"/>
          <w:sz w:val="20"/>
          <w:lang w:val="en-GB"/>
        </w:rPr>
        <w:t xml:space="preserve">mRNA expression level of </w:t>
      </w:r>
      <w:r w:rsidRPr="00440222">
        <w:rPr>
          <w:rFonts w:cstheme="minorHAnsi"/>
          <w:sz w:val="20"/>
          <w:lang w:val="en-GB"/>
        </w:rPr>
        <w:t>proliferation markers</w:t>
      </w:r>
      <w:r w:rsidR="00E7322E" w:rsidRPr="00440222">
        <w:rPr>
          <w:rFonts w:cstheme="minorHAnsi"/>
          <w:sz w:val="20"/>
          <w:lang w:val="en-GB"/>
        </w:rPr>
        <w:t xml:space="preserve"> </w:t>
      </w:r>
      <w:r w:rsidRPr="008D0FBA">
        <w:rPr>
          <w:rFonts w:cstheme="minorHAnsi"/>
          <w:i/>
          <w:iCs/>
          <w:sz w:val="20"/>
          <w:lang w:val="en-GB"/>
        </w:rPr>
        <w:t>PCNA</w:t>
      </w:r>
      <w:r w:rsidRPr="00440222">
        <w:rPr>
          <w:rFonts w:cstheme="minorHAnsi"/>
          <w:sz w:val="20"/>
          <w:lang w:val="en-GB"/>
        </w:rPr>
        <w:t xml:space="preserve"> and </w:t>
      </w:r>
      <w:r w:rsidRPr="008D0FBA">
        <w:rPr>
          <w:rFonts w:cstheme="minorHAnsi"/>
          <w:i/>
          <w:iCs/>
          <w:sz w:val="20"/>
          <w:lang w:val="en-GB"/>
        </w:rPr>
        <w:t>MKI67</w:t>
      </w:r>
      <w:r w:rsidRPr="00440222">
        <w:rPr>
          <w:rFonts w:cstheme="minorHAnsi"/>
          <w:sz w:val="20"/>
          <w:lang w:val="en-GB"/>
        </w:rPr>
        <w:t xml:space="preserve"> and stem cell markers </w:t>
      </w:r>
      <w:r w:rsidRPr="008D0FBA">
        <w:rPr>
          <w:rFonts w:cstheme="minorHAnsi"/>
          <w:i/>
          <w:iCs/>
          <w:sz w:val="20"/>
          <w:lang w:val="en-GB"/>
        </w:rPr>
        <w:t>LGR5</w:t>
      </w:r>
      <w:r w:rsidRPr="00440222">
        <w:rPr>
          <w:rFonts w:cstheme="minorHAnsi"/>
          <w:sz w:val="20"/>
          <w:lang w:val="en-GB"/>
        </w:rPr>
        <w:t xml:space="preserve"> and</w:t>
      </w:r>
      <w:r w:rsidRPr="008D0FBA">
        <w:rPr>
          <w:rFonts w:cstheme="minorHAnsi"/>
          <w:i/>
          <w:iCs/>
          <w:sz w:val="20"/>
          <w:lang w:val="en-GB"/>
        </w:rPr>
        <w:t xml:space="preserve"> OLFM4</w:t>
      </w:r>
      <w:r w:rsidRPr="00440222">
        <w:rPr>
          <w:rFonts w:cstheme="minorHAnsi"/>
          <w:sz w:val="20"/>
          <w:lang w:val="en-GB"/>
        </w:rPr>
        <w:t xml:space="preserve"> in HIO donor 3. </w:t>
      </w:r>
      <w:r w:rsidR="00AC5B8A" w:rsidRPr="008D0FBA">
        <w:rPr>
          <w:rFonts w:cstheme="minorHAnsi"/>
          <w:b/>
          <w:bCs/>
          <w:sz w:val="20"/>
          <w:lang w:val="en-GB"/>
        </w:rPr>
        <w:t>A-</w:t>
      </w:r>
      <w:r w:rsidR="00B303F5" w:rsidRPr="00440222">
        <w:rPr>
          <w:rFonts w:cstheme="minorHAnsi"/>
          <w:b/>
          <w:bCs/>
          <w:sz w:val="20"/>
          <w:lang w:val="en-GB"/>
        </w:rPr>
        <w:t>C</w:t>
      </w:r>
      <w:r w:rsidR="00AC5B8A" w:rsidRPr="00440222">
        <w:rPr>
          <w:rFonts w:cstheme="minorHAnsi"/>
          <w:sz w:val="20"/>
          <w:lang w:val="en-GB"/>
        </w:rPr>
        <w:t xml:space="preserve">. </w:t>
      </w:r>
      <w:r w:rsidR="00D105E0" w:rsidRPr="00440222">
        <w:rPr>
          <w:rFonts w:cstheme="minorHAnsi"/>
          <w:sz w:val="20"/>
          <w:lang w:val="en-GB"/>
        </w:rPr>
        <w:t xml:space="preserve">HIO were grown static condition or in monolayers subjected to fluid flow (microfluidic) for 8 days. Graph shows average relative expression values normalized to </w:t>
      </w:r>
      <w:r w:rsidR="00D105E0" w:rsidRPr="00440222">
        <w:rPr>
          <w:rFonts w:cstheme="minorHAnsi"/>
          <w:i/>
          <w:sz w:val="20"/>
          <w:lang w:val="en-GB"/>
        </w:rPr>
        <w:t>RPS18</w:t>
      </w:r>
      <w:r w:rsidR="00D105E0" w:rsidRPr="00440222">
        <w:rPr>
          <w:rFonts w:cstheme="minorHAnsi"/>
          <w:sz w:val="20"/>
          <w:lang w:val="en-GB"/>
        </w:rPr>
        <w:t xml:space="preserve">, </w:t>
      </w:r>
      <w:r w:rsidR="00D105E0" w:rsidRPr="00440222">
        <w:rPr>
          <w:rFonts w:cstheme="minorHAnsi"/>
          <w:i/>
          <w:sz w:val="20"/>
          <w:lang w:val="en-GB"/>
        </w:rPr>
        <w:t>HPRT1</w:t>
      </w:r>
      <w:r w:rsidR="00D105E0" w:rsidRPr="00440222">
        <w:rPr>
          <w:rFonts w:cstheme="minorHAnsi"/>
          <w:sz w:val="20"/>
          <w:lang w:val="en-GB"/>
        </w:rPr>
        <w:t xml:space="preserve">, </w:t>
      </w:r>
      <w:r w:rsidR="00D105E0" w:rsidRPr="00440222">
        <w:rPr>
          <w:rFonts w:cstheme="minorHAnsi"/>
          <w:i/>
          <w:sz w:val="20"/>
          <w:lang w:val="en-GB"/>
        </w:rPr>
        <w:t>GUSB</w:t>
      </w:r>
      <w:r w:rsidR="00D105E0" w:rsidRPr="00440222">
        <w:rPr>
          <w:rFonts w:cstheme="minorHAnsi"/>
          <w:sz w:val="20"/>
          <w:lang w:val="en-GB"/>
        </w:rPr>
        <w:t xml:space="preserve"> and</w:t>
      </w:r>
      <w:r w:rsidR="00D105E0" w:rsidRPr="00440222">
        <w:rPr>
          <w:rFonts w:cstheme="minorHAnsi"/>
          <w:i/>
          <w:sz w:val="20"/>
          <w:lang w:val="en-GB"/>
        </w:rPr>
        <w:t xml:space="preserve"> YWHAZ</w:t>
      </w:r>
      <w:r w:rsidR="00D105E0" w:rsidRPr="00440222">
        <w:rPr>
          <w:rFonts w:cstheme="minorHAnsi"/>
          <w:sz w:val="20"/>
          <w:lang w:val="en-GB"/>
        </w:rPr>
        <w:t xml:space="preserve"> </w:t>
      </w:r>
      <w:r w:rsidR="00D105E0" w:rsidRPr="00440222">
        <w:rPr>
          <w:bCs/>
          <w:sz w:val="20"/>
        </w:rPr>
        <w:t xml:space="preserve">± SEM </w:t>
      </w:r>
      <w:r w:rsidR="00D105E0" w:rsidRPr="00440222">
        <w:rPr>
          <w:bCs/>
          <w:sz w:val="20"/>
          <w:szCs w:val="20"/>
        </w:rPr>
        <w:t xml:space="preserve">with </w:t>
      </w:r>
      <w:proofErr w:type="spellStart"/>
      <w:r w:rsidR="00AC5B8A" w:rsidRPr="00440222">
        <w:rPr>
          <w:bCs/>
          <w:sz w:val="20"/>
          <w:szCs w:val="20"/>
        </w:rPr>
        <w:t>with</w:t>
      </w:r>
      <w:proofErr w:type="spellEnd"/>
      <w:r w:rsidR="00AC5B8A" w:rsidRPr="00440222">
        <w:rPr>
          <w:bCs/>
          <w:sz w:val="20"/>
          <w:szCs w:val="20"/>
        </w:rPr>
        <w:t xml:space="preserve"> two-way ANOVA with </w:t>
      </w:r>
      <w:proofErr w:type="spellStart"/>
      <w:r w:rsidR="00AC5B8A" w:rsidRPr="00440222">
        <w:rPr>
          <w:bCs/>
          <w:sz w:val="20"/>
          <w:szCs w:val="20"/>
        </w:rPr>
        <w:t>Sidak’s</w:t>
      </w:r>
      <w:proofErr w:type="spellEnd"/>
      <w:r w:rsidR="00AC5B8A" w:rsidRPr="00440222">
        <w:rPr>
          <w:bCs/>
          <w:sz w:val="20"/>
          <w:szCs w:val="20"/>
        </w:rPr>
        <w:t xml:space="preserve"> post-hoc test </w:t>
      </w:r>
      <w:r w:rsidR="00D105E0" w:rsidRPr="00440222">
        <w:rPr>
          <w:bCs/>
          <w:sz w:val="20"/>
          <w:szCs w:val="20"/>
        </w:rPr>
        <w:t xml:space="preserve">compared to the static condition </w:t>
      </w:r>
      <w:r w:rsidR="00D105E0" w:rsidRPr="00440222">
        <w:rPr>
          <w:bCs/>
          <w:sz w:val="20"/>
        </w:rPr>
        <w:t>(n=3).</w:t>
      </w:r>
    </w:p>
    <w:p w14:paraId="0DF91EC6" w14:textId="3F85FC5C" w:rsidR="006558C8" w:rsidRPr="00440222" w:rsidRDefault="000E5ACC" w:rsidP="008D0FBA">
      <w:pPr>
        <w:tabs>
          <w:tab w:val="left" w:pos="0"/>
        </w:tabs>
        <w:spacing w:line="240" w:lineRule="auto"/>
        <w:jc w:val="center"/>
        <w:rPr>
          <w:rFonts w:cstheme="minorHAnsi"/>
          <w:sz w:val="20"/>
          <w:lang w:val="en-GB"/>
        </w:rPr>
      </w:pPr>
      <w:r w:rsidRPr="008D0FBA">
        <w:rPr>
          <w:rFonts w:cstheme="minorHAnsi"/>
          <w:noProof/>
          <w:sz w:val="20"/>
          <w:lang w:val="en-GB"/>
        </w:rPr>
        <w:lastRenderedPageBreak/>
        <w:drawing>
          <wp:inline distT="0" distB="0" distL="0" distR="0" wp14:anchorId="122F3495" wp14:editId="04BF3BE7">
            <wp:extent cx="3665989" cy="4032347"/>
            <wp:effectExtent l="0" t="0" r="0" b="635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S4 PC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86387" cy="4054783"/>
                    </a:xfrm>
                    <a:prstGeom prst="rect">
                      <a:avLst/>
                    </a:prstGeom>
                  </pic:spPr>
                </pic:pic>
              </a:graphicData>
            </a:graphic>
          </wp:inline>
        </w:drawing>
      </w:r>
    </w:p>
    <w:p w14:paraId="02A50E6F" w14:textId="47DE10C3" w:rsidR="006558C8" w:rsidRPr="00440222" w:rsidRDefault="006558C8" w:rsidP="006558C8">
      <w:pPr>
        <w:spacing w:line="240" w:lineRule="auto"/>
        <w:jc w:val="both"/>
        <w:rPr>
          <w:rFonts w:cstheme="minorHAnsi"/>
          <w:b/>
          <w:bCs/>
          <w:lang w:val="en-GB"/>
        </w:rPr>
      </w:pPr>
      <w:r w:rsidRPr="008D0FBA">
        <w:rPr>
          <w:rFonts w:cstheme="minorHAnsi"/>
          <w:b/>
          <w:bCs/>
          <w:lang w:val="en-GB"/>
        </w:rPr>
        <w:t xml:space="preserve">Figure S4. </w:t>
      </w:r>
      <w:r w:rsidRPr="00440222">
        <w:rPr>
          <w:rFonts w:cstheme="minorHAnsi"/>
          <w:b/>
          <w:bCs/>
          <w:lang w:val="en-GB"/>
        </w:rPr>
        <w:t xml:space="preserve">Principal component analysis (PCA) plots </w:t>
      </w:r>
    </w:p>
    <w:p w14:paraId="2D35D4BE" w14:textId="0F750264" w:rsidR="006558C8" w:rsidRPr="008D0FBA" w:rsidRDefault="00C502B2" w:rsidP="006558C8">
      <w:pPr>
        <w:spacing w:line="240" w:lineRule="auto"/>
        <w:jc w:val="both"/>
        <w:rPr>
          <w:rFonts w:cstheme="minorHAnsi"/>
          <w:sz w:val="20"/>
          <w:szCs w:val="20"/>
          <w:lang w:val="en-GB"/>
        </w:rPr>
      </w:pPr>
      <w:r w:rsidRPr="008D0FBA">
        <w:rPr>
          <w:rFonts w:cstheme="minorHAnsi"/>
          <w:b/>
          <w:bCs/>
          <w:sz w:val="20"/>
          <w:szCs w:val="20"/>
          <w:lang w:val="en-GB"/>
        </w:rPr>
        <w:t>A.</w:t>
      </w:r>
      <w:r w:rsidRPr="00440222">
        <w:rPr>
          <w:rFonts w:cstheme="minorHAnsi"/>
          <w:sz w:val="20"/>
          <w:szCs w:val="20"/>
          <w:lang w:val="en-GB"/>
        </w:rPr>
        <w:t xml:space="preserve"> </w:t>
      </w:r>
      <w:r w:rsidR="000E6A56" w:rsidRPr="008D0FBA">
        <w:rPr>
          <w:rFonts w:cstheme="minorHAnsi"/>
          <w:sz w:val="20"/>
          <w:szCs w:val="20"/>
          <w:lang w:val="en-GB"/>
        </w:rPr>
        <w:t>3 HIO donors</w:t>
      </w:r>
      <w:r w:rsidR="000E6A56" w:rsidRPr="00440222">
        <w:rPr>
          <w:rFonts w:cstheme="minorHAnsi"/>
          <w:sz w:val="20"/>
          <w:szCs w:val="20"/>
          <w:lang w:val="en-GB"/>
        </w:rPr>
        <w:t xml:space="preserve"> were grown in static (red) or microfluidic conditions (blue). </w:t>
      </w:r>
      <w:r w:rsidRPr="00440222">
        <w:rPr>
          <w:rFonts w:cstheme="minorHAnsi"/>
          <w:b/>
          <w:bCs/>
          <w:sz w:val="20"/>
          <w:szCs w:val="20"/>
          <w:lang w:val="en-GB"/>
        </w:rPr>
        <w:t xml:space="preserve">B. </w:t>
      </w:r>
      <w:r w:rsidRPr="00440222">
        <w:rPr>
          <w:rFonts w:cstheme="minorHAnsi"/>
          <w:sz w:val="20"/>
          <w:szCs w:val="20"/>
          <w:lang w:val="en-GB"/>
        </w:rPr>
        <w:t xml:space="preserve">3 HIO donors were grown in microfluidic conditions and triggered using </w:t>
      </w:r>
      <w:r w:rsidRPr="00440222">
        <w:rPr>
          <w:rFonts w:cstheme="minorHAnsi"/>
          <w:bCs/>
          <w:sz w:val="20"/>
          <w:szCs w:val="20"/>
          <w:lang w:val="en-GB"/>
        </w:rPr>
        <w:t xml:space="preserve">LPS </w:t>
      </w:r>
      <w:r w:rsidRPr="00440222">
        <w:rPr>
          <w:rFonts w:cs="Tahoma"/>
          <w:bCs/>
          <w:sz w:val="20"/>
          <w:szCs w:val="20"/>
          <w:lang w:val="en-GB"/>
        </w:rPr>
        <w:t>[</w:t>
      </w:r>
      <w:r w:rsidRPr="00440222">
        <w:rPr>
          <w:rFonts w:cstheme="minorHAnsi"/>
          <w:bCs/>
          <w:sz w:val="20"/>
          <w:szCs w:val="20"/>
          <w:lang w:val="en-GB"/>
        </w:rPr>
        <w:t>100 ng/mL</w:t>
      </w:r>
      <w:r w:rsidRPr="00440222">
        <w:rPr>
          <w:rFonts w:cs="Tahoma"/>
          <w:bCs/>
          <w:sz w:val="20"/>
          <w:szCs w:val="20"/>
          <w:lang w:val="en-GB"/>
        </w:rPr>
        <w:t>]</w:t>
      </w:r>
      <w:r w:rsidRPr="00440222">
        <w:rPr>
          <w:rFonts w:cstheme="minorHAnsi"/>
          <w:bCs/>
          <w:sz w:val="20"/>
          <w:szCs w:val="20"/>
          <w:lang w:val="en-GB"/>
        </w:rPr>
        <w:t xml:space="preserve"> and IFN-γ </w:t>
      </w:r>
      <w:r w:rsidRPr="00440222">
        <w:rPr>
          <w:rFonts w:cs="Tahoma"/>
          <w:bCs/>
          <w:sz w:val="20"/>
          <w:szCs w:val="20"/>
          <w:lang w:val="en-GB"/>
        </w:rPr>
        <w:t>[</w:t>
      </w:r>
      <w:r w:rsidRPr="00440222">
        <w:rPr>
          <w:rFonts w:cstheme="minorHAnsi"/>
          <w:bCs/>
          <w:sz w:val="20"/>
          <w:szCs w:val="20"/>
          <w:lang w:val="en-GB"/>
        </w:rPr>
        <w:t>20 ng/mL</w:t>
      </w:r>
      <w:r w:rsidRPr="00440222">
        <w:rPr>
          <w:rFonts w:cs="Tahoma"/>
          <w:bCs/>
          <w:sz w:val="20"/>
          <w:szCs w:val="20"/>
          <w:lang w:val="en-GB"/>
        </w:rPr>
        <w:t>]</w:t>
      </w:r>
      <w:r w:rsidRPr="00440222">
        <w:rPr>
          <w:rFonts w:cstheme="minorHAnsi"/>
          <w:bCs/>
          <w:sz w:val="20"/>
          <w:szCs w:val="20"/>
          <w:lang w:val="en-GB"/>
        </w:rPr>
        <w:t xml:space="preserve"> for 24 h</w:t>
      </w:r>
      <w:r w:rsidRPr="00440222">
        <w:rPr>
          <w:rFonts w:cstheme="minorHAnsi"/>
          <w:sz w:val="20"/>
          <w:szCs w:val="20"/>
          <w:lang w:val="en-GB"/>
        </w:rPr>
        <w:t xml:space="preserve"> (blue) or left untriggered (red). In the 2 plots, a</w:t>
      </w:r>
      <w:r w:rsidR="000E6A56" w:rsidRPr="00440222">
        <w:rPr>
          <w:rFonts w:cstheme="minorHAnsi"/>
          <w:sz w:val="20"/>
          <w:szCs w:val="20"/>
          <w:lang w:val="en-GB"/>
        </w:rPr>
        <w:t xml:space="preserve"> clear separation between the 2 </w:t>
      </w:r>
      <w:r w:rsidRPr="00440222">
        <w:rPr>
          <w:rFonts w:cstheme="minorHAnsi"/>
          <w:sz w:val="20"/>
          <w:szCs w:val="20"/>
          <w:lang w:val="en-GB"/>
        </w:rPr>
        <w:t xml:space="preserve">experimental </w:t>
      </w:r>
      <w:r w:rsidR="000E6A56" w:rsidRPr="00440222">
        <w:rPr>
          <w:rFonts w:cstheme="minorHAnsi"/>
          <w:sz w:val="20"/>
          <w:szCs w:val="20"/>
          <w:lang w:val="en-GB"/>
        </w:rPr>
        <w:t xml:space="preserve">groups is observed. HIO donor 3 also shows a clear distinction, but is segregated from HIO donor 1 and 2 in </w:t>
      </w:r>
      <w:r w:rsidRPr="00440222">
        <w:rPr>
          <w:rFonts w:cstheme="minorHAnsi"/>
          <w:sz w:val="20"/>
          <w:szCs w:val="20"/>
          <w:lang w:val="en-GB"/>
        </w:rPr>
        <w:t xml:space="preserve">all groups. </w:t>
      </w:r>
    </w:p>
    <w:p w14:paraId="7363BB1C" w14:textId="77777777" w:rsidR="006558C8" w:rsidRPr="00440222" w:rsidRDefault="006558C8" w:rsidP="006558C8">
      <w:pPr>
        <w:spacing w:line="240" w:lineRule="auto"/>
        <w:jc w:val="both"/>
        <w:rPr>
          <w:rFonts w:cstheme="minorHAnsi"/>
          <w:b/>
          <w:bCs/>
          <w:lang w:val="en-GB"/>
        </w:rPr>
      </w:pPr>
    </w:p>
    <w:p w14:paraId="4BCA998E" w14:textId="77777777" w:rsidR="006558C8" w:rsidRPr="008D0FBA" w:rsidRDefault="006558C8">
      <w:pPr>
        <w:spacing w:line="240" w:lineRule="auto"/>
        <w:jc w:val="both"/>
        <w:rPr>
          <w:rFonts w:cstheme="minorHAnsi"/>
          <w:b/>
          <w:bCs/>
          <w:lang w:val="en-GB"/>
        </w:rPr>
      </w:pPr>
    </w:p>
    <w:p w14:paraId="6E0D018B" w14:textId="77777777" w:rsidR="00D105E0" w:rsidRPr="00440222" w:rsidRDefault="00D105E0" w:rsidP="00D105E0">
      <w:pPr>
        <w:spacing w:after="120" w:line="240" w:lineRule="auto"/>
        <w:ind w:left="-709"/>
        <w:jc w:val="both"/>
        <w:rPr>
          <w:rFonts w:cstheme="minorHAnsi"/>
          <w:b/>
          <w:highlight w:val="yellow"/>
          <w:lang w:val="en-GB"/>
        </w:rPr>
      </w:pPr>
      <w:r w:rsidRPr="008D0FBA">
        <w:rPr>
          <w:rFonts w:cstheme="minorHAnsi"/>
          <w:b/>
          <w:noProof/>
          <w:lang w:val="en-GB" w:eastAsia="en-GB"/>
        </w:rPr>
        <w:lastRenderedPageBreak/>
        <w:drawing>
          <wp:inline distT="0" distB="0" distL="0" distR="0" wp14:anchorId="78E43B8D" wp14:editId="66CD791F">
            <wp:extent cx="7023100" cy="5075991"/>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pl Fig rnaseq cac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27010" cy="5078817"/>
                    </a:xfrm>
                    <a:prstGeom prst="rect">
                      <a:avLst/>
                    </a:prstGeom>
                  </pic:spPr>
                </pic:pic>
              </a:graphicData>
            </a:graphic>
          </wp:inline>
        </w:drawing>
      </w:r>
    </w:p>
    <w:p w14:paraId="04011621" w14:textId="524CCF80" w:rsidR="00D105E0" w:rsidRPr="00440222" w:rsidRDefault="00D105E0" w:rsidP="00D105E0">
      <w:pPr>
        <w:spacing w:line="240" w:lineRule="auto"/>
        <w:jc w:val="both"/>
        <w:rPr>
          <w:rFonts w:cstheme="minorHAnsi"/>
          <w:b/>
          <w:lang w:val="en-GB"/>
        </w:rPr>
      </w:pPr>
      <w:r w:rsidRPr="00440222">
        <w:rPr>
          <w:rFonts w:cstheme="minorHAnsi"/>
          <w:b/>
          <w:lang w:val="en-GB"/>
        </w:rPr>
        <w:t>Figure S</w:t>
      </w:r>
      <w:r w:rsidR="00336C5F" w:rsidRPr="00440222">
        <w:rPr>
          <w:rFonts w:cstheme="minorHAnsi"/>
          <w:b/>
          <w:lang w:val="en-GB"/>
        </w:rPr>
        <w:t>5</w:t>
      </w:r>
      <w:r w:rsidRPr="00440222">
        <w:rPr>
          <w:rFonts w:cstheme="minorHAnsi"/>
          <w:b/>
          <w:lang w:val="en-GB"/>
        </w:rPr>
        <w:t>. RNA expression profiles of Caco-2 gut-on-a-chip resemble small intestinal segments</w:t>
      </w:r>
    </w:p>
    <w:p w14:paraId="38BAA15E" w14:textId="77777777" w:rsidR="00D105E0" w:rsidRPr="00440222" w:rsidRDefault="00D105E0" w:rsidP="00D105E0">
      <w:pPr>
        <w:autoSpaceDE w:val="0"/>
        <w:autoSpaceDN w:val="0"/>
        <w:adjustRightInd w:val="0"/>
        <w:spacing w:line="240" w:lineRule="auto"/>
        <w:jc w:val="both"/>
        <w:rPr>
          <w:rFonts w:cstheme="minorHAnsi"/>
          <w:sz w:val="20"/>
          <w:szCs w:val="20"/>
        </w:rPr>
      </w:pPr>
      <w:r w:rsidRPr="00440222">
        <w:rPr>
          <w:rFonts w:cstheme="minorHAnsi"/>
          <w:sz w:val="20"/>
          <w:szCs w:val="20"/>
          <w:lang w:val="en-GB"/>
        </w:rPr>
        <w:t xml:space="preserve">Heatmap representation of the RNA expression profile of 72 genes defining intestinal identity in HIO from three donors grown in static or microfluidic conditions for 8 days, compared with human normal colon from study GSE9254 </w:t>
      </w:r>
      <w:r w:rsidRPr="008D0FBA">
        <w:rPr>
          <w:rFonts w:cstheme="minorHAnsi"/>
          <w:sz w:val="20"/>
          <w:szCs w:val="20"/>
          <w:lang w:val="en-GB"/>
        </w:rPr>
        <w:fldChar w:fldCharType="begin" w:fldLock="1"/>
      </w:r>
      <w:r w:rsidRPr="00440222">
        <w:rPr>
          <w:rFonts w:cstheme="minorHAnsi"/>
          <w:sz w:val="20"/>
          <w:szCs w:val="20"/>
          <w:lang w:val="en-GB"/>
        </w:rPr>
        <w:instrText>ADDIN CSL_CITATION {"citationItems":[{"id":"ITEM-1","itemData":{"DOI":"10.1152/physiolgenomics.00185.2006","ISSN":"10948341","abstract":"While there is considerable research related to using differential gene expression to predict disease phenotype classification, e.g., neoplastic tissue from nonneoplastic controls, there is little understanding of the range of expression in normal tissues. Understanding patterns of gene expression in nonneoplastic tissue, including regional anatomic expression changes within an organ, is vital to understanding gene expression changes in diseased tissue. To explore the gene expression change along the proximal-distal axis of the large intestine, we analyzed microarray data in 184 normal human specimens using univariate and multivariate techniques. We found 219 probe sets that were differentially expressed between the proximal and distal colorectal regions and 115 probe sets that were differentially expressed between the terminal segments, i.e., the cecum and rectum. We did not observe any probe sets that were statistically different between any two contiguous colorectal segments. The dominant expression pattern (65 probe sets) follows a dichotomous expression pattern consistent with the midgut-hindgut embryonic origins of the gut while a second pattern (50 probe sets) depicts a gradual change in transcript levels from the cecum to the rectum. While the dichotomous pattern includes roughly equal numbers of probe sets that are elevated proximally and distally, nearly all probe sets that show a gradual change demonstrate increasing expression levels moving from proximal to distal segments. These patterns describe an expression map of individual transcript variation as well as multigene expression patterns along the large intestine. This is the first gene expression map of an entire human organ. Copyright © 2008 the American Physiological Society.","author":[{"dropping-particle":"","family":"LaPointe","given":"Lawrence C.","non-dropping-particle":"","parse-names":false,"suffix":""},{"dropping-particle":"","family":"Dunne","given":"Robert","non-dropping-particle":"","parse-names":false,"suffix":""},{"dropping-particle":"","family":"Brown","given":"Glenn S.","non-dropping-particle":"","parse-names":false,"suffix":""},{"dropping-particle":"","family":"Worthley","given":"Daniel L.","non-dropping-particle":"","parse-names":false,"suffix":""},{"dropping-particle":"","family":"Molloy","given":"Peter L.","non-dropping-particle":"","parse-names":false,"suffix":""},{"dropping-particle":"","family":"Wattchow","given":"David","non-dropping-particle":"","parse-names":false,"suffix":""},{"dropping-particle":"","family":"Young","given":"Graeme P.","non-dropping-particle":"","parse-names":false,"suffix":""}],"container-title":"Physiological Genomics","id":"ITEM-1","issued":{"date-parts":[["2008"]]},"title":"Map of differential transcript expression in the normal human large intestine","type":"article-journal"},"uris":["http://www.mendeley.com/documents/?uuid=73e4674e-43f5-4f22-bd92-1467b09f95be"]}],"mendeley":{"formattedCitation":"(LaPointe et al., 2008)","plainTextFormattedCitation":"(LaPointe et al., 2008)","previouslyFormattedCitation":"(LaPointe et al., 2008)"},"properties":{"noteIndex":0},"schema":"https://github.com/citation-style-language/schema/raw/master/csl-citation.json"}</w:instrText>
      </w:r>
      <w:r w:rsidRPr="008D0FBA">
        <w:rPr>
          <w:rFonts w:cstheme="minorHAnsi"/>
          <w:sz w:val="20"/>
          <w:szCs w:val="20"/>
          <w:lang w:val="en-GB"/>
        </w:rPr>
        <w:fldChar w:fldCharType="separate"/>
      </w:r>
      <w:r w:rsidRPr="00440222">
        <w:rPr>
          <w:rFonts w:cstheme="minorHAnsi"/>
          <w:noProof/>
          <w:sz w:val="20"/>
          <w:szCs w:val="20"/>
          <w:lang w:val="en-GB"/>
        </w:rPr>
        <w:t>(LaPointe et al., 2008)</w:t>
      </w:r>
      <w:r w:rsidRPr="008D0FBA">
        <w:rPr>
          <w:rFonts w:cstheme="minorHAnsi"/>
          <w:sz w:val="20"/>
          <w:szCs w:val="20"/>
          <w:lang w:val="en-GB"/>
        </w:rPr>
        <w:fldChar w:fldCharType="end"/>
      </w:r>
      <w:r w:rsidRPr="00440222">
        <w:rPr>
          <w:rFonts w:cstheme="minorHAnsi"/>
          <w:sz w:val="20"/>
          <w:szCs w:val="20"/>
          <w:lang w:val="en-GB"/>
        </w:rPr>
        <w:t xml:space="preserve"> and human normal small intestine sections (duodenum, jejunum, ileum) from study GSE14938 </w:t>
      </w:r>
      <w:r w:rsidRPr="008D0FBA">
        <w:rPr>
          <w:rFonts w:cstheme="minorHAnsi"/>
          <w:sz w:val="20"/>
          <w:szCs w:val="20"/>
          <w:lang w:val="en-GB"/>
        </w:rPr>
        <w:fldChar w:fldCharType="begin" w:fldLock="1"/>
      </w:r>
      <w:r w:rsidRPr="00440222">
        <w:rPr>
          <w:rFonts w:cstheme="minorHAnsi"/>
          <w:sz w:val="20"/>
          <w:szCs w:val="20"/>
          <w:lang w:val="en-GB"/>
        </w:rPr>
        <w:instrText>ADDIN CSL_CITATION {"citationItems":[{"id":"ITEM-1","itemData":{"DOI":"10.1186/1471-2164-10-269","ISSN":"14712164","abstract":"Background: Housekeeping genes (HKG) are constitutively expressed in all tissues while tissue-enriched genes (TEG) are expressed at a much higher level in a single tissue type than in others. HKGs serve as valuable experimental controls in gene and protein expression experiments, while TEGs tend to represent distinct physiological processes and are frequently candidates for biomarkers or drug targets. The genomic features of these two groups of genes expressed in opposing patterns may shed light on the mechanisms by which cells maintain basic and tissue-specific functions. Results: Here, we generate gene expression profiles of 42 normal human tissues on custom high-density microarrays to systematically identify 1,522 HKGs and 975 TEGs and compile a small subset of 20 housekeeping genes which are highly expressed in all tissues with lower variance than many commonly used HKGs. Cross-species comparison shows that both the functions and expression patterns of HKGs are conserved. TEGs are enriched with respect to both segmental duplication and copy number variation, while no such enrichment is observed for HKGs, suggesting the high expression of HKGs are not due to high copy numbers. Analysis of genomic and epigenetic features of HKGs and TEGs reveals that the high expression of HKGs across different tissues is associated with decreased nucleosome occupancy at the transcription start site as indicated by enhanced DNase hypersensitivity. Additionally, we systematically and quantitatively demonstrated that the CpG islands' enrichment in HKGs transcription start sites (TSS) and their depletion in TEGs TSS. Histone methylation patterns differ significantly between HKGs and TEGs, suggesting that methylation contributes to the differential expression patterns as well. Conclusion: We have compiled a set of high quality HKGs that should provide higher and more consistent expression when used as references in laboratory experiments than currently used HKGs. The comparison of genomic features between HKGs and TEGs shows that HKGs are more conserved than TEGs in terms of functions, expression pattern and polymorphisms. In addition, our results identify chromatin structure and epigenetic features of HKGs and TEGs that are likely to play an important role in regulating their strikingly different expression patterns. © 2009 She et al; licensee BioMed Central Ltd.","author":[{"dropping-particle":"","family":"She","given":"Xinwei","non-dropping-particle":"","parse-names":false,"suffix":""},{"dropping-particle":"","family":"Rohl","given":"Carol A.","non-dropping-particle":"","parse-names":false,"suffix":""},{"dropping-particle":"","family":"Castle","given":"John C.","non-dropping-particle":"","parse-names":false,"suffix":""},{"dropping-particle":"V.","family":"Kulkarni","given":"Amit","non-dropping-particle":"","parse-names":false,"suffix":""},{"dropping-particle":"","family":"Johnson","given":"Jason M.","non-dropping-particle":"","parse-names":false,"suffix":""},{"dropping-particle":"","family":"Chen","given":"Ronghua","non-dropping-particle":"","parse-names":false,"suffix":""}],"container-title":"BMC Genomics","id":"ITEM-1","issued":{"date-parts":[["2009"]]},"title":"Definition, conservation and epigenetics of housekeeping and tissue-enriched genes","type":"article-journal"},"uris":["http://www.mendeley.com/documents/?uuid=7a690fb7-567c-488d-92c7-8e95ac02bacd"]}],"mendeley":{"formattedCitation":"(She et al., 2009)","plainTextFormattedCitation":"(She et al., 2009)","previouslyFormattedCitation":"(She et al., 2009)"},"properties":{"noteIndex":0},"schema":"https://github.com/citation-style-language/schema/raw/master/csl-citation.json"}</w:instrText>
      </w:r>
      <w:r w:rsidRPr="008D0FBA">
        <w:rPr>
          <w:rFonts w:cstheme="minorHAnsi"/>
          <w:sz w:val="20"/>
          <w:szCs w:val="20"/>
          <w:lang w:val="en-GB"/>
        </w:rPr>
        <w:fldChar w:fldCharType="separate"/>
      </w:r>
      <w:r w:rsidRPr="00440222">
        <w:rPr>
          <w:rFonts w:cstheme="minorHAnsi"/>
          <w:noProof/>
          <w:sz w:val="20"/>
          <w:szCs w:val="20"/>
          <w:lang w:val="en-GB"/>
        </w:rPr>
        <w:t>(She et al., 2009)</w:t>
      </w:r>
      <w:r w:rsidRPr="008D0FBA">
        <w:rPr>
          <w:rFonts w:cstheme="minorHAnsi"/>
          <w:sz w:val="20"/>
          <w:szCs w:val="20"/>
          <w:lang w:val="en-GB"/>
        </w:rPr>
        <w:fldChar w:fldCharType="end"/>
      </w:r>
      <w:r w:rsidRPr="00440222">
        <w:rPr>
          <w:rFonts w:cstheme="minorHAnsi"/>
          <w:sz w:val="20"/>
          <w:szCs w:val="20"/>
          <w:lang w:val="en-GB"/>
        </w:rPr>
        <w:t>.</w:t>
      </w:r>
      <w:r w:rsidRPr="00440222">
        <w:rPr>
          <w:rFonts w:cstheme="minorHAnsi"/>
          <w:sz w:val="20"/>
          <w:szCs w:val="20"/>
        </w:rPr>
        <w:t xml:space="preserve"> </w:t>
      </w:r>
    </w:p>
    <w:p w14:paraId="6ACD6185" w14:textId="0CFD7572" w:rsidR="00D105E0" w:rsidRPr="00440222" w:rsidRDefault="0024007F" w:rsidP="00D105E0">
      <w:pPr>
        <w:spacing w:line="240" w:lineRule="auto"/>
        <w:jc w:val="both"/>
        <w:rPr>
          <w:bCs/>
          <w:sz w:val="20"/>
        </w:rPr>
      </w:pPr>
      <w:r w:rsidRPr="008D0FBA">
        <w:rPr>
          <w:bCs/>
          <w:noProof/>
          <w:sz w:val="20"/>
        </w:rPr>
        <w:lastRenderedPageBreak/>
        <w:drawing>
          <wp:inline distT="0" distB="0" distL="0" distR="0" wp14:anchorId="73E154E4" wp14:editId="2839CFA1">
            <wp:extent cx="6248400" cy="3952843"/>
            <wp:effectExtent l="0" t="0" r="0" b="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supplementary fig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55832" cy="3957545"/>
                    </a:xfrm>
                    <a:prstGeom prst="rect">
                      <a:avLst/>
                    </a:prstGeom>
                  </pic:spPr>
                </pic:pic>
              </a:graphicData>
            </a:graphic>
          </wp:inline>
        </w:drawing>
      </w:r>
    </w:p>
    <w:p w14:paraId="5E90A119" w14:textId="77777777" w:rsidR="0024007F" w:rsidRPr="00440222" w:rsidRDefault="0024007F" w:rsidP="00D105E0">
      <w:pPr>
        <w:spacing w:line="240" w:lineRule="auto"/>
        <w:jc w:val="both"/>
        <w:rPr>
          <w:b/>
          <w:sz w:val="20"/>
        </w:rPr>
      </w:pPr>
    </w:p>
    <w:p w14:paraId="728F44CB" w14:textId="03F95F8A" w:rsidR="0024007F" w:rsidRPr="008D0FBA" w:rsidRDefault="0024007F" w:rsidP="00D105E0">
      <w:pPr>
        <w:spacing w:line="240" w:lineRule="auto"/>
        <w:jc w:val="both"/>
        <w:rPr>
          <w:b/>
        </w:rPr>
      </w:pPr>
      <w:r w:rsidRPr="008D0FBA">
        <w:rPr>
          <w:b/>
        </w:rPr>
        <w:t>Figure S</w:t>
      </w:r>
      <w:r w:rsidR="00336C5F" w:rsidRPr="00440222">
        <w:rPr>
          <w:b/>
        </w:rPr>
        <w:t>6</w:t>
      </w:r>
      <w:r w:rsidRPr="008D0FBA">
        <w:rPr>
          <w:b/>
        </w:rPr>
        <w:t>. Asymmetric responses of IEC to inflammatory stimuli</w:t>
      </w:r>
    </w:p>
    <w:p w14:paraId="1A8E1169" w14:textId="3179BCAD" w:rsidR="0024007F" w:rsidRPr="00440222" w:rsidRDefault="0024007F" w:rsidP="0024007F">
      <w:pPr>
        <w:spacing w:line="240" w:lineRule="auto"/>
        <w:jc w:val="both"/>
        <w:rPr>
          <w:rFonts w:cstheme="minorHAnsi"/>
          <w:bCs/>
          <w:sz w:val="20"/>
          <w:szCs w:val="20"/>
          <w:lang w:val="en-GB"/>
        </w:rPr>
      </w:pPr>
      <w:r w:rsidRPr="00440222">
        <w:rPr>
          <w:rFonts w:cstheme="minorHAnsi"/>
          <w:b/>
          <w:bCs/>
          <w:sz w:val="20"/>
          <w:szCs w:val="20"/>
          <w:lang w:val="en-GB"/>
        </w:rPr>
        <w:t>A-F</w:t>
      </w:r>
      <w:r w:rsidRPr="00440222">
        <w:rPr>
          <w:rFonts w:cstheme="minorHAnsi"/>
          <w:bCs/>
          <w:sz w:val="20"/>
          <w:szCs w:val="20"/>
          <w:lang w:val="en-GB"/>
        </w:rPr>
        <w:t>. Apical and basolateral secretion of IL-1β (</w:t>
      </w:r>
      <w:r w:rsidRPr="00440222">
        <w:rPr>
          <w:rFonts w:cstheme="minorHAnsi"/>
          <w:b/>
          <w:bCs/>
          <w:sz w:val="20"/>
          <w:szCs w:val="20"/>
          <w:lang w:val="en-GB"/>
        </w:rPr>
        <w:t>A.</w:t>
      </w:r>
      <w:r w:rsidRPr="00440222">
        <w:rPr>
          <w:rFonts w:cstheme="minorHAnsi"/>
          <w:bCs/>
          <w:sz w:val="20"/>
          <w:szCs w:val="20"/>
          <w:lang w:val="en-GB"/>
        </w:rPr>
        <w:t>), CXCL10 (</w:t>
      </w:r>
      <w:r w:rsidRPr="00440222">
        <w:rPr>
          <w:rFonts w:cstheme="minorHAnsi"/>
          <w:b/>
          <w:bCs/>
          <w:sz w:val="20"/>
          <w:szCs w:val="20"/>
          <w:lang w:val="en-GB"/>
        </w:rPr>
        <w:t>B.</w:t>
      </w:r>
      <w:r w:rsidRPr="00440222">
        <w:rPr>
          <w:rFonts w:cstheme="minorHAnsi"/>
          <w:bCs/>
          <w:sz w:val="20"/>
          <w:szCs w:val="20"/>
          <w:lang w:val="en-GB"/>
        </w:rPr>
        <w:t>), IL-6 (</w:t>
      </w:r>
      <w:r w:rsidRPr="00440222">
        <w:rPr>
          <w:rFonts w:cstheme="minorHAnsi"/>
          <w:b/>
          <w:bCs/>
          <w:sz w:val="20"/>
          <w:szCs w:val="20"/>
          <w:lang w:val="en-GB"/>
        </w:rPr>
        <w:t>C.</w:t>
      </w:r>
      <w:r w:rsidRPr="00440222">
        <w:rPr>
          <w:rFonts w:cstheme="minorHAnsi"/>
          <w:bCs/>
          <w:sz w:val="20"/>
          <w:szCs w:val="20"/>
          <w:lang w:val="en-GB"/>
        </w:rPr>
        <w:t>), IL-12p70 (</w:t>
      </w:r>
      <w:r w:rsidRPr="00440222">
        <w:rPr>
          <w:rFonts w:cstheme="minorHAnsi"/>
          <w:b/>
          <w:bCs/>
          <w:sz w:val="20"/>
          <w:szCs w:val="20"/>
          <w:lang w:val="en-GB"/>
        </w:rPr>
        <w:t>D.</w:t>
      </w:r>
      <w:r w:rsidRPr="00440222">
        <w:rPr>
          <w:rFonts w:cstheme="minorHAnsi"/>
          <w:bCs/>
          <w:sz w:val="20"/>
          <w:szCs w:val="20"/>
          <w:lang w:val="en-GB"/>
        </w:rPr>
        <w:t>), GM-CSF (</w:t>
      </w:r>
      <w:r w:rsidRPr="00440222">
        <w:rPr>
          <w:rFonts w:cstheme="minorHAnsi"/>
          <w:b/>
          <w:bCs/>
          <w:sz w:val="20"/>
          <w:szCs w:val="20"/>
          <w:lang w:val="en-GB"/>
        </w:rPr>
        <w:t>E.</w:t>
      </w:r>
      <w:r w:rsidRPr="00440222">
        <w:rPr>
          <w:rFonts w:cstheme="minorHAnsi"/>
          <w:bCs/>
          <w:sz w:val="20"/>
          <w:szCs w:val="20"/>
          <w:lang w:val="en-GB"/>
        </w:rPr>
        <w:t>) and IFN-γ (</w:t>
      </w:r>
      <w:r w:rsidRPr="008D0FBA">
        <w:rPr>
          <w:rFonts w:cstheme="minorHAnsi"/>
          <w:b/>
          <w:sz w:val="20"/>
          <w:szCs w:val="20"/>
          <w:lang w:val="en-GB"/>
        </w:rPr>
        <w:t>F.</w:t>
      </w:r>
      <w:r w:rsidRPr="00440222">
        <w:rPr>
          <w:rFonts w:cstheme="minorHAnsi"/>
          <w:bCs/>
          <w:sz w:val="20"/>
          <w:szCs w:val="20"/>
          <w:lang w:val="en-GB"/>
        </w:rPr>
        <w:t xml:space="preserve">) in IEC from HIO donor 2 at Day 8 after </w:t>
      </w:r>
      <w:r w:rsidR="00D43B2A" w:rsidRPr="00440222">
        <w:rPr>
          <w:rFonts w:cstheme="minorHAnsi"/>
          <w:bCs/>
          <w:sz w:val="20"/>
          <w:szCs w:val="20"/>
          <w:lang w:val="en-GB"/>
        </w:rPr>
        <w:t xml:space="preserve">application of </w:t>
      </w:r>
      <w:r w:rsidRPr="00440222">
        <w:rPr>
          <w:rFonts w:cstheme="minorHAnsi"/>
          <w:bCs/>
          <w:sz w:val="20"/>
          <w:szCs w:val="20"/>
          <w:lang w:val="en-GB"/>
        </w:rPr>
        <w:t xml:space="preserve">LPS </w:t>
      </w:r>
      <w:r w:rsidR="00D43B2A" w:rsidRPr="008D0FBA">
        <w:rPr>
          <w:rFonts w:cs="Tahoma"/>
          <w:bCs/>
          <w:sz w:val="20"/>
          <w:szCs w:val="20"/>
          <w:lang w:val="en-GB"/>
        </w:rPr>
        <w:t>[</w:t>
      </w:r>
      <w:r w:rsidRPr="00440222">
        <w:rPr>
          <w:rFonts w:cstheme="minorHAnsi"/>
          <w:bCs/>
          <w:sz w:val="20"/>
          <w:szCs w:val="20"/>
          <w:lang w:val="en-GB"/>
        </w:rPr>
        <w:t>100 ng/mL</w:t>
      </w:r>
      <w:r w:rsidR="00D43B2A" w:rsidRPr="008D0FBA">
        <w:rPr>
          <w:rFonts w:cs="Tahoma"/>
          <w:bCs/>
          <w:sz w:val="20"/>
          <w:szCs w:val="20"/>
          <w:lang w:val="en-GB"/>
        </w:rPr>
        <w:t>]</w:t>
      </w:r>
      <w:r w:rsidR="00D43B2A" w:rsidRPr="00440222">
        <w:rPr>
          <w:rFonts w:cstheme="minorHAnsi"/>
          <w:bCs/>
          <w:sz w:val="20"/>
          <w:szCs w:val="20"/>
          <w:lang w:val="en-GB"/>
        </w:rPr>
        <w:t xml:space="preserve"> and</w:t>
      </w:r>
      <w:r w:rsidRPr="00440222">
        <w:rPr>
          <w:rFonts w:cstheme="minorHAnsi"/>
          <w:bCs/>
          <w:sz w:val="20"/>
          <w:szCs w:val="20"/>
          <w:lang w:val="en-GB"/>
        </w:rPr>
        <w:t xml:space="preserve"> IFN-γ </w:t>
      </w:r>
      <w:r w:rsidR="00D43B2A" w:rsidRPr="008D0FBA">
        <w:rPr>
          <w:rFonts w:cs="Tahoma"/>
          <w:bCs/>
          <w:sz w:val="20"/>
          <w:szCs w:val="20"/>
          <w:lang w:val="en-GB"/>
        </w:rPr>
        <w:t>[</w:t>
      </w:r>
      <w:r w:rsidRPr="00440222">
        <w:rPr>
          <w:rFonts w:cstheme="minorHAnsi"/>
          <w:bCs/>
          <w:sz w:val="20"/>
          <w:szCs w:val="20"/>
          <w:lang w:val="en-GB"/>
        </w:rPr>
        <w:t>20 ng/mL</w:t>
      </w:r>
      <w:r w:rsidR="00D43B2A" w:rsidRPr="008D0FBA">
        <w:rPr>
          <w:rFonts w:cs="Tahoma"/>
          <w:bCs/>
          <w:sz w:val="20"/>
          <w:szCs w:val="20"/>
          <w:lang w:val="en-GB"/>
        </w:rPr>
        <w:t>]</w:t>
      </w:r>
      <w:r w:rsidR="00D43B2A" w:rsidRPr="00440222">
        <w:rPr>
          <w:rFonts w:cstheme="minorHAnsi"/>
          <w:bCs/>
          <w:sz w:val="20"/>
          <w:szCs w:val="20"/>
          <w:lang w:val="en-GB"/>
        </w:rPr>
        <w:t xml:space="preserve"> for 24 h</w:t>
      </w:r>
      <w:r w:rsidRPr="00440222">
        <w:rPr>
          <w:rFonts w:cstheme="minorHAnsi"/>
          <w:bCs/>
          <w:sz w:val="20"/>
          <w:szCs w:val="20"/>
          <w:lang w:val="en-GB"/>
        </w:rPr>
        <w:t>.</w:t>
      </w:r>
      <w:r w:rsidR="00D43B2A" w:rsidRPr="00440222">
        <w:rPr>
          <w:rFonts w:cstheme="minorHAnsi"/>
          <w:bCs/>
          <w:sz w:val="20"/>
          <w:szCs w:val="20"/>
          <w:lang w:val="en-GB"/>
        </w:rPr>
        <w:t xml:space="preserve"> Trigger constituents were either segregated in different channels (LPS apical, IFN- γ basal; dark blue bars), applied together in the basal channel only (pale blue bars) or applied together simultaneously in the apical and basal channels (green bars).</w:t>
      </w:r>
      <w:r w:rsidRPr="00440222">
        <w:rPr>
          <w:rFonts w:cstheme="minorHAnsi"/>
          <w:bCs/>
          <w:sz w:val="20"/>
          <w:szCs w:val="20"/>
          <w:lang w:val="en-GB"/>
        </w:rPr>
        <w:t xml:space="preserve"> Bars represent average cytokine production [</w:t>
      </w:r>
      <w:proofErr w:type="spellStart"/>
      <w:r w:rsidRPr="00440222">
        <w:rPr>
          <w:rFonts w:cstheme="minorHAnsi"/>
          <w:bCs/>
          <w:sz w:val="20"/>
          <w:szCs w:val="20"/>
          <w:lang w:val="en-GB"/>
        </w:rPr>
        <w:t>pg</w:t>
      </w:r>
      <w:proofErr w:type="spellEnd"/>
      <w:r w:rsidRPr="00440222">
        <w:rPr>
          <w:rFonts w:cstheme="minorHAnsi"/>
          <w:bCs/>
          <w:sz w:val="20"/>
          <w:szCs w:val="20"/>
          <w:lang w:val="en-GB"/>
        </w:rPr>
        <w:t>/mL]</w:t>
      </w:r>
      <w:r w:rsidRPr="00440222">
        <w:rPr>
          <w:rFonts w:cstheme="minorHAnsi"/>
          <w:bCs/>
          <w:sz w:val="20"/>
          <w:szCs w:val="20"/>
        </w:rPr>
        <w:t xml:space="preserve"> ± SEM (n=4-10).</w:t>
      </w:r>
    </w:p>
    <w:p w14:paraId="0660CAE1" w14:textId="4A53DE5F" w:rsidR="0024007F" w:rsidRPr="00440222" w:rsidRDefault="0024007F">
      <w:pPr>
        <w:spacing w:after="160" w:line="259" w:lineRule="auto"/>
        <w:rPr>
          <w:bCs/>
          <w:sz w:val="20"/>
        </w:rPr>
      </w:pPr>
      <w:r w:rsidRPr="00440222">
        <w:rPr>
          <w:bCs/>
          <w:sz w:val="20"/>
        </w:rPr>
        <w:br w:type="page"/>
      </w:r>
    </w:p>
    <w:p w14:paraId="64232B5E" w14:textId="77777777" w:rsidR="00D105E0" w:rsidRPr="00440222" w:rsidRDefault="00D105E0" w:rsidP="00D105E0">
      <w:pPr>
        <w:spacing w:line="240" w:lineRule="auto"/>
        <w:jc w:val="center"/>
        <w:rPr>
          <w:rFonts w:cstheme="minorHAnsi"/>
          <w:b/>
          <w:highlight w:val="yellow"/>
          <w:lang w:val="en-GB"/>
        </w:rPr>
      </w:pPr>
      <w:r w:rsidRPr="008D0FBA">
        <w:rPr>
          <w:rFonts w:cstheme="minorHAnsi"/>
          <w:b/>
          <w:noProof/>
          <w:lang w:val="en-GB" w:eastAsia="en-GB"/>
        </w:rPr>
        <w:lastRenderedPageBreak/>
        <w:drawing>
          <wp:inline distT="0" distB="0" distL="0" distR="0" wp14:anchorId="73AC7F7D" wp14:editId="3BA3C776">
            <wp:extent cx="5943600" cy="32334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 Fig 4 - Illustrato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233420"/>
                    </a:xfrm>
                    <a:prstGeom prst="rect">
                      <a:avLst/>
                    </a:prstGeom>
                  </pic:spPr>
                </pic:pic>
              </a:graphicData>
            </a:graphic>
          </wp:inline>
        </w:drawing>
      </w:r>
    </w:p>
    <w:p w14:paraId="34439F53" w14:textId="74614D1D" w:rsidR="00D105E0" w:rsidRPr="00440222" w:rsidRDefault="00D105E0" w:rsidP="00D105E0">
      <w:pPr>
        <w:spacing w:line="240" w:lineRule="auto"/>
        <w:jc w:val="both"/>
        <w:rPr>
          <w:rFonts w:cstheme="minorHAnsi"/>
          <w:b/>
          <w:lang w:val="en-GB"/>
        </w:rPr>
      </w:pPr>
      <w:r w:rsidRPr="00440222">
        <w:rPr>
          <w:rFonts w:cstheme="minorHAnsi"/>
          <w:b/>
          <w:lang w:val="en-GB"/>
        </w:rPr>
        <w:t>Figure S</w:t>
      </w:r>
      <w:r w:rsidR="00336C5F" w:rsidRPr="00440222">
        <w:rPr>
          <w:rFonts w:cstheme="minorHAnsi"/>
          <w:b/>
          <w:lang w:val="en-GB"/>
        </w:rPr>
        <w:t>7</w:t>
      </w:r>
      <w:r w:rsidRPr="00440222">
        <w:rPr>
          <w:rFonts w:cstheme="minorHAnsi"/>
          <w:b/>
          <w:lang w:val="en-GB"/>
        </w:rPr>
        <w:t xml:space="preserve">. The expression of multiple inflammatory cytokines is overexpressed in the colonic mucosa of IBD patients </w:t>
      </w:r>
    </w:p>
    <w:p w14:paraId="2143F564" w14:textId="2982F6EA" w:rsidR="000F6729" w:rsidRPr="00440222" w:rsidRDefault="00773C07" w:rsidP="00D105E0">
      <w:pPr>
        <w:spacing w:line="240" w:lineRule="auto"/>
        <w:jc w:val="both"/>
        <w:rPr>
          <w:rFonts w:cstheme="minorHAnsi"/>
          <w:bCs/>
          <w:sz w:val="20"/>
          <w:szCs w:val="20"/>
          <w:lang w:val="en-GB"/>
        </w:rPr>
      </w:pPr>
      <w:r w:rsidRPr="008D0FBA">
        <w:rPr>
          <w:rFonts w:cstheme="minorHAnsi"/>
          <w:b/>
          <w:sz w:val="20"/>
          <w:szCs w:val="20"/>
          <w:lang w:val="en-GB"/>
        </w:rPr>
        <w:t>A</w:t>
      </w:r>
      <w:r w:rsidR="00D105E0" w:rsidRPr="00440222">
        <w:rPr>
          <w:rFonts w:cstheme="minorHAnsi"/>
          <w:b/>
          <w:bCs/>
          <w:sz w:val="20"/>
          <w:szCs w:val="20"/>
          <w:lang w:val="en-GB"/>
        </w:rPr>
        <w:t>-</w:t>
      </w:r>
      <w:r w:rsidRPr="00440222">
        <w:rPr>
          <w:rFonts w:cstheme="minorHAnsi"/>
          <w:b/>
          <w:bCs/>
          <w:sz w:val="20"/>
          <w:szCs w:val="20"/>
          <w:lang w:val="en-GB"/>
        </w:rPr>
        <w:t>G</w:t>
      </w:r>
      <w:r w:rsidR="00D105E0" w:rsidRPr="00440222">
        <w:rPr>
          <w:rFonts w:cstheme="minorHAnsi"/>
          <w:bCs/>
          <w:sz w:val="20"/>
          <w:szCs w:val="20"/>
          <w:lang w:val="en-GB"/>
        </w:rPr>
        <w:t xml:space="preserve">. Gene expression of </w:t>
      </w:r>
      <w:r w:rsidR="00D105E0" w:rsidRPr="00440222">
        <w:rPr>
          <w:rFonts w:cstheme="minorHAnsi"/>
          <w:bCs/>
          <w:i/>
          <w:sz w:val="20"/>
          <w:szCs w:val="20"/>
          <w:lang w:val="en-GB"/>
        </w:rPr>
        <w:t>TNF</w:t>
      </w:r>
      <w:r w:rsidR="00D105E0" w:rsidRPr="00440222">
        <w:rPr>
          <w:rFonts w:cstheme="minorHAnsi"/>
          <w:bCs/>
          <w:sz w:val="20"/>
          <w:szCs w:val="20"/>
          <w:lang w:val="en-GB"/>
        </w:rPr>
        <w:t xml:space="preserve"> (</w:t>
      </w:r>
      <w:r w:rsidR="00D105E0" w:rsidRPr="00440222">
        <w:rPr>
          <w:rFonts w:cstheme="minorHAnsi"/>
          <w:b/>
          <w:bCs/>
          <w:sz w:val="20"/>
          <w:szCs w:val="20"/>
          <w:lang w:val="en-GB"/>
        </w:rPr>
        <w:t>A.</w:t>
      </w:r>
      <w:r w:rsidR="00D105E0" w:rsidRPr="00440222">
        <w:rPr>
          <w:rFonts w:cstheme="minorHAnsi"/>
          <w:bCs/>
          <w:sz w:val="20"/>
          <w:szCs w:val="20"/>
          <w:lang w:val="en-GB"/>
        </w:rPr>
        <w:t xml:space="preserve">), </w:t>
      </w:r>
      <w:r w:rsidR="00D105E0" w:rsidRPr="00440222">
        <w:rPr>
          <w:rFonts w:cstheme="minorHAnsi"/>
          <w:bCs/>
          <w:i/>
          <w:sz w:val="20"/>
          <w:szCs w:val="20"/>
          <w:lang w:val="en-GB"/>
        </w:rPr>
        <w:t>CXCL10</w:t>
      </w:r>
      <w:r w:rsidR="00D105E0" w:rsidRPr="00440222">
        <w:rPr>
          <w:rFonts w:cstheme="minorHAnsi"/>
          <w:bCs/>
          <w:sz w:val="20"/>
          <w:szCs w:val="20"/>
          <w:lang w:val="en-GB"/>
        </w:rPr>
        <w:t xml:space="preserve"> (</w:t>
      </w:r>
      <w:r w:rsidR="00D105E0" w:rsidRPr="00440222">
        <w:rPr>
          <w:rFonts w:cstheme="minorHAnsi"/>
          <w:b/>
          <w:bCs/>
          <w:sz w:val="20"/>
          <w:szCs w:val="20"/>
          <w:lang w:val="en-GB"/>
        </w:rPr>
        <w:t>B.</w:t>
      </w:r>
      <w:r w:rsidR="00D105E0" w:rsidRPr="00440222">
        <w:rPr>
          <w:rFonts w:cstheme="minorHAnsi"/>
          <w:bCs/>
          <w:sz w:val="20"/>
          <w:szCs w:val="20"/>
          <w:lang w:val="en-GB"/>
        </w:rPr>
        <w:t xml:space="preserve">), </w:t>
      </w:r>
      <w:r w:rsidR="00D105E0" w:rsidRPr="00440222">
        <w:rPr>
          <w:rFonts w:cstheme="minorHAnsi"/>
          <w:bCs/>
          <w:i/>
          <w:sz w:val="20"/>
          <w:szCs w:val="20"/>
          <w:lang w:val="en-GB"/>
        </w:rPr>
        <w:t>IL6</w:t>
      </w:r>
      <w:r w:rsidR="00D105E0" w:rsidRPr="00440222">
        <w:rPr>
          <w:rFonts w:cstheme="minorHAnsi"/>
          <w:bCs/>
          <w:sz w:val="20"/>
          <w:szCs w:val="20"/>
          <w:lang w:val="en-GB"/>
        </w:rPr>
        <w:t xml:space="preserve"> (</w:t>
      </w:r>
      <w:r w:rsidR="00D105E0" w:rsidRPr="00440222">
        <w:rPr>
          <w:rFonts w:cstheme="minorHAnsi"/>
          <w:b/>
          <w:bCs/>
          <w:sz w:val="20"/>
          <w:szCs w:val="20"/>
          <w:lang w:val="en-GB"/>
        </w:rPr>
        <w:t>C.</w:t>
      </w:r>
      <w:r w:rsidR="00D105E0" w:rsidRPr="00440222">
        <w:rPr>
          <w:rFonts w:cstheme="minorHAnsi"/>
          <w:bCs/>
          <w:sz w:val="20"/>
          <w:szCs w:val="20"/>
          <w:lang w:val="en-GB"/>
        </w:rPr>
        <w:t xml:space="preserve">), </w:t>
      </w:r>
      <w:r w:rsidR="00D105E0" w:rsidRPr="00440222">
        <w:rPr>
          <w:rFonts w:cstheme="minorHAnsi"/>
          <w:bCs/>
          <w:i/>
          <w:sz w:val="20"/>
          <w:szCs w:val="20"/>
          <w:lang w:val="en-GB"/>
        </w:rPr>
        <w:t>IL12A</w:t>
      </w:r>
      <w:r w:rsidR="00D105E0" w:rsidRPr="00440222">
        <w:rPr>
          <w:rFonts w:cstheme="minorHAnsi"/>
          <w:bCs/>
          <w:sz w:val="20"/>
          <w:szCs w:val="20"/>
          <w:lang w:val="en-GB"/>
        </w:rPr>
        <w:t xml:space="preserve"> (</w:t>
      </w:r>
      <w:r w:rsidR="00D105E0" w:rsidRPr="00440222">
        <w:rPr>
          <w:rFonts w:cstheme="minorHAnsi"/>
          <w:b/>
          <w:bCs/>
          <w:sz w:val="20"/>
          <w:szCs w:val="20"/>
          <w:lang w:val="en-GB"/>
        </w:rPr>
        <w:t>D.</w:t>
      </w:r>
      <w:r w:rsidR="00D105E0" w:rsidRPr="00440222">
        <w:rPr>
          <w:rFonts w:cstheme="minorHAnsi"/>
          <w:bCs/>
          <w:sz w:val="20"/>
          <w:szCs w:val="20"/>
          <w:lang w:val="en-GB"/>
        </w:rPr>
        <w:t xml:space="preserve">), </w:t>
      </w:r>
      <w:r w:rsidR="00D105E0" w:rsidRPr="00440222">
        <w:rPr>
          <w:rFonts w:cstheme="minorHAnsi"/>
          <w:bCs/>
          <w:i/>
          <w:sz w:val="20"/>
          <w:szCs w:val="20"/>
          <w:lang w:val="en-GB"/>
        </w:rPr>
        <w:t>IL12B</w:t>
      </w:r>
      <w:r w:rsidR="00D105E0" w:rsidRPr="00440222">
        <w:rPr>
          <w:rFonts w:cstheme="minorHAnsi"/>
          <w:bCs/>
          <w:sz w:val="20"/>
          <w:szCs w:val="20"/>
          <w:lang w:val="en-GB"/>
        </w:rPr>
        <w:t xml:space="preserve"> (</w:t>
      </w:r>
      <w:r w:rsidR="00D105E0" w:rsidRPr="00440222">
        <w:rPr>
          <w:rFonts w:cstheme="minorHAnsi"/>
          <w:b/>
          <w:bCs/>
          <w:sz w:val="20"/>
          <w:szCs w:val="20"/>
          <w:lang w:val="en-GB"/>
        </w:rPr>
        <w:t>E.</w:t>
      </w:r>
      <w:r w:rsidR="00D105E0" w:rsidRPr="00440222">
        <w:rPr>
          <w:rFonts w:cstheme="minorHAnsi"/>
          <w:bCs/>
          <w:sz w:val="20"/>
          <w:szCs w:val="20"/>
          <w:lang w:val="en-GB"/>
        </w:rPr>
        <w:t xml:space="preserve">) and </w:t>
      </w:r>
      <w:r w:rsidR="00D105E0" w:rsidRPr="00440222">
        <w:rPr>
          <w:rFonts w:cstheme="minorHAnsi"/>
          <w:bCs/>
          <w:i/>
          <w:sz w:val="20"/>
          <w:szCs w:val="20"/>
          <w:lang w:val="en-GB"/>
        </w:rPr>
        <w:t>CSF2</w:t>
      </w:r>
      <w:r w:rsidR="00D105E0" w:rsidRPr="00440222">
        <w:rPr>
          <w:rFonts w:cstheme="minorHAnsi"/>
          <w:bCs/>
          <w:sz w:val="20"/>
          <w:szCs w:val="20"/>
          <w:lang w:val="en-GB"/>
        </w:rPr>
        <w:t xml:space="preserve"> (</w:t>
      </w:r>
      <w:r w:rsidR="00D105E0" w:rsidRPr="00440222">
        <w:rPr>
          <w:rFonts w:cstheme="minorHAnsi"/>
          <w:b/>
          <w:bCs/>
          <w:sz w:val="20"/>
          <w:szCs w:val="20"/>
          <w:lang w:val="en-GB"/>
        </w:rPr>
        <w:t>F.</w:t>
      </w:r>
      <w:r w:rsidR="00D105E0" w:rsidRPr="00440222">
        <w:rPr>
          <w:rFonts w:cstheme="minorHAnsi"/>
          <w:bCs/>
          <w:sz w:val="20"/>
          <w:szCs w:val="20"/>
          <w:lang w:val="en-GB"/>
        </w:rPr>
        <w:t>) in mucosal colonic biopsies of human patients from GSE59071 (UC</w:t>
      </w:r>
      <w:r w:rsidR="00D105E0" w:rsidRPr="00440222">
        <w:rPr>
          <w:rFonts w:cstheme="minorHAnsi"/>
          <w:bCs/>
          <w:sz w:val="20"/>
          <w:szCs w:val="20"/>
          <w:vertAlign w:val="superscript"/>
          <w:lang w:val="en-GB"/>
        </w:rPr>
        <w:t>-</w:t>
      </w:r>
      <w:r w:rsidR="00D105E0" w:rsidRPr="00440222">
        <w:rPr>
          <w:rFonts w:cstheme="minorHAnsi"/>
          <w:bCs/>
          <w:sz w:val="20"/>
          <w:szCs w:val="20"/>
          <w:lang w:val="en-GB"/>
        </w:rPr>
        <w:t>= inactive ulcerative colitis, UC</w:t>
      </w:r>
      <w:r w:rsidR="00D105E0" w:rsidRPr="00440222">
        <w:rPr>
          <w:rFonts w:cstheme="minorHAnsi"/>
          <w:bCs/>
          <w:sz w:val="20"/>
          <w:szCs w:val="20"/>
          <w:vertAlign w:val="superscript"/>
          <w:lang w:val="en-GB"/>
        </w:rPr>
        <w:t>+</w:t>
      </w:r>
      <w:r w:rsidR="00D105E0" w:rsidRPr="00440222">
        <w:rPr>
          <w:rFonts w:cstheme="minorHAnsi"/>
          <w:bCs/>
          <w:sz w:val="20"/>
          <w:szCs w:val="20"/>
          <w:lang w:val="en-GB"/>
        </w:rPr>
        <w:t xml:space="preserve">=active ulcerative colitis, CD=Crohn’s disease) </w:t>
      </w:r>
      <w:r w:rsidR="00D105E0" w:rsidRPr="008D0FBA">
        <w:rPr>
          <w:rFonts w:cstheme="minorHAnsi"/>
          <w:bCs/>
          <w:sz w:val="20"/>
          <w:szCs w:val="20"/>
          <w:lang w:val="en-GB"/>
        </w:rPr>
        <w:fldChar w:fldCharType="begin" w:fldLock="1"/>
      </w:r>
      <w:r w:rsidR="00D105E0" w:rsidRPr="00440222">
        <w:rPr>
          <w:rFonts w:cstheme="minorHAnsi"/>
          <w:bCs/>
          <w:sz w:val="20"/>
          <w:szCs w:val="20"/>
          <w:lang w:val="en-GB"/>
        </w:rPr>
        <w:instrText>ADDIN CSL_CITATION {"citationItems":[{"id":"ITEM-1","itemData":{"DOI":"10.1097/MIB.0000000000000535","ISSN":"15364844","abstract":"Background: Inflammatory bowel disease (IBD) is characterized by a chronic inflammation of the gut, partly driven by defects in the innate immune system. Considering the central role of inflammasome signaling in innate immunity, we studied inflammasome components in IBD mucosa. Methods: Expression of genes encoding inflammasome sensor subunits was investigated in colonic mucosal biopsies from 2 cohorts of patients with IBD and controls. Results: A significant upregulation (&gt;2-fold change in expression, false discovery rate &lt;0.05) of the PYHIN inflammasomes AIM2 and IFI16 in active IBD versus controls was found. Also IFI16 was significantly increased in inactive IBD versus controls. Moreover, responders to anti-tumor necrosis factor therapy showed decreased expression of these inflammasomes although IFI16 remained significantly increased in responders showing endoscopic healing versus controls. AIM2 was mainly expressed in epithelial cells, whereas IFI16 was expressed in both lymphocytes and epithelial cells. Functional activation of predominant AIM2/IFI16-mediated inflammasomes in active IBD colon was shown by the presence of the downstream effectors CASP1 and HMGB-1 in inflamed mucosa. Conclusions: Our results highlight the importance of PYHIN inflammasome signaling in IBD and also link anti-tumor necrosis factor responsiveness to inflammasome signaling. Together, this points to the potential value of the inflammasome pathway as a new therapeutic target for IBD treatment.","author":[{"dropping-particle":"","family":"Vanhove","given":"Wiebe","non-dropping-particle":"","parse-names":false,"suffix":""},{"dropping-particle":"","family":"Peeters","given":"Paul M.","non-dropping-particle":"","parse-names":false,"suffix":""},{"dropping-particle":"","family":"Staelens","given":"Dominiek","non-dropping-particle":"","parse-names":false,"suffix":""},{"dropping-particle":"","family":"Schraenen","given":"Anica","non-dropping-particle":"","parse-names":false,"suffix":""},{"dropping-particle":"","family":"Goten","given":"Jan","non-dropping-particle":"Van Der","parse-names":false,"suffix":""},{"dropping-particle":"","family":"Cleynen","given":"Isabelle","non-dropping-particle":"","parse-names":false,"suffix":""},{"dropping-particle":"","family":"Schepper","given":"Sebastiaan","non-dropping-particle":"De","parse-names":false,"suffix":""},{"dropping-particle":"","family":"Lommel","given":"Leentje","non-dropping-particle":"Van","parse-names":false,"suffix":""},{"dropping-particle":"","family":"Reynaert","given":"Niki L.","non-dropping-particle":"","parse-names":false,"suffix":""},{"dropping-particle":"","family":"Schuit","given":"Frans","non-dropping-particle":"","parse-names":false,"suffix":""},{"dropping-particle":"","family":"Assche","given":"Gert","non-dropping-particle":"Van","parse-names":false,"suffix":""},{"dropping-particle":"","family":"Ferrante","given":"Marc","non-dropping-particle":"","parse-names":false,"suffix":""},{"dropping-particle":"","family":"Hertogh","given":"Gert","non-dropping-particle":"De","parse-names":false,"suffix":""},{"dropping-particle":"","family":"Wouters","given":"Emiel F.M.","non-dropping-particle":"","parse-names":false,"suffix":""},{"dropping-particle":"","family":"Rutgeerts","given":"Paul","non-dropping-particle":"","parse-names":false,"suffix":""},{"dropping-particle":"","family":"Vermeire","given":"Séverine","non-dropping-particle":"","parse-names":false,"suffix":""},{"dropping-particle":"","family":"Nys","given":"Kris","non-dropping-particle":"","parse-names":false,"suffix":""},{"dropping-particle":"","family":"Arijs","given":"Ingrid","non-dropping-particle":"","parse-names":false,"suffix":""}],"container-title":"Inflammatory Bowel Diseases","id":"ITEM-1","issued":{"date-parts":[["2015"]]},"title":"Strong upregulation of AIM2 and IFI16 inflammasomes in the mucosa of patients with active inflammatory bowel disease","type":"article-journal"},"uris":["http://www.mendeley.com/documents/?uuid=a368459c-fc86-46fe-8183-eb3449edb451"]}],"mendeley":{"formattedCitation":"(Vanhove et al., 2015)","plainTextFormattedCitation":"(Vanhove et al., 2015)"},"properties":{"noteIndex":0},"schema":"https://github.com/citation-style-language/schema/raw/master/csl-citation.json"}</w:instrText>
      </w:r>
      <w:r w:rsidR="00D105E0" w:rsidRPr="008D0FBA">
        <w:rPr>
          <w:rFonts w:cstheme="minorHAnsi"/>
          <w:bCs/>
          <w:sz w:val="20"/>
          <w:szCs w:val="20"/>
          <w:lang w:val="en-GB"/>
        </w:rPr>
        <w:fldChar w:fldCharType="separate"/>
      </w:r>
      <w:r w:rsidR="00D105E0" w:rsidRPr="00440222">
        <w:rPr>
          <w:rFonts w:cstheme="minorHAnsi"/>
          <w:bCs/>
          <w:noProof/>
          <w:sz w:val="20"/>
          <w:szCs w:val="20"/>
          <w:lang w:val="en-GB"/>
        </w:rPr>
        <w:t>(Vanhove et al., 2015)</w:t>
      </w:r>
      <w:r w:rsidR="00D105E0" w:rsidRPr="008D0FBA">
        <w:rPr>
          <w:rFonts w:cstheme="minorHAnsi"/>
          <w:bCs/>
          <w:sz w:val="20"/>
          <w:szCs w:val="20"/>
          <w:lang w:val="en-GB"/>
        </w:rPr>
        <w:fldChar w:fldCharType="end"/>
      </w:r>
      <w:r w:rsidR="00D105E0" w:rsidRPr="00440222">
        <w:rPr>
          <w:rFonts w:cstheme="minorHAnsi"/>
          <w:bCs/>
          <w:sz w:val="20"/>
          <w:szCs w:val="20"/>
          <w:lang w:val="en-GB"/>
        </w:rPr>
        <w:t xml:space="preserve">. Each symbol represents expression data from one individual patient, horizontal bars denote median values. One-way ANOVA </w:t>
      </w:r>
      <w:r w:rsidR="00D105E0" w:rsidRPr="00440222">
        <w:rPr>
          <w:bCs/>
          <w:iCs/>
          <w:sz w:val="20"/>
          <w:szCs w:val="20"/>
        </w:rPr>
        <w:t xml:space="preserve">with Dunnett’s post-hoc test compared to </w:t>
      </w:r>
      <w:r w:rsidR="00D105E0" w:rsidRPr="00440222">
        <w:rPr>
          <w:bCs/>
          <w:sz w:val="20"/>
          <w:szCs w:val="20"/>
        </w:rPr>
        <w:t>healthy samples</w:t>
      </w:r>
      <w:r w:rsidR="00D105E0" w:rsidRPr="00440222">
        <w:rPr>
          <w:rFonts w:cstheme="minorHAnsi"/>
          <w:bCs/>
          <w:sz w:val="20"/>
          <w:szCs w:val="20"/>
          <w:lang w:val="en-GB"/>
        </w:rPr>
        <w:t xml:space="preserve"> (n=8-74).</w:t>
      </w:r>
    </w:p>
    <w:sectPr w:rsidR="000F6729" w:rsidRPr="004402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5E0"/>
    <w:rsid w:val="0001212C"/>
    <w:rsid w:val="00061D03"/>
    <w:rsid w:val="000E5ACC"/>
    <w:rsid w:val="000E6A56"/>
    <w:rsid w:val="000F6729"/>
    <w:rsid w:val="001507C3"/>
    <w:rsid w:val="001B440E"/>
    <w:rsid w:val="0024007F"/>
    <w:rsid w:val="00335959"/>
    <w:rsid w:val="00336C5F"/>
    <w:rsid w:val="00381326"/>
    <w:rsid w:val="003935DE"/>
    <w:rsid w:val="00395A49"/>
    <w:rsid w:val="003B584A"/>
    <w:rsid w:val="00440222"/>
    <w:rsid w:val="005237DD"/>
    <w:rsid w:val="005B2F83"/>
    <w:rsid w:val="006558C8"/>
    <w:rsid w:val="00773C07"/>
    <w:rsid w:val="00800B9A"/>
    <w:rsid w:val="008D0FBA"/>
    <w:rsid w:val="009063B5"/>
    <w:rsid w:val="009A4155"/>
    <w:rsid w:val="00A0043F"/>
    <w:rsid w:val="00AA1DF3"/>
    <w:rsid w:val="00AC5B8A"/>
    <w:rsid w:val="00B303F5"/>
    <w:rsid w:val="00B859D8"/>
    <w:rsid w:val="00C502B2"/>
    <w:rsid w:val="00CA609C"/>
    <w:rsid w:val="00D105E0"/>
    <w:rsid w:val="00D43B2A"/>
    <w:rsid w:val="00E73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377B"/>
  <w15:chartTrackingRefBased/>
  <w15:docId w15:val="{4961DC89-40FB-4CEC-B60C-BD443A46E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5E0"/>
    <w:pPr>
      <w:spacing w:after="0" w:line="276" w:lineRule="auto"/>
    </w:pPr>
    <w:rPr>
      <w:rFonts w:ascii="Palatino Linotype" w:hAnsi="Palatino Linotype"/>
      <w:lang w:val="en-CA"/>
    </w:rPr>
  </w:style>
  <w:style w:type="paragraph" w:styleId="Heading1">
    <w:name w:val="heading 1"/>
    <w:basedOn w:val="Normal"/>
    <w:next w:val="Normal"/>
    <w:link w:val="Heading1Char"/>
    <w:autoRedefine/>
    <w:uiPriority w:val="9"/>
    <w:qFormat/>
    <w:rsid w:val="00B859D8"/>
    <w:pPr>
      <w:keepNext/>
      <w:keepLines/>
      <w:spacing w:before="240" w:line="259" w:lineRule="auto"/>
      <w:jc w:val="both"/>
      <w:outlineLvl w:val="0"/>
    </w:pPr>
    <w:rPr>
      <w:rFonts w:asciiTheme="minorHAnsi" w:eastAsiaTheme="majorEastAsia" w:hAnsiTheme="minorHAnsi" w:cstheme="majorBidi"/>
      <w:b/>
      <w:szCs w:val="32"/>
      <w:lang w:val="en-GB"/>
    </w:rPr>
  </w:style>
  <w:style w:type="paragraph" w:styleId="Heading2">
    <w:name w:val="heading 2"/>
    <w:basedOn w:val="Normal"/>
    <w:next w:val="Normal"/>
    <w:link w:val="Heading2Char"/>
    <w:autoRedefine/>
    <w:uiPriority w:val="9"/>
    <w:semiHidden/>
    <w:unhideWhenUsed/>
    <w:qFormat/>
    <w:rsid w:val="00B859D8"/>
    <w:pPr>
      <w:keepNext/>
      <w:keepLines/>
      <w:spacing w:before="40" w:line="259" w:lineRule="auto"/>
      <w:jc w:val="both"/>
      <w:outlineLvl w:val="1"/>
    </w:pPr>
    <w:rPr>
      <w:rFonts w:asciiTheme="minorHAnsi" w:eastAsiaTheme="majorEastAsia" w:hAnsiTheme="minorHAnsi" w:cstheme="majorBidi"/>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9D8"/>
    <w:rPr>
      <w:rFonts w:eastAsiaTheme="majorEastAsia" w:cstheme="majorBidi"/>
      <w:b/>
      <w:szCs w:val="32"/>
    </w:rPr>
  </w:style>
  <w:style w:type="character" w:customStyle="1" w:styleId="Heading2Char">
    <w:name w:val="Heading 2 Char"/>
    <w:basedOn w:val="DefaultParagraphFont"/>
    <w:link w:val="Heading2"/>
    <w:uiPriority w:val="9"/>
    <w:semiHidden/>
    <w:rsid w:val="00B859D8"/>
    <w:rPr>
      <w:rFonts w:eastAsiaTheme="majorEastAsia" w:cstheme="majorBidi"/>
      <w:szCs w:val="26"/>
    </w:rPr>
  </w:style>
  <w:style w:type="paragraph" w:styleId="Subtitle">
    <w:name w:val="Subtitle"/>
    <w:basedOn w:val="Normal"/>
    <w:next w:val="Normal"/>
    <w:link w:val="SubtitleChar"/>
    <w:autoRedefine/>
    <w:uiPriority w:val="11"/>
    <w:qFormat/>
    <w:rsid w:val="00B859D8"/>
    <w:pPr>
      <w:numPr>
        <w:ilvl w:val="1"/>
      </w:numPr>
      <w:spacing w:after="160" w:line="259" w:lineRule="auto"/>
    </w:pPr>
    <w:rPr>
      <w:rFonts w:asciiTheme="minorHAnsi" w:eastAsiaTheme="minorEastAsia" w:hAnsiTheme="minorHAnsi"/>
      <w:i/>
      <w:color w:val="5A5A5A" w:themeColor="text1" w:themeTint="A5"/>
      <w:spacing w:val="15"/>
      <w:lang w:val="en-GB"/>
    </w:rPr>
  </w:style>
  <w:style w:type="character" w:customStyle="1" w:styleId="SubtitleChar">
    <w:name w:val="Subtitle Char"/>
    <w:basedOn w:val="DefaultParagraphFont"/>
    <w:link w:val="Subtitle"/>
    <w:uiPriority w:val="11"/>
    <w:rsid w:val="00B859D8"/>
    <w:rPr>
      <w:rFonts w:eastAsiaTheme="minorEastAsia"/>
      <w:i/>
      <w:color w:val="5A5A5A" w:themeColor="text1" w:themeTint="A5"/>
      <w:spacing w:val="15"/>
    </w:rPr>
  </w:style>
  <w:style w:type="paragraph" w:customStyle="1" w:styleId="Figurestitles">
    <w:name w:val="Figures titles"/>
    <w:basedOn w:val="Normal"/>
    <w:link w:val="FigurestitlesChar"/>
    <w:autoRedefine/>
    <w:qFormat/>
    <w:rsid w:val="00B859D8"/>
    <w:pPr>
      <w:spacing w:line="240" w:lineRule="auto"/>
      <w:jc w:val="both"/>
    </w:pPr>
    <w:rPr>
      <w:rFonts w:asciiTheme="minorHAnsi" w:hAnsiTheme="minorHAnsi"/>
      <w:sz w:val="20"/>
      <w:lang w:val="en-GB"/>
    </w:rPr>
  </w:style>
  <w:style w:type="character" w:customStyle="1" w:styleId="FigurestitlesChar">
    <w:name w:val="Figures titles Char"/>
    <w:basedOn w:val="DefaultParagraphFont"/>
    <w:link w:val="Figurestitles"/>
    <w:rsid w:val="00B859D8"/>
    <w:rPr>
      <w:sz w:val="20"/>
    </w:rPr>
  </w:style>
  <w:style w:type="character" w:styleId="CommentReference">
    <w:name w:val="annotation reference"/>
    <w:basedOn w:val="DefaultParagraphFont"/>
    <w:uiPriority w:val="99"/>
    <w:semiHidden/>
    <w:unhideWhenUsed/>
    <w:rsid w:val="00D105E0"/>
    <w:rPr>
      <w:sz w:val="16"/>
      <w:szCs w:val="16"/>
    </w:rPr>
  </w:style>
  <w:style w:type="paragraph" w:styleId="CommentText">
    <w:name w:val="annotation text"/>
    <w:basedOn w:val="Normal"/>
    <w:link w:val="CommentTextChar"/>
    <w:uiPriority w:val="99"/>
    <w:unhideWhenUsed/>
    <w:rsid w:val="00D105E0"/>
    <w:pPr>
      <w:spacing w:line="240" w:lineRule="auto"/>
    </w:pPr>
    <w:rPr>
      <w:sz w:val="20"/>
      <w:szCs w:val="20"/>
    </w:rPr>
  </w:style>
  <w:style w:type="character" w:customStyle="1" w:styleId="CommentTextChar">
    <w:name w:val="Comment Text Char"/>
    <w:basedOn w:val="DefaultParagraphFont"/>
    <w:link w:val="CommentText"/>
    <w:uiPriority w:val="99"/>
    <w:rsid w:val="00D105E0"/>
    <w:rPr>
      <w:rFonts w:ascii="Palatino Linotype" w:hAnsi="Palatino Linotype"/>
      <w:sz w:val="20"/>
      <w:szCs w:val="20"/>
      <w:lang w:val="en-CA"/>
    </w:rPr>
  </w:style>
  <w:style w:type="paragraph" w:styleId="BalloonText">
    <w:name w:val="Balloon Text"/>
    <w:basedOn w:val="Normal"/>
    <w:link w:val="BalloonTextChar"/>
    <w:uiPriority w:val="99"/>
    <w:semiHidden/>
    <w:unhideWhenUsed/>
    <w:rsid w:val="00D105E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5E0"/>
    <w:rPr>
      <w:rFonts w:ascii="Segoe UI" w:hAnsi="Segoe UI" w:cs="Segoe UI"/>
      <w:sz w:val="18"/>
      <w:szCs w:val="18"/>
      <w:lang w:val="en-CA"/>
    </w:rPr>
  </w:style>
  <w:style w:type="paragraph" w:styleId="CommentSubject">
    <w:name w:val="annotation subject"/>
    <w:basedOn w:val="CommentText"/>
    <w:next w:val="CommentText"/>
    <w:link w:val="CommentSubjectChar"/>
    <w:uiPriority w:val="99"/>
    <w:semiHidden/>
    <w:unhideWhenUsed/>
    <w:rsid w:val="0001212C"/>
    <w:rPr>
      <w:b/>
      <w:bCs/>
    </w:rPr>
  </w:style>
  <w:style w:type="character" w:customStyle="1" w:styleId="CommentSubjectChar">
    <w:name w:val="Comment Subject Char"/>
    <w:basedOn w:val="CommentTextChar"/>
    <w:link w:val="CommentSubject"/>
    <w:uiPriority w:val="99"/>
    <w:semiHidden/>
    <w:rsid w:val="0001212C"/>
    <w:rPr>
      <w:rFonts w:ascii="Palatino Linotype" w:hAnsi="Palatino Linotype"/>
      <w:b/>
      <w:bCs/>
      <w:sz w:val="20"/>
      <w:szCs w:val="20"/>
      <w:lang w:val="en-CA"/>
    </w:rPr>
  </w:style>
  <w:style w:type="paragraph" w:styleId="ListParagraph">
    <w:name w:val="List Paragraph"/>
    <w:basedOn w:val="Normal"/>
    <w:uiPriority w:val="34"/>
    <w:qFormat/>
    <w:rsid w:val="00C502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9266F-9B6E-4408-8A86-3AEBB154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2397</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Galapagos NV/BV/SASU/GmbH</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Beaurivage</dc:creator>
  <cp:keywords/>
  <dc:description/>
  <cp:lastModifiedBy>Claudia Beaurivage</cp:lastModifiedBy>
  <cp:revision>3</cp:revision>
  <dcterms:created xsi:type="dcterms:W3CDTF">2020-10-20T16:58:00Z</dcterms:created>
  <dcterms:modified xsi:type="dcterms:W3CDTF">2020-10-20T17:06:00Z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http://www.zotero.org/styles/cell-reports</vt:lpwstr>
  </property>
  <property fmtid="{D5CDD505-2E9C-101B-9397-08002B2CF9AE}" pid="11" name="Mendeley Recent Style Name 4_1">
    <vt:lpwstr>Cell Reports</vt:lpwstr>
  </property>
  <property fmtid="{D5CDD505-2E9C-101B-9397-08002B2CF9AE}" pid="12" name="Mendeley Recent Style Id 5_1">
    <vt:lpwstr>http://www.zotero.org/styles/cellular-and-molecular-gastroenterology-and-hepatology</vt:lpwstr>
  </property>
  <property fmtid="{D5CDD505-2E9C-101B-9397-08002B2CF9AE}" pid="13" name="Mendeley Recent Style Name 5_1">
    <vt:lpwstr>Cellular and Molecular Gastroenterology and Hepatology</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ies>
</file>