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C89" w:rsidRPr="00E40C89" w:rsidRDefault="00E40C89" w:rsidP="00E40C89">
      <w:pPr>
        <w:rPr>
          <w:rFonts w:ascii="Arial" w:hAnsi="Arial" w:cs="Arial"/>
        </w:rPr>
      </w:pPr>
      <w:r w:rsidRPr="00E40C89">
        <w:rPr>
          <w:rFonts w:ascii="Arial" w:hAnsi="Arial" w:cs="Arial"/>
          <w:b/>
          <w:bCs/>
        </w:rPr>
        <w:t>Poor oral hygiene and dental caries predict high mortality rate in hemodialysis: A 3-year cohort study</w:t>
      </w:r>
    </w:p>
    <w:p w:rsidR="00E40C89" w:rsidRPr="00E40C89" w:rsidRDefault="00E40C89" w:rsidP="00E40C89">
      <w:pPr>
        <w:rPr>
          <w:rFonts w:ascii="Arial" w:hAnsi="Arial" w:cs="Arial"/>
        </w:rPr>
      </w:pPr>
      <w:r w:rsidRPr="00E40C89">
        <w:rPr>
          <w:rFonts w:ascii="Arial" w:hAnsi="Arial" w:cs="Arial"/>
          <w:b/>
          <w:bCs/>
        </w:rPr>
        <w:t> </w:t>
      </w:r>
    </w:p>
    <w:p w:rsidR="00E40C89" w:rsidRPr="00E40C89" w:rsidRDefault="00E40C89" w:rsidP="00E40C89">
      <w:pPr>
        <w:rPr>
          <w:rFonts w:ascii="Arial" w:hAnsi="Arial" w:cs="Arial"/>
        </w:rPr>
      </w:pPr>
      <w:r w:rsidRPr="00E40C89">
        <w:rPr>
          <w:rFonts w:ascii="Arial" w:hAnsi="Arial" w:cs="Arial"/>
        </w:rPr>
        <w:t>Koji Mizutani, DDS, PhD*</w:t>
      </w:r>
      <w:r w:rsidRPr="00E40C89">
        <w:rPr>
          <w:rFonts w:ascii="Arial" w:hAnsi="Arial" w:cs="Arial"/>
          <w:vertAlign w:val="superscript"/>
        </w:rPr>
        <w:t>1#</w:t>
      </w:r>
      <w:r w:rsidRPr="00E40C89">
        <w:rPr>
          <w:rFonts w:ascii="Arial" w:hAnsi="Arial" w:cs="Arial"/>
        </w:rPr>
        <w:t>, Risako Mikami, DDS, PhD</w:t>
      </w:r>
      <w:r w:rsidRPr="00E40C89">
        <w:rPr>
          <w:rFonts w:ascii="Arial" w:hAnsi="Arial" w:cs="Arial"/>
          <w:vertAlign w:val="superscript"/>
        </w:rPr>
        <w:t>1#</w:t>
      </w:r>
      <w:r w:rsidRPr="00E40C89">
        <w:rPr>
          <w:rFonts w:ascii="Arial" w:hAnsi="Arial" w:cs="Arial"/>
        </w:rPr>
        <w:t xml:space="preserve">, </w:t>
      </w:r>
      <w:proofErr w:type="spellStart"/>
      <w:r w:rsidRPr="00E40C89">
        <w:rPr>
          <w:rFonts w:ascii="Arial" w:hAnsi="Arial" w:cs="Arial"/>
        </w:rPr>
        <w:t>Tomohito</w:t>
      </w:r>
      <w:proofErr w:type="spellEnd"/>
      <w:r w:rsidRPr="00E40C89">
        <w:rPr>
          <w:rFonts w:ascii="Arial" w:hAnsi="Arial" w:cs="Arial"/>
        </w:rPr>
        <w:t xml:space="preserve"> </w:t>
      </w:r>
      <w:proofErr w:type="spellStart"/>
      <w:r w:rsidRPr="00E40C89">
        <w:rPr>
          <w:rFonts w:ascii="Arial" w:hAnsi="Arial" w:cs="Arial"/>
        </w:rPr>
        <w:t>Gohda</w:t>
      </w:r>
      <w:proofErr w:type="spellEnd"/>
      <w:r w:rsidRPr="00E40C89">
        <w:rPr>
          <w:rFonts w:ascii="Arial" w:hAnsi="Arial" w:cs="Arial"/>
        </w:rPr>
        <w:t>, MD, PhD</w:t>
      </w:r>
      <w:r w:rsidRPr="00E40C89">
        <w:rPr>
          <w:rFonts w:ascii="Arial" w:hAnsi="Arial" w:cs="Arial"/>
          <w:vertAlign w:val="superscript"/>
        </w:rPr>
        <w:t>2</w:t>
      </w:r>
      <w:r w:rsidRPr="00E40C89">
        <w:rPr>
          <w:rFonts w:ascii="Arial" w:hAnsi="Arial" w:cs="Arial"/>
        </w:rPr>
        <w:t xml:space="preserve">, </w:t>
      </w:r>
      <w:proofErr w:type="spellStart"/>
      <w:r w:rsidRPr="00E40C89">
        <w:rPr>
          <w:rFonts w:ascii="Arial" w:hAnsi="Arial" w:cs="Arial"/>
        </w:rPr>
        <w:t>Hiromichi</w:t>
      </w:r>
      <w:proofErr w:type="spellEnd"/>
      <w:r w:rsidRPr="00E40C89">
        <w:rPr>
          <w:rFonts w:ascii="Arial" w:hAnsi="Arial" w:cs="Arial"/>
        </w:rPr>
        <w:t xml:space="preserve"> </w:t>
      </w:r>
      <w:proofErr w:type="spellStart"/>
      <w:r w:rsidRPr="00E40C89">
        <w:rPr>
          <w:rFonts w:ascii="Arial" w:hAnsi="Arial" w:cs="Arial"/>
        </w:rPr>
        <w:t>Gotoh</w:t>
      </w:r>
      <w:proofErr w:type="spellEnd"/>
      <w:r w:rsidRPr="00E40C89">
        <w:rPr>
          <w:rFonts w:ascii="Arial" w:hAnsi="Arial" w:cs="Arial"/>
        </w:rPr>
        <w:t>, MD, PhD</w:t>
      </w:r>
      <w:r w:rsidRPr="00E40C89">
        <w:rPr>
          <w:rFonts w:ascii="Arial" w:hAnsi="Arial" w:cs="Arial"/>
          <w:vertAlign w:val="superscript"/>
        </w:rPr>
        <w:t>3</w:t>
      </w:r>
      <w:r w:rsidRPr="00E40C89">
        <w:rPr>
          <w:rFonts w:ascii="Arial" w:hAnsi="Arial" w:cs="Arial"/>
        </w:rPr>
        <w:t>, Norio Aoyama, DDS, PhD</w:t>
      </w:r>
      <w:r w:rsidRPr="00E40C89">
        <w:rPr>
          <w:rFonts w:ascii="Arial" w:hAnsi="Arial" w:cs="Arial"/>
          <w:vertAlign w:val="superscript"/>
        </w:rPr>
        <w:t>4</w:t>
      </w:r>
      <w:r w:rsidRPr="00E40C89">
        <w:rPr>
          <w:rFonts w:ascii="Arial" w:hAnsi="Arial" w:cs="Arial"/>
        </w:rPr>
        <w:t>, Takanori Matsuura, DDS, PhD</w:t>
      </w:r>
      <w:r w:rsidRPr="00E40C89">
        <w:rPr>
          <w:rFonts w:ascii="Arial" w:hAnsi="Arial" w:cs="Arial"/>
          <w:vertAlign w:val="superscript"/>
        </w:rPr>
        <w:t>1</w:t>
      </w:r>
      <w:r w:rsidRPr="00E40C89">
        <w:rPr>
          <w:rFonts w:ascii="Arial" w:hAnsi="Arial" w:cs="Arial"/>
        </w:rPr>
        <w:t>, Daisuke Kido, DDS, PhD</w:t>
      </w:r>
      <w:r w:rsidRPr="00E40C89">
        <w:rPr>
          <w:rFonts w:ascii="Arial" w:hAnsi="Arial" w:cs="Arial"/>
          <w:vertAlign w:val="superscript"/>
        </w:rPr>
        <w:t>1</w:t>
      </w:r>
      <w:r w:rsidRPr="00E40C89">
        <w:rPr>
          <w:rFonts w:ascii="Arial" w:hAnsi="Arial" w:cs="Arial"/>
        </w:rPr>
        <w:t>, Kohei Takeda, DDS, PhD</w:t>
      </w:r>
      <w:r w:rsidRPr="00E40C89">
        <w:rPr>
          <w:rFonts w:ascii="Arial" w:hAnsi="Arial" w:cs="Arial"/>
          <w:vertAlign w:val="superscript"/>
        </w:rPr>
        <w:t>1</w:t>
      </w:r>
      <w:r w:rsidRPr="00E40C89">
        <w:rPr>
          <w:rFonts w:ascii="Arial" w:hAnsi="Arial" w:cs="Arial"/>
        </w:rPr>
        <w:t>, Yuichi Izumi, DDS, PhD</w:t>
      </w:r>
      <w:r w:rsidRPr="00E40C89">
        <w:rPr>
          <w:rFonts w:ascii="Arial" w:hAnsi="Arial" w:cs="Arial"/>
          <w:vertAlign w:val="superscript"/>
        </w:rPr>
        <w:t>1,5</w:t>
      </w:r>
      <w:r w:rsidRPr="00E40C89">
        <w:rPr>
          <w:rFonts w:ascii="Arial" w:hAnsi="Arial" w:cs="Arial"/>
        </w:rPr>
        <w:t>, Yoshiyuki Sasaki, DDS, PhD</w:t>
      </w:r>
      <w:r w:rsidRPr="00E40C89">
        <w:rPr>
          <w:rFonts w:ascii="Arial" w:hAnsi="Arial" w:cs="Arial"/>
          <w:vertAlign w:val="superscript"/>
        </w:rPr>
        <w:t>6</w:t>
      </w:r>
      <w:r w:rsidRPr="00E40C89">
        <w:rPr>
          <w:rFonts w:ascii="Arial" w:hAnsi="Arial" w:cs="Arial"/>
        </w:rPr>
        <w:t>, and Takanori Iwata, DDS, PhD</w:t>
      </w:r>
      <w:r w:rsidRPr="00E40C89">
        <w:rPr>
          <w:rFonts w:ascii="Arial" w:hAnsi="Arial" w:cs="Arial"/>
          <w:vertAlign w:val="superscript"/>
        </w:rPr>
        <w:t>1</w:t>
      </w:r>
    </w:p>
    <w:p w:rsidR="00E04BE7" w:rsidRDefault="00E04BE7"/>
    <w:p w:rsidR="00F9415D" w:rsidRDefault="00F9415D"/>
    <w:p w:rsidR="00F9415D" w:rsidRPr="00E40C89" w:rsidRDefault="00F9415D">
      <w:r w:rsidRPr="005A7F6D">
        <w:rPr>
          <w:rFonts w:ascii="Times New Roman" w:hAnsi="Times New Roman" w:cs="Times New Roman"/>
          <w:b/>
          <w:sz w:val="24"/>
          <w:szCs w:val="24"/>
        </w:rPr>
        <w:t xml:space="preserve">Supplemental Figure 1. </w:t>
      </w:r>
      <w:r w:rsidRPr="005A7F6D">
        <w:rPr>
          <w:rFonts w:ascii="Times New Roman" w:hAnsi="Times New Roman" w:cs="Times New Roman"/>
          <w:sz w:val="24"/>
          <w:szCs w:val="24"/>
        </w:rPr>
        <w:t xml:space="preserve">The proportional hazards assumption test for multivariate model 3. The proportional hazards assumption was confirmed using graphical diagnostics based on scaled </w:t>
      </w:r>
      <w:proofErr w:type="spellStart"/>
      <w:r w:rsidRPr="005A7F6D">
        <w:rPr>
          <w:rFonts w:ascii="Times New Roman" w:hAnsi="Times New Roman" w:cs="Times New Roman"/>
          <w:sz w:val="24"/>
          <w:szCs w:val="24"/>
        </w:rPr>
        <w:t>Schoenfeld</w:t>
      </w:r>
      <w:proofErr w:type="spellEnd"/>
      <w:r w:rsidRPr="005A7F6D">
        <w:rPr>
          <w:rFonts w:ascii="Times New Roman" w:hAnsi="Times New Roman" w:cs="Times New Roman"/>
          <w:sz w:val="24"/>
          <w:szCs w:val="24"/>
        </w:rPr>
        <w:t xml:space="preserve"> residuals and log-log survival curves.</w:t>
      </w:r>
      <w:bookmarkStart w:id="0" w:name="_GoBack"/>
      <w:bookmarkEnd w:id="0"/>
    </w:p>
    <w:sectPr w:rsidR="00F9415D" w:rsidRPr="00E40C8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Arial Unicode MS"/>
    <w:charset w:val="80"/>
    <w:family w:val="modern"/>
    <w:pitch w:val="variable"/>
    <w:sig w:usb0="00000000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C89"/>
    <w:rsid w:val="00E04BE7"/>
    <w:rsid w:val="00E40C89"/>
    <w:rsid w:val="00F9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C6AA31E-D90B-47D5-87EB-4B674812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7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mizuperi@tmd.ac.jp</dc:creator>
  <cp:keywords/>
  <dc:description/>
  <cp:lastModifiedBy>Catherin Dayana D.</cp:lastModifiedBy>
  <cp:revision>2</cp:revision>
  <dcterms:created xsi:type="dcterms:W3CDTF">2020-11-27T02:47:00Z</dcterms:created>
  <dcterms:modified xsi:type="dcterms:W3CDTF">2020-12-01T04:33:00Z</dcterms:modified>
</cp:coreProperties>
</file>