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0F6F" w14:textId="77777777" w:rsidR="00490B9B" w:rsidRPr="00D66347" w:rsidRDefault="00490B9B" w:rsidP="00490B9B">
      <w:pPr>
        <w:spacing w:after="120" w:line="240" w:lineRule="auto"/>
        <w:jc w:val="both"/>
        <w:rPr>
          <w:rFonts w:ascii="Times New Roman" w:hAnsi="Times New Roman" w:cs="Times New Roman"/>
          <w:sz w:val="20"/>
          <w:szCs w:val="20"/>
        </w:rPr>
      </w:pPr>
      <w:r w:rsidRPr="00D66347">
        <w:rPr>
          <w:rFonts w:ascii="Times New Roman" w:hAnsi="Times New Roman" w:cs="Times New Roman"/>
          <w:b/>
          <w:sz w:val="20"/>
          <w:szCs w:val="20"/>
        </w:rPr>
        <w:t xml:space="preserve">Cyclophosphamide arrhythmogenicity testing using human-induced pluripotent stem cell-derived cardiomyocytes </w:t>
      </w:r>
    </w:p>
    <w:p w14:paraId="485001F8" w14:textId="77777777" w:rsidR="00490B9B" w:rsidRPr="00D66347" w:rsidRDefault="00490B9B" w:rsidP="00490B9B">
      <w:pPr>
        <w:spacing w:after="120" w:line="240" w:lineRule="auto"/>
        <w:jc w:val="both"/>
        <w:rPr>
          <w:rFonts w:ascii="Times New Roman" w:hAnsi="Times New Roman" w:cs="Times New Roman"/>
          <w:sz w:val="20"/>
          <w:szCs w:val="20"/>
        </w:rPr>
      </w:pPr>
      <w:proofErr w:type="spellStart"/>
      <w:r w:rsidRPr="00D66347">
        <w:rPr>
          <w:rFonts w:ascii="Times New Roman" w:hAnsi="Times New Roman" w:cs="Times New Roman"/>
          <w:sz w:val="20"/>
          <w:szCs w:val="20"/>
        </w:rPr>
        <w:t>Podgurskaya</w:t>
      </w:r>
      <w:proofErr w:type="spellEnd"/>
      <w:r w:rsidRPr="00D66347">
        <w:rPr>
          <w:rFonts w:ascii="Times New Roman" w:hAnsi="Times New Roman" w:cs="Times New Roman"/>
          <w:sz w:val="20"/>
          <w:szCs w:val="20"/>
        </w:rPr>
        <w:t xml:space="preserve"> A.D.</w:t>
      </w:r>
      <w:r w:rsidRPr="00D66347">
        <w:rPr>
          <w:rFonts w:ascii="Times New Roman" w:hAnsi="Times New Roman" w:cs="Times New Roman"/>
          <w:sz w:val="20"/>
          <w:szCs w:val="20"/>
          <w:vertAlign w:val="superscript"/>
        </w:rPr>
        <w:t>1</w:t>
      </w:r>
      <w:r w:rsidRPr="00D66347">
        <w:rPr>
          <w:rFonts w:ascii="Times New Roman" w:hAnsi="Times New Roman" w:cs="Times New Roman"/>
          <w:sz w:val="20"/>
          <w:szCs w:val="20"/>
        </w:rPr>
        <w:t xml:space="preserve">, </w:t>
      </w:r>
      <w:proofErr w:type="spellStart"/>
      <w:r w:rsidRPr="00D66347">
        <w:rPr>
          <w:rFonts w:ascii="Times New Roman" w:hAnsi="Times New Roman" w:cs="Times New Roman"/>
          <w:sz w:val="20"/>
          <w:szCs w:val="20"/>
        </w:rPr>
        <w:t>Slotvitsky</w:t>
      </w:r>
      <w:proofErr w:type="spellEnd"/>
      <w:r w:rsidRPr="00D66347">
        <w:rPr>
          <w:rFonts w:ascii="Times New Roman" w:hAnsi="Times New Roman" w:cs="Times New Roman"/>
          <w:sz w:val="20"/>
          <w:szCs w:val="20"/>
        </w:rPr>
        <w:t xml:space="preserve"> M.M.</w:t>
      </w:r>
      <w:r w:rsidRPr="00D66347">
        <w:rPr>
          <w:rFonts w:ascii="Times New Roman" w:hAnsi="Times New Roman" w:cs="Times New Roman"/>
          <w:sz w:val="20"/>
          <w:szCs w:val="20"/>
          <w:vertAlign w:val="superscript"/>
        </w:rPr>
        <w:t>1</w:t>
      </w:r>
      <w:r w:rsidRPr="00D66347">
        <w:rPr>
          <w:rFonts w:ascii="Times New Roman" w:hAnsi="Times New Roman" w:cs="Times New Roman"/>
          <w:sz w:val="20"/>
          <w:szCs w:val="20"/>
        </w:rPr>
        <w:t xml:space="preserve">, </w:t>
      </w:r>
      <w:proofErr w:type="spellStart"/>
      <w:r w:rsidRPr="00D66347">
        <w:rPr>
          <w:rFonts w:ascii="Times New Roman" w:hAnsi="Times New Roman" w:cs="Times New Roman"/>
          <w:sz w:val="20"/>
          <w:szCs w:val="20"/>
        </w:rPr>
        <w:t>Tsvelaya</w:t>
      </w:r>
      <w:proofErr w:type="spellEnd"/>
      <w:r w:rsidRPr="00D66347">
        <w:rPr>
          <w:rFonts w:ascii="Times New Roman" w:hAnsi="Times New Roman" w:cs="Times New Roman"/>
          <w:sz w:val="20"/>
          <w:szCs w:val="20"/>
        </w:rPr>
        <w:t xml:space="preserve"> V.A.</w:t>
      </w:r>
      <w:r w:rsidRPr="00D66347">
        <w:rPr>
          <w:rFonts w:ascii="Times New Roman" w:hAnsi="Times New Roman" w:cs="Times New Roman"/>
          <w:sz w:val="20"/>
          <w:szCs w:val="20"/>
          <w:vertAlign w:val="superscript"/>
        </w:rPr>
        <w:t>1</w:t>
      </w:r>
      <w:r w:rsidRPr="00D66347">
        <w:rPr>
          <w:rFonts w:ascii="Times New Roman" w:hAnsi="Times New Roman" w:cs="Times New Roman"/>
          <w:sz w:val="20"/>
          <w:szCs w:val="20"/>
        </w:rPr>
        <w:t xml:space="preserve">, </w:t>
      </w:r>
      <w:proofErr w:type="spellStart"/>
      <w:r w:rsidRPr="00D66347">
        <w:rPr>
          <w:rFonts w:ascii="Times New Roman" w:hAnsi="Times New Roman" w:cs="Times New Roman"/>
          <w:sz w:val="20"/>
          <w:szCs w:val="20"/>
        </w:rPr>
        <w:t>Frolova</w:t>
      </w:r>
      <w:proofErr w:type="spellEnd"/>
      <w:r w:rsidRPr="00D66347">
        <w:rPr>
          <w:rFonts w:ascii="Times New Roman" w:hAnsi="Times New Roman" w:cs="Times New Roman"/>
          <w:sz w:val="20"/>
          <w:szCs w:val="20"/>
        </w:rPr>
        <w:t xml:space="preserve"> S.R.</w:t>
      </w:r>
      <w:r w:rsidRPr="00D66347">
        <w:rPr>
          <w:rFonts w:ascii="Times New Roman" w:hAnsi="Times New Roman" w:cs="Times New Roman"/>
          <w:sz w:val="20"/>
          <w:szCs w:val="20"/>
          <w:vertAlign w:val="superscript"/>
        </w:rPr>
        <w:t>1</w:t>
      </w:r>
      <w:r w:rsidRPr="00D66347">
        <w:rPr>
          <w:rFonts w:ascii="Times New Roman" w:hAnsi="Times New Roman" w:cs="Times New Roman"/>
          <w:sz w:val="20"/>
          <w:szCs w:val="20"/>
        </w:rPr>
        <w:t>, Romanova S.G.</w:t>
      </w:r>
      <w:r w:rsidRPr="00D66347">
        <w:rPr>
          <w:rFonts w:ascii="Times New Roman" w:hAnsi="Times New Roman" w:cs="Times New Roman"/>
          <w:sz w:val="20"/>
          <w:szCs w:val="20"/>
          <w:vertAlign w:val="superscript"/>
        </w:rPr>
        <w:t>1</w:t>
      </w:r>
      <w:r w:rsidRPr="00D66347">
        <w:rPr>
          <w:rFonts w:ascii="Times New Roman" w:hAnsi="Times New Roman" w:cs="Times New Roman"/>
          <w:sz w:val="20"/>
          <w:szCs w:val="20"/>
        </w:rPr>
        <w:t xml:space="preserve">, </w:t>
      </w:r>
      <w:proofErr w:type="spellStart"/>
      <w:r w:rsidRPr="00D66347">
        <w:rPr>
          <w:rFonts w:ascii="Times New Roman" w:hAnsi="Times New Roman" w:cs="Times New Roman"/>
          <w:sz w:val="20"/>
          <w:szCs w:val="20"/>
        </w:rPr>
        <w:t>Balashov</w:t>
      </w:r>
      <w:proofErr w:type="spellEnd"/>
      <w:r w:rsidRPr="00D66347">
        <w:rPr>
          <w:rFonts w:ascii="Times New Roman" w:hAnsi="Times New Roman" w:cs="Times New Roman"/>
          <w:sz w:val="20"/>
          <w:szCs w:val="20"/>
        </w:rPr>
        <w:t xml:space="preserve"> V.A.</w:t>
      </w:r>
      <w:r w:rsidRPr="00D66347">
        <w:rPr>
          <w:rFonts w:ascii="Times New Roman" w:hAnsi="Times New Roman" w:cs="Times New Roman"/>
          <w:sz w:val="20"/>
          <w:szCs w:val="20"/>
          <w:vertAlign w:val="superscript"/>
        </w:rPr>
        <w:t>1</w:t>
      </w:r>
      <w:r w:rsidRPr="00D66347">
        <w:rPr>
          <w:rFonts w:ascii="Times New Roman" w:hAnsi="Times New Roman" w:cs="Times New Roman"/>
          <w:sz w:val="20"/>
          <w:szCs w:val="20"/>
        </w:rPr>
        <w:t xml:space="preserve">, </w:t>
      </w:r>
      <w:proofErr w:type="spellStart"/>
      <w:r w:rsidRPr="00D66347">
        <w:rPr>
          <w:rFonts w:ascii="Times New Roman" w:hAnsi="Times New Roman" w:cs="Times New Roman"/>
          <w:sz w:val="20"/>
          <w:szCs w:val="20"/>
        </w:rPr>
        <w:t>Agladze</w:t>
      </w:r>
      <w:proofErr w:type="spellEnd"/>
      <w:r w:rsidRPr="00D66347">
        <w:rPr>
          <w:rFonts w:ascii="Times New Roman" w:hAnsi="Times New Roman" w:cs="Times New Roman"/>
          <w:sz w:val="20"/>
          <w:szCs w:val="20"/>
        </w:rPr>
        <w:t xml:space="preserve"> K.I.</w:t>
      </w:r>
      <w:r w:rsidRPr="00D66347">
        <w:rPr>
          <w:rFonts w:ascii="Times New Roman" w:hAnsi="Times New Roman" w:cs="Times New Roman"/>
          <w:sz w:val="20"/>
          <w:szCs w:val="20"/>
          <w:vertAlign w:val="superscript"/>
        </w:rPr>
        <w:t>1*</w:t>
      </w:r>
    </w:p>
    <w:p w14:paraId="40686F78" w14:textId="77777777" w:rsidR="00490B9B" w:rsidRPr="00D66347" w:rsidRDefault="00490B9B" w:rsidP="00490B9B">
      <w:pPr>
        <w:spacing w:after="120" w:line="240" w:lineRule="auto"/>
        <w:jc w:val="both"/>
        <w:rPr>
          <w:rFonts w:ascii="Times New Roman" w:hAnsi="Times New Roman" w:cs="Times New Roman"/>
          <w:sz w:val="20"/>
          <w:szCs w:val="20"/>
        </w:rPr>
      </w:pPr>
      <w:r w:rsidRPr="00D66347">
        <w:rPr>
          <w:rFonts w:ascii="Times New Roman" w:hAnsi="Times New Roman" w:cs="Times New Roman"/>
          <w:sz w:val="20"/>
          <w:szCs w:val="20"/>
        </w:rPr>
        <w:t>1.</w:t>
      </w:r>
      <w:r w:rsidRPr="00D66347">
        <w:rPr>
          <w:rFonts w:ascii="Times New Roman" w:hAnsi="Times New Roman" w:cs="Times New Roman"/>
          <w:sz w:val="20"/>
          <w:szCs w:val="20"/>
        </w:rPr>
        <w:tab/>
        <w:t>Moscow Institute of Physics and Technology, Moscow, Russia</w:t>
      </w:r>
    </w:p>
    <w:p w14:paraId="01892969" w14:textId="77777777" w:rsidR="00B633E5" w:rsidRPr="00D66347" w:rsidRDefault="00B633E5" w:rsidP="00B633E5">
      <w:pPr>
        <w:spacing w:after="120" w:line="240" w:lineRule="auto"/>
        <w:jc w:val="both"/>
        <w:rPr>
          <w:rFonts w:ascii="Times New Roman" w:hAnsi="Times New Roman" w:cs="Times New Roman"/>
          <w:b/>
          <w:sz w:val="20"/>
          <w:szCs w:val="20"/>
        </w:rPr>
      </w:pPr>
      <w:r w:rsidRPr="00D66347">
        <w:rPr>
          <w:rFonts w:ascii="Times New Roman" w:hAnsi="Times New Roman" w:cs="Times New Roman"/>
          <w:sz w:val="20"/>
          <w:szCs w:val="20"/>
          <w:vertAlign w:val="superscript"/>
        </w:rPr>
        <w:t>*</w:t>
      </w:r>
      <w:r w:rsidRPr="00D66347">
        <w:rPr>
          <w:rFonts w:ascii="Times New Roman" w:hAnsi="Times New Roman" w:cs="Times New Roman"/>
          <w:sz w:val="20"/>
          <w:szCs w:val="20"/>
        </w:rPr>
        <w:t xml:space="preserve">Corresponding author: </w:t>
      </w:r>
      <w:hyperlink r:id="rId5" w:history="1">
        <w:r w:rsidRPr="00D66347">
          <w:rPr>
            <w:rStyle w:val="a3"/>
            <w:rFonts w:ascii="Times New Roman" w:hAnsi="Times New Roman" w:cs="Times New Roman"/>
            <w:sz w:val="20"/>
            <w:szCs w:val="20"/>
          </w:rPr>
          <w:t>agladze@yahoo.com</w:t>
        </w:r>
      </w:hyperlink>
      <w:r w:rsidRPr="00D66347">
        <w:rPr>
          <w:rFonts w:ascii="Times New Roman" w:hAnsi="Times New Roman" w:cs="Times New Roman"/>
          <w:sz w:val="20"/>
          <w:szCs w:val="20"/>
        </w:rPr>
        <w:t>, +7 (965) 403-26-37, +7 (495) 408-79-96</w:t>
      </w:r>
    </w:p>
    <w:p w14:paraId="06065A52" w14:textId="77777777" w:rsidR="00490B9B" w:rsidRPr="00D66347" w:rsidRDefault="00490B9B" w:rsidP="00490B9B">
      <w:pPr>
        <w:spacing w:line="240" w:lineRule="auto"/>
        <w:rPr>
          <w:rFonts w:ascii="Times New Roman" w:hAnsi="Times New Roman" w:cs="Times New Roman"/>
          <w:b/>
          <w:sz w:val="20"/>
          <w:szCs w:val="20"/>
        </w:rPr>
      </w:pPr>
    </w:p>
    <w:p w14:paraId="3CC39F9B" w14:textId="2D3345D5" w:rsidR="00490B9B" w:rsidRPr="00D66347" w:rsidRDefault="00490B9B" w:rsidP="00490B9B">
      <w:pPr>
        <w:spacing w:line="240" w:lineRule="auto"/>
        <w:rPr>
          <w:rFonts w:ascii="Times New Roman" w:hAnsi="Times New Roman" w:cs="Times New Roman"/>
          <w:b/>
          <w:sz w:val="20"/>
          <w:szCs w:val="20"/>
        </w:rPr>
      </w:pPr>
      <w:r w:rsidRPr="00D66347">
        <w:rPr>
          <w:rFonts w:ascii="Times New Roman" w:hAnsi="Times New Roman" w:cs="Times New Roman"/>
          <w:b/>
          <w:sz w:val="20"/>
          <w:szCs w:val="20"/>
        </w:rPr>
        <w:t>Supplementary materials</w:t>
      </w:r>
    </w:p>
    <w:p w14:paraId="32604B50" w14:textId="6BD93DA3" w:rsidR="00051153" w:rsidRPr="00D66347" w:rsidRDefault="00051153" w:rsidP="00051153">
      <w:pPr>
        <w:spacing w:after="0" w:line="240" w:lineRule="auto"/>
        <w:rPr>
          <w:rFonts w:ascii="Times New Roman" w:hAnsi="Times New Roman" w:cs="Times New Roman"/>
          <w:sz w:val="20"/>
          <w:szCs w:val="20"/>
        </w:rPr>
      </w:pPr>
      <w:r w:rsidRPr="00D66347">
        <w:rPr>
          <w:rFonts w:ascii="Times New Roman" w:hAnsi="Times New Roman" w:cs="Times New Roman"/>
          <w:noProof/>
          <w:sz w:val="20"/>
          <w:szCs w:val="20"/>
        </w:rPr>
        <w:drawing>
          <wp:inline distT="0" distB="0" distL="0" distR="0" wp14:anchorId="6D034AFA" wp14:editId="08E8F3AF">
            <wp:extent cx="5286375" cy="13525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86375" cy="1352550"/>
                    </a:xfrm>
                    <a:prstGeom prst="rect">
                      <a:avLst/>
                    </a:prstGeom>
                    <a:noFill/>
                    <a:ln>
                      <a:noFill/>
                    </a:ln>
                  </pic:spPr>
                </pic:pic>
              </a:graphicData>
            </a:graphic>
          </wp:inline>
        </w:drawing>
      </w:r>
    </w:p>
    <w:p w14:paraId="33360485" w14:textId="0E79628C" w:rsidR="00051153" w:rsidRPr="00D66347" w:rsidRDefault="00F4514A" w:rsidP="00051153">
      <w:pPr>
        <w:spacing w:after="0" w:line="240" w:lineRule="auto"/>
      </w:pPr>
      <w:r w:rsidRPr="00D66347">
        <w:rPr>
          <w:rFonts w:ascii="Times New Roman" w:hAnsi="Times New Roman" w:cs="Times New Roman"/>
          <w:b/>
          <w:bCs/>
          <w:sz w:val="20"/>
          <w:szCs w:val="20"/>
        </w:rPr>
        <w:t xml:space="preserve">Supplementary </w:t>
      </w:r>
      <w:r w:rsidR="00051153" w:rsidRPr="00D66347">
        <w:rPr>
          <w:rFonts w:ascii="Times New Roman" w:hAnsi="Times New Roman" w:cs="Times New Roman"/>
          <w:b/>
          <w:bCs/>
          <w:sz w:val="20"/>
          <w:szCs w:val="20"/>
        </w:rPr>
        <w:t>Figure 1.</w:t>
      </w:r>
      <w:r w:rsidR="00051153" w:rsidRPr="00D66347">
        <w:rPr>
          <w:rFonts w:ascii="Times New Roman" w:hAnsi="Times New Roman" w:cs="Times New Roman"/>
          <w:sz w:val="20"/>
          <w:szCs w:val="20"/>
        </w:rPr>
        <w:t xml:space="preserve"> The principal scheme of re-entry formation on the standard linear obstacle in the cardiac tissue </w:t>
      </w:r>
      <w:r w:rsidR="00051153" w:rsidRPr="00D66347">
        <w:rPr>
          <w:rFonts w:ascii="Times New Roman" w:hAnsi="Times New Roman" w:cs="Times New Roman"/>
          <w:i/>
          <w:iCs/>
          <w:sz w:val="20"/>
          <w:szCs w:val="20"/>
        </w:rPr>
        <w:t>in vitro</w:t>
      </w:r>
      <w:r w:rsidR="00051153" w:rsidRPr="00D66347">
        <w:rPr>
          <w:rFonts w:ascii="Times New Roman" w:hAnsi="Times New Roman" w:cs="Times New Roman"/>
          <w:sz w:val="20"/>
          <w:szCs w:val="20"/>
        </w:rPr>
        <w:t>. Black circle corresponds to the border of the sample</w:t>
      </w:r>
      <w:r w:rsidR="0019046C" w:rsidRPr="00D66347">
        <w:rPr>
          <w:rFonts w:ascii="Times New Roman" w:hAnsi="Times New Roman" w:cs="Times New Roman"/>
          <w:sz w:val="20"/>
          <w:szCs w:val="20"/>
        </w:rPr>
        <w:t xml:space="preserve"> (i.e., a Petri dish)</w:t>
      </w:r>
      <w:r w:rsidR="00051153" w:rsidRPr="00D66347">
        <w:rPr>
          <w:rFonts w:ascii="Times New Roman" w:hAnsi="Times New Roman" w:cs="Times New Roman"/>
          <w:sz w:val="20"/>
          <w:szCs w:val="20"/>
        </w:rPr>
        <w:t xml:space="preserve">, black line corresponds to the unexcitable obstacle, grey curves indicate the excitation wave propagation front. (a) Successful propagation </w:t>
      </w:r>
      <w:r w:rsidR="0019046C" w:rsidRPr="00D66347">
        <w:rPr>
          <w:rFonts w:ascii="Times New Roman" w:hAnsi="Times New Roman" w:cs="Times New Roman"/>
          <w:sz w:val="20"/>
          <w:szCs w:val="20"/>
        </w:rPr>
        <w:t>around</w:t>
      </w:r>
      <w:r w:rsidR="00051153" w:rsidRPr="00D66347">
        <w:rPr>
          <w:rFonts w:ascii="Times New Roman" w:hAnsi="Times New Roman" w:cs="Times New Roman"/>
          <w:sz w:val="20"/>
          <w:szCs w:val="20"/>
        </w:rPr>
        <w:t xml:space="preserve"> a standard linear obstacle</w:t>
      </w:r>
      <w:r w:rsidR="0019046C" w:rsidRPr="00D66347">
        <w:rPr>
          <w:rFonts w:ascii="Times New Roman" w:hAnsi="Times New Roman" w:cs="Times New Roman"/>
          <w:sz w:val="20"/>
          <w:szCs w:val="20"/>
        </w:rPr>
        <w:t xml:space="preserve"> without re-entry formation</w:t>
      </w:r>
      <w:r w:rsidR="00051153" w:rsidRPr="00D66347">
        <w:rPr>
          <w:rFonts w:ascii="Times New Roman" w:hAnsi="Times New Roman" w:cs="Times New Roman"/>
          <w:sz w:val="20"/>
          <w:szCs w:val="20"/>
        </w:rPr>
        <w:t xml:space="preserve">; (b) The excitation wave front </w:t>
      </w:r>
      <w:proofErr w:type="gramStart"/>
      <w:r w:rsidR="00051153" w:rsidRPr="00D66347">
        <w:rPr>
          <w:rFonts w:ascii="Times New Roman" w:hAnsi="Times New Roman" w:cs="Times New Roman"/>
          <w:sz w:val="20"/>
          <w:szCs w:val="20"/>
        </w:rPr>
        <w:t>breaks</w:t>
      </w:r>
      <w:proofErr w:type="gramEnd"/>
      <w:r w:rsidR="00051153" w:rsidRPr="00D66347">
        <w:rPr>
          <w:rFonts w:ascii="Times New Roman" w:hAnsi="Times New Roman" w:cs="Times New Roman"/>
          <w:sz w:val="20"/>
          <w:szCs w:val="20"/>
        </w:rPr>
        <w:t xml:space="preserve"> o</w:t>
      </w:r>
      <w:r w:rsidR="00DB295D" w:rsidRPr="00D66347">
        <w:rPr>
          <w:rFonts w:ascii="Times New Roman" w:hAnsi="Times New Roman" w:cs="Times New Roman"/>
          <w:sz w:val="20"/>
          <w:szCs w:val="20"/>
        </w:rPr>
        <w:t>n</w:t>
      </w:r>
      <w:r w:rsidR="00051153" w:rsidRPr="00D66347">
        <w:rPr>
          <w:rFonts w:ascii="Times New Roman" w:hAnsi="Times New Roman" w:cs="Times New Roman"/>
          <w:sz w:val="20"/>
          <w:szCs w:val="20"/>
        </w:rPr>
        <w:t xml:space="preserve"> the obstacle</w:t>
      </w:r>
      <w:r w:rsidR="0019046C" w:rsidRPr="00D66347">
        <w:rPr>
          <w:rFonts w:ascii="Times New Roman" w:hAnsi="Times New Roman" w:cs="Times New Roman"/>
          <w:sz w:val="20"/>
          <w:szCs w:val="20"/>
        </w:rPr>
        <w:t xml:space="preserve"> and forms re-entry.</w:t>
      </w:r>
      <w:r w:rsidR="00051153" w:rsidRPr="00D66347">
        <w:rPr>
          <w:rFonts w:ascii="Times New Roman" w:hAnsi="Times New Roman" w:cs="Times New Roman"/>
          <w:sz w:val="20"/>
          <w:szCs w:val="20"/>
        </w:rPr>
        <w:t xml:space="preserve"> </w:t>
      </w:r>
    </w:p>
    <w:p w14:paraId="230AB660" w14:textId="77777777" w:rsidR="00051153" w:rsidRPr="00D66347" w:rsidRDefault="00051153" w:rsidP="00490B9B">
      <w:pPr>
        <w:spacing w:line="240" w:lineRule="auto"/>
        <w:rPr>
          <w:rFonts w:ascii="Times New Roman" w:hAnsi="Times New Roman" w:cs="Times New Roman"/>
          <w:b/>
          <w:sz w:val="20"/>
          <w:szCs w:val="20"/>
        </w:rPr>
      </w:pPr>
    </w:p>
    <w:p w14:paraId="34360D05" w14:textId="09A0ACD9" w:rsidR="00FD2A68" w:rsidRPr="00D66347" w:rsidRDefault="00F4514A" w:rsidP="00490B9B">
      <w:pPr>
        <w:spacing w:line="240" w:lineRule="auto"/>
        <w:rPr>
          <w:rFonts w:ascii="Times New Roman" w:hAnsi="Times New Roman" w:cs="Times New Roman"/>
          <w:b/>
          <w:sz w:val="20"/>
          <w:szCs w:val="20"/>
        </w:rPr>
      </w:pPr>
      <w:r w:rsidRPr="00D66347">
        <w:rPr>
          <w:rFonts w:ascii="Times New Roman" w:hAnsi="Times New Roman" w:cs="Times New Roman"/>
          <w:b/>
          <w:noProof/>
          <w:sz w:val="20"/>
          <w:szCs w:val="20"/>
        </w:rPr>
        <w:drawing>
          <wp:inline distT="0" distB="0" distL="0" distR="0" wp14:anchorId="7413AAB7" wp14:editId="777770E4">
            <wp:extent cx="5940425" cy="452374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4523740"/>
                    </a:xfrm>
                    <a:prstGeom prst="rect">
                      <a:avLst/>
                    </a:prstGeom>
                  </pic:spPr>
                </pic:pic>
              </a:graphicData>
            </a:graphic>
          </wp:inline>
        </w:drawing>
      </w:r>
    </w:p>
    <w:p w14:paraId="586CE33B" w14:textId="6C6B4D11" w:rsidR="00FD2A68" w:rsidRPr="00D66347" w:rsidRDefault="00FD2A68" w:rsidP="00FD2A68">
      <w:pPr>
        <w:spacing w:after="0" w:line="240" w:lineRule="auto"/>
        <w:jc w:val="both"/>
        <w:rPr>
          <w:rStyle w:val="MathematicaFormatStandardForm"/>
          <w:rFonts w:ascii="Times New Roman" w:hAnsi="Times New Roman" w:cs="Times New Roman"/>
          <w:sz w:val="20"/>
          <w:szCs w:val="20"/>
        </w:rPr>
      </w:pPr>
      <w:r w:rsidRPr="00D66347">
        <w:rPr>
          <w:rStyle w:val="MathematicaFormatStandardForm"/>
          <w:rFonts w:ascii="Times New Roman" w:hAnsi="Times New Roman" w:cs="Times New Roman"/>
          <w:b/>
          <w:bCs/>
          <w:sz w:val="20"/>
          <w:szCs w:val="20"/>
        </w:rPr>
        <w:t xml:space="preserve">Supplementary Figure </w:t>
      </w:r>
      <w:r w:rsidR="00F4514A" w:rsidRPr="00D66347">
        <w:rPr>
          <w:rStyle w:val="MathematicaFormatStandardForm"/>
          <w:rFonts w:ascii="Times New Roman" w:hAnsi="Times New Roman" w:cs="Times New Roman"/>
          <w:b/>
          <w:bCs/>
          <w:sz w:val="20"/>
          <w:szCs w:val="20"/>
        </w:rPr>
        <w:t>2</w:t>
      </w:r>
      <w:r w:rsidRPr="00D66347">
        <w:rPr>
          <w:rStyle w:val="MathematicaFormatStandardForm"/>
          <w:rFonts w:ascii="Times New Roman" w:hAnsi="Times New Roman" w:cs="Times New Roman"/>
          <w:b/>
          <w:bCs/>
          <w:sz w:val="20"/>
          <w:szCs w:val="20"/>
        </w:rPr>
        <w:t>.</w:t>
      </w:r>
      <w:r w:rsidRPr="00D66347">
        <w:rPr>
          <w:rStyle w:val="MathematicaFormatStandardForm"/>
          <w:rFonts w:ascii="Times New Roman" w:hAnsi="Times New Roman" w:cs="Times New Roman"/>
          <w:sz w:val="20"/>
          <w:szCs w:val="20"/>
        </w:rPr>
        <w:t xml:space="preserve"> </w:t>
      </w:r>
      <w:r w:rsidRPr="00D66347">
        <w:rPr>
          <w:rFonts w:ascii="Times New Roman" w:hAnsi="Times New Roman" w:cs="Times New Roman"/>
          <w:sz w:val="20"/>
          <w:szCs w:val="20"/>
        </w:rPr>
        <w:t xml:space="preserve">The effect of 213 µM (~4 mg/kg) of CP on CV and MCR in the </w:t>
      </w:r>
      <w:proofErr w:type="spellStart"/>
      <w:r w:rsidRPr="00D66347">
        <w:rPr>
          <w:rFonts w:ascii="Times New Roman" w:hAnsi="Times New Roman" w:cs="Times New Roman"/>
          <w:sz w:val="20"/>
          <w:szCs w:val="20"/>
        </w:rPr>
        <w:t>hiPSC</w:t>
      </w:r>
      <w:proofErr w:type="spellEnd"/>
      <w:r w:rsidRPr="00D66347">
        <w:rPr>
          <w:rFonts w:ascii="Times New Roman" w:hAnsi="Times New Roman" w:cs="Times New Roman"/>
          <w:sz w:val="20"/>
          <w:szCs w:val="20"/>
        </w:rPr>
        <w:t xml:space="preserve"> cardiac tissue (n = 5). The CV was measured at a frequency of 1 Hz. For the MCR measurements, the frequency was increased from 1 Hz to 5 Hz in increments of ≤ 0.5 Hz. </w:t>
      </w:r>
      <w:r w:rsidR="00F4514A" w:rsidRPr="00D66347">
        <w:rPr>
          <w:rFonts w:ascii="Times New Roman" w:hAnsi="Times New Roman" w:cs="Times New Roman"/>
          <w:sz w:val="20"/>
          <w:szCs w:val="20"/>
        </w:rPr>
        <w:t xml:space="preserve">(a) The dashed lines </w:t>
      </w:r>
      <w:proofErr w:type="gramStart"/>
      <w:r w:rsidR="00F4514A" w:rsidRPr="00D66347">
        <w:rPr>
          <w:rFonts w:ascii="Times New Roman" w:hAnsi="Times New Roman" w:cs="Times New Roman"/>
          <w:sz w:val="20"/>
          <w:szCs w:val="20"/>
        </w:rPr>
        <w:t>indicates</w:t>
      </w:r>
      <w:proofErr w:type="gramEnd"/>
      <w:r w:rsidR="00F4514A" w:rsidRPr="00D66347">
        <w:rPr>
          <w:rFonts w:ascii="Times New Roman" w:hAnsi="Times New Roman" w:cs="Times New Roman"/>
          <w:sz w:val="20"/>
          <w:szCs w:val="20"/>
        </w:rPr>
        <w:t xml:space="preserve"> the moment when normal propagation stopped. (c</w:t>
      </w:r>
      <w:proofErr w:type="gramStart"/>
      <w:r w:rsidR="00F4514A" w:rsidRPr="00D66347">
        <w:rPr>
          <w:rFonts w:ascii="Times New Roman" w:hAnsi="Times New Roman" w:cs="Times New Roman"/>
          <w:sz w:val="20"/>
          <w:szCs w:val="20"/>
        </w:rPr>
        <w:t>),(</w:t>
      </w:r>
      <w:proofErr w:type="gramEnd"/>
      <w:r w:rsidR="00F4514A" w:rsidRPr="00D66347">
        <w:rPr>
          <w:rFonts w:ascii="Times New Roman" w:hAnsi="Times New Roman" w:cs="Times New Roman"/>
          <w:sz w:val="20"/>
          <w:szCs w:val="20"/>
        </w:rPr>
        <w:t xml:space="preserve">d) </w:t>
      </w:r>
      <w:r w:rsidRPr="00D66347">
        <w:rPr>
          <w:rFonts w:ascii="Times New Roman" w:hAnsi="Times New Roman" w:cs="Times New Roman"/>
          <w:sz w:val="20"/>
          <w:szCs w:val="20"/>
        </w:rPr>
        <w:t>The dashed line indicates the moment when normal propagation stopped</w:t>
      </w:r>
      <w:r w:rsidR="00F4514A" w:rsidRPr="00D66347">
        <w:rPr>
          <w:rFonts w:ascii="Times New Roman" w:hAnsi="Times New Roman" w:cs="Times New Roman"/>
          <w:sz w:val="20"/>
          <w:szCs w:val="20"/>
        </w:rPr>
        <w:t xml:space="preserve"> in most of the samples</w:t>
      </w:r>
      <w:r w:rsidRPr="00D66347">
        <w:rPr>
          <w:rFonts w:ascii="Times New Roman" w:hAnsi="Times New Roman" w:cs="Times New Roman"/>
          <w:sz w:val="20"/>
          <w:szCs w:val="20"/>
        </w:rPr>
        <w:t xml:space="preserve">. Data of each </w:t>
      </w:r>
      <w:r w:rsidRPr="00D66347">
        <w:rPr>
          <w:rFonts w:ascii="Times New Roman" w:hAnsi="Times New Roman" w:cs="Times New Roman"/>
          <w:sz w:val="20"/>
          <w:szCs w:val="20"/>
        </w:rPr>
        <w:lastRenderedPageBreak/>
        <w:t>run was normalized to the control value. Summary data is presented as mean ± standard deviation (SD); *p &lt; 0.05, **p &lt; 0.01 vs. control.</w:t>
      </w:r>
    </w:p>
    <w:p w14:paraId="6EDD8528" w14:textId="7AA444B7" w:rsidR="00FD2A68" w:rsidRPr="00D66347" w:rsidRDefault="00FD2A68" w:rsidP="00490B9B">
      <w:pPr>
        <w:spacing w:line="240" w:lineRule="auto"/>
        <w:rPr>
          <w:rFonts w:ascii="Times New Roman" w:hAnsi="Times New Roman" w:cs="Times New Roman"/>
          <w:b/>
          <w:sz w:val="20"/>
          <w:szCs w:val="20"/>
        </w:rPr>
      </w:pPr>
    </w:p>
    <w:p w14:paraId="38C679FF" w14:textId="24FA08EB" w:rsidR="00FD2A68" w:rsidRPr="00D66347" w:rsidRDefault="00FD2A68" w:rsidP="00FD2A68">
      <w:pPr>
        <w:spacing w:after="0" w:line="240" w:lineRule="auto"/>
        <w:jc w:val="both"/>
        <w:rPr>
          <w:rFonts w:ascii="Times New Roman" w:hAnsi="Times New Roman" w:cs="Times New Roman"/>
          <w:sz w:val="20"/>
          <w:szCs w:val="20"/>
        </w:rPr>
      </w:pPr>
      <w:r w:rsidRPr="00D66347">
        <w:rPr>
          <w:rFonts w:ascii="Times New Roman" w:hAnsi="Times New Roman" w:cs="Times New Roman"/>
          <w:sz w:val="20"/>
          <w:szCs w:val="20"/>
        </w:rPr>
        <w:t xml:space="preserve">CV and MCR were measured at 5, 10, 20, 30 and 50 min after the addition of 213 µM (~4 mg/kg) of CP to the </w:t>
      </w:r>
      <w:proofErr w:type="spellStart"/>
      <w:r w:rsidRPr="00D66347">
        <w:rPr>
          <w:rFonts w:ascii="Times New Roman" w:hAnsi="Times New Roman" w:cs="Times New Roman"/>
          <w:sz w:val="20"/>
          <w:szCs w:val="20"/>
        </w:rPr>
        <w:t>hiPSC</w:t>
      </w:r>
      <w:proofErr w:type="spellEnd"/>
      <w:r w:rsidRPr="00D66347">
        <w:rPr>
          <w:rFonts w:ascii="Times New Roman" w:hAnsi="Times New Roman" w:cs="Times New Roman"/>
          <w:sz w:val="20"/>
          <w:szCs w:val="20"/>
        </w:rPr>
        <w:t xml:space="preserve"> cardiac tissue. After 30 min of incubation, normal propagation stopped in 3 of 5 runs (Supplementary Fig. </w:t>
      </w:r>
      <w:r w:rsidR="00F4514A" w:rsidRPr="00D66347">
        <w:rPr>
          <w:rFonts w:ascii="Times New Roman" w:hAnsi="Times New Roman" w:cs="Times New Roman"/>
          <w:sz w:val="20"/>
          <w:szCs w:val="20"/>
        </w:rPr>
        <w:t>2</w:t>
      </w:r>
      <w:r w:rsidRPr="00D66347">
        <w:rPr>
          <w:rFonts w:ascii="Times New Roman" w:hAnsi="Times New Roman" w:cs="Times New Roman"/>
          <w:sz w:val="20"/>
          <w:szCs w:val="20"/>
        </w:rPr>
        <w:t xml:space="preserve">a, </w:t>
      </w:r>
      <w:r w:rsidR="00F4514A" w:rsidRPr="00D66347">
        <w:rPr>
          <w:rFonts w:ascii="Times New Roman" w:hAnsi="Times New Roman" w:cs="Times New Roman"/>
          <w:sz w:val="20"/>
          <w:szCs w:val="20"/>
        </w:rPr>
        <w:t xml:space="preserve">green </w:t>
      </w:r>
      <w:r w:rsidRPr="00D66347">
        <w:rPr>
          <w:rFonts w:ascii="Times New Roman" w:hAnsi="Times New Roman" w:cs="Times New Roman"/>
          <w:sz w:val="20"/>
          <w:szCs w:val="20"/>
        </w:rPr>
        <w:t>dashed line). In the other 2 runs normal propagation stopped after 50 min of incubation</w:t>
      </w:r>
      <w:r w:rsidR="00F4514A" w:rsidRPr="00D66347">
        <w:rPr>
          <w:rFonts w:ascii="Times New Roman" w:hAnsi="Times New Roman" w:cs="Times New Roman"/>
          <w:sz w:val="20"/>
          <w:szCs w:val="20"/>
        </w:rPr>
        <w:t xml:space="preserve"> (Supplementary Fig. 2a, blue dashed line).</w:t>
      </w:r>
    </w:p>
    <w:p w14:paraId="2734F085" w14:textId="34FBED4B" w:rsidR="00F4514A" w:rsidRPr="00D66347" w:rsidRDefault="00F4514A" w:rsidP="00FD2A68">
      <w:pPr>
        <w:spacing w:after="0" w:line="240" w:lineRule="auto"/>
        <w:jc w:val="both"/>
        <w:rPr>
          <w:rFonts w:ascii="Times New Roman" w:hAnsi="Times New Roman" w:cs="Times New Roman"/>
          <w:sz w:val="20"/>
          <w:szCs w:val="20"/>
        </w:rPr>
      </w:pPr>
    </w:p>
    <w:p w14:paraId="6DD5F222" w14:textId="77777777" w:rsidR="00F4514A" w:rsidRPr="00D66347" w:rsidRDefault="00F4514A" w:rsidP="00F4514A">
      <w:pPr>
        <w:spacing w:line="240" w:lineRule="auto"/>
        <w:rPr>
          <w:rFonts w:ascii="Times New Roman" w:hAnsi="Times New Roman" w:cs="Times New Roman"/>
          <w:sz w:val="20"/>
          <w:szCs w:val="20"/>
        </w:rPr>
      </w:pPr>
      <w:r w:rsidRPr="00D66347">
        <w:rPr>
          <w:rFonts w:ascii="Times New Roman" w:hAnsi="Times New Roman" w:cs="Times New Roman"/>
          <w:b/>
          <w:i/>
          <w:sz w:val="20"/>
          <w:szCs w:val="20"/>
        </w:rPr>
        <w:t>Scanning electron microscopy</w:t>
      </w:r>
    </w:p>
    <w:p w14:paraId="43B6E6FB" w14:textId="77777777" w:rsidR="00F4514A" w:rsidRPr="00D66347" w:rsidRDefault="00F4514A" w:rsidP="00F4514A">
      <w:pPr>
        <w:spacing w:line="240" w:lineRule="auto"/>
        <w:rPr>
          <w:rFonts w:ascii="Times New Roman" w:hAnsi="Times New Roman" w:cs="Times New Roman"/>
          <w:sz w:val="20"/>
          <w:szCs w:val="20"/>
        </w:rPr>
      </w:pPr>
      <w:r w:rsidRPr="00D66347">
        <w:rPr>
          <w:rFonts w:ascii="Times New Roman" w:hAnsi="Times New Roman" w:cs="Times New Roman"/>
          <w:sz w:val="20"/>
          <w:szCs w:val="20"/>
        </w:rPr>
        <w:t>Materials and methods</w:t>
      </w:r>
    </w:p>
    <w:p w14:paraId="5AC802EC" w14:textId="77777777" w:rsidR="00F4514A" w:rsidRPr="00D66347" w:rsidRDefault="00F4514A" w:rsidP="00F4514A">
      <w:pPr>
        <w:spacing w:line="240" w:lineRule="auto"/>
        <w:rPr>
          <w:rFonts w:ascii="Times New Roman" w:hAnsi="Times New Roman" w:cs="Times New Roman"/>
          <w:sz w:val="20"/>
          <w:szCs w:val="20"/>
        </w:rPr>
      </w:pPr>
      <w:r w:rsidRPr="00D66347">
        <w:rPr>
          <w:rFonts w:ascii="Times New Roman" w:hAnsi="Times New Roman" w:cs="Times New Roman"/>
          <w:sz w:val="20"/>
          <w:szCs w:val="20"/>
        </w:rPr>
        <w:t xml:space="preserve">In preparing the sample for scanning electron microscopy the classical air-drying method was used </w:t>
      </w:r>
      <w:r w:rsidRPr="00D66347">
        <w:rPr>
          <w:rFonts w:ascii="Times New Roman" w:hAnsi="Times New Roman" w:cs="Times New Roman"/>
          <w:sz w:val="20"/>
          <w:szCs w:val="20"/>
        </w:rPr>
        <w:fldChar w:fldCharType="begin" w:fldLock="1"/>
      </w:r>
      <w:r w:rsidRPr="00D66347">
        <w:rPr>
          <w:rFonts w:ascii="Times New Roman" w:hAnsi="Times New Roman" w:cs="Times New Roman"/>
          <w:sz w:val="20"/>
          <w:szCs w:val="20"/>
        </w:rPr>
        <w:instrText>ADDIN CSL_CITATION {"citationItems":[{"id":"ITEM-1","itemData":{"DOI":"10.1007/s10517-010-1091-0","ISSN":"0007-4888","author":[{"dropping-particle":"","family":"Pogorelov","given":"A. G.","non-dropping-particle":"","parse-names":false,"suffix":""},{"dropping-particle":"","family":"Selezneva","given":"I. I.","non-dropping-particle":"","parse-names":false,"suffix":""}],"container-title":"Bulletin of Experimental Biology and Medicine","id":"ITEM-1","issue":"1","issued":{"date-parts":[["2010","12","25"]]},"page":"153-156","publisher":"Springer US","title":"Evaluation of collagen gel microstructure by scanning electron microscopy","type":"article-journal","volume":"150"},"uris":["http://www.mendeley.com/documents/?uuid=59d1065f-49d0-3179-8ed1-ac77713b5185"]}],"mendeley":{"formattedCitation":"&lt;sup&gt;1&lt;/sup&gt;","plainTextFormattedCitation":"1","previouslyFormattedCitation":"&lt;sup&gt;31&lt;/sup&gt;"},"properties":{"noteIndex":0},"schema":"https://github.com/citation-style-language/schema/raw/master/csl-citation.json"}</w:instrText>
      </w:r>
      <w:r w:rsidRPr="00D66347">
        <w:rPr>
          <w:rFonts w:ascii="Times New Roman" w:hAnsi="Times New Roman" w:cs="Times New Roman"/>
          <w:sz w:val="20"/>
          <w:szCs w:val="20"/>
        </w:rPr>
        <w:fldChar w:fldCharType="separate"/>
      </w:r>
      <w:r w:rsidRPr="00D66347">
        <w:rPr>
          <w:rFonts w:ascii="Times New Roman" w:hAnsi="Times New Roman" w:cs="Times New Roman"/>
          <w:noProof/>
          <w:sz w:val="20"/>
          <w:szCs w:val="20"/>
          <w:vertAlign w:val="superscript"/>
        </w:rPr>
        <w:t>1</w:t>
      </w:r>
      <w:r w:rsidRPr="00D66347">
        <w:rPr>
          <w:rFonts w:ascii="Times New Roman" w:hAnsi="Times New Roman" w:cs="Times New Roman"/>
          <w:sz w:val="20"/>
          <w:szCs w:val="20"/>
        </w:rPr>
        <w:fldChar w:fldCharType="end"/>
      </w:r>
      <w:r w:rsidRPr="00D66347">
        <w:rPr>
          <w:rFonts w:ascii="Times New Roman" w:hAnsi="Times New Roman" w:cs="Times New Roman"/>
          <w:sz w:val="20"/>
          <w:szCs w:val="20"/>
        </w:rPr>
        <w:t>. Briefly, cardiac cultures on coverslips from control and experimental groups were double fixed in 2.5% glutaraldehyde on phosphate-buffered saline and 4% osmium tetroxide on water. After that the samples were dehydrated in graded aqueous ethanol solutions (70%, 80%, 90%, 97%) and absolute ethanol. Then the samples were plunged into hexamethyldisilane for 30 minutes and air-dried for 1 hour. To make their surface conductive they were sputter coated with 10 nm gold layer. The scanning electron microscopy (SEM) micrographs were done with JEOL JSM-6510LA microscope.</w:t>
      </w:r>
      <w:r w:rsidRPr="00D66347">
        <w:rPr>
          <w:rFonts w:ascii="Times New Roman" w:hAnsi="Times New Roman" w:cs="Times New Roman"/>
          <w:sz w:val="20"/>
          <w:szCs w:val="20"/>
          <w:lang w:eastAsia="ru-RU"/>
        </w:rPr>
        <w:t xml:space="preserve"> </w:t>
      </w:r>
      <w:r w:rsidRPr="00D66347">
        <w:rPr>
          <w:rFonts w:ascii="Times New Roman" w:hAnsi="Times New Roman" w:cs="Times New Roman"/>
          <w:noProof/>
          <w:sz w:val="20"/>
          <w:szCs w:val="20"/>
        </w:rPr>
        <w:drawing>
          <wp:inline distT="0" distB="0" distL="0" distR="0" wp14:anchorId="165C57A6" wp14:editId="6F9B3F0A">
            <wp:extent cx="5943600" cy="3952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952875"/>
                    </a:xfrm>
                    <a:prstGeom prst="rect">
                      <a:avLst/>
                    </a:prstGeom>
                    <a:solidFill>
                      <a:srgbClr val="FFFFFF"/>
                    </a:solidFill>
                    <a:ln>
                      <a:noFill/>
                    </a:ln>
                  </pic:spPr>
                </pic:pic>
              </a:graphicData>
            </a:graphic>
          </wp:inline>
        </w:drawing>
      </w:r>
      <w:r w:rsidRPr="00D66347">
        <w:rPr>
          <w:rFonts w:ascii="Times New Roman" w:hAnsi="Times New Roman" w:cs="Times New Roman"/>
          <w:b/>
          <w:sz w:val="20"/>
          <w:szCs w:val="20"/>
          <w:lang w:eastAsia="ru-RU"/>
        </w:rPr>
        <w:t xml:space="preserve">Supplementary </w:t>
      </w:r>
      <w:r w:rsidRPr="00D66347">
        <w:rPr>
          <w:rFonts w:ascii="Times New Roman" w:hAnsi="Times New Roman" w:cs="Times New Roman"/>
          <w:b/>
          <w:sz w:val="20"/>
          <w:szCs w:val="20"/>
        </w:rPr>
        <w:t>Figure 3.</w:t>
      </w:r>
      <w:r w:rsidRPr="00D66347">
        <w:rPr>
          <w:rFonts w:ascii="Times New Roman" w:hAnsi="Times New Roman" w:cs="Times New Roman"/>
          <w:sz w:val="20"/>
          <w:szCs w:val="20"/>
        </w:rPr>
        <w:t xml:space="preserve"> </w:t>
      </w:r>
      <w:r w:rsidRPr="00D66347">
        <w:rPr>
          <w:rFonts w:ascii="Times New Roman" w:hAnsi="Times New Roman" w:cs="Times New Roman"/>
          <w:b/>
          <w:bCs/>
          <w:sz w:val="20"/>
          <w:szCs w:val="20"/>
        </w:rPr>
        <w:t xml:space="preserve">SEM micrograph of </w:t>
      </w:r>
      <w:proofErr w:type="spellStart"/>
      <w:r w:rsidRPr="00D66347">
        <w:rPr>
          <w:rFonts w:ascii="Times New Roman" w:hAnsi="Times New Roman" w:cs="Times New Roman"/>
          <w:b/>
          <w:bCs/>
          <w:sz w:val="20"/>
          <w:szCs w:val="20"/>
        </w:rPr>
        <w:t>hiPSC</w:t>
      </w:r>
      <w:proofErr w:type="spellEnd"/>
      <w:r w:rsidRPr="00D66347">
        <w:rPr>
          <w:rFonts w:ascii="Times New Roman" w:hAnsi="Times New Roman" w:cs="Times New Roman"/>
          <w:b/>
          <w:bCs/>
          <w:sz w:val="20"/>
          <w:szCs w:val="20"/>
        </w:rPr>
        <w:t xml:space="preserve">-CMs from healthy donor (m34Sk3 line) on coverslips in control and after treatment with CP for 30 minutes. </w:t>
      </w:r>
      <w:r w:rsidRPr="00D66347">
        <w:rPr>
          <w:rFonts w:ascii="Times New Roman" w:hAnsi="Times New Roman" w:cs="Times New Roman"/>
          <w:sz w:val="20"/>
          <w:szCs w:val="20"/>
        </w:rPr>
        <w:t>(a) A SEM image of a typical cardiomyocyte on a flat glass substrate. Scale bar 30 µm. (b) The magnified image of the cell’s edge that fully adhere to the substrate. Scale bar 6 µm. (c) The micrograph of a cardiomyocyte after treatment with CP for 30 minutes. Scale bar 30 µm. (d) The magnified image of the cell’s edge after treatment with CP for 30 minutes. Black arrows indicate the cell’s regions where detachment process occurred. Scale bar 6 µm.</w:t>
      </w:r>
    </w:p>
    <w:p w14:paraId="46250C79" w14:textId="77777777" w:rsidR="00F4514A" w:rsidRPr="00D66347" w:rsidRDefault="00F4514A" w:rsidP="00F4514A">
      <w:pPr>
        <w:spacing w:line="240" w:lineRule="auto"/>
        <w:rPr>
          <w:rFonts w:ascii="Times New Roman" w:hAnsi="Times New Roman" w:cs="Times New Roman"/>
          <w:sz w:val="20"/>
          <w:szCs w:val="20"/>
        </w:rPr>
      </w:pPr>
    </w:p>
    <w:p w14:paraId="064B781F" w14:textId="77777777" w:rsidR="004D079B" w:rsidRPr="00D66347" w:rsidRDefault="004D079B" w:rsidP="004D079B">
      <w:pPr>
        <w:spacing w:line="240" w:lineRule="auto"/>
        <w:rPr>
          <w:rFonts w:ascii="Times New Roman" w:hAnsi="Times New Roman" w:cs="Times New Roman"/>
          <w:i/>
          <w:iCs/>
          <w:sz w:val="20"/>
          <w:szCs w:val="20"/>
        </w:rPr>
      </w:pPr>
      <w:r w:rsidRPr="00D66347">
        <w:rPr>
          <w:rFonts w:ascii="Times New Roman" w:hAnsi="Times New Roman" w:cs="Times New Roman"/>
          <w:i/>
          <w:iCs/>
          <w:sz w:val="20"/>
          <w:szCs w:val="20"/>
        </w:rPr>
        <w:t>Patch-clamp</w:t>
      </w:r>
    </w:p>
    <w:p w14:paraId="184BE2CE" w14:textId="77777777" w:rsidR="004D079B" w:rsidRPr="00D66347" w:rsidRDefault="004D079B" w:rsidP="004D079B">
      <w:pPr>
        <w:spacing w:line="240" w:lineRule="auto"/>
        <w:rPr>
          <w:rFonts w:ascii="Times New Roman" w:hAnsi="Times New Roman" w:cs="Times New Roman"/>
          <w:i/>
          <w:iCs/>
          <w:sz w:val="20"/>
          <w:szCs w:val="20"/>
        </w:rPr>
      </w:pPr>
      <w:r w:rsidRPr="00D66347">
        <w:rPr>
          <w:rFonts w:ascii="Times New Roman" w:hAnsi="Times New Roman" w:cs="Times New Roman"/>
          <w:i/>
          <w:iCs/>
          <w:noProof/>
          <w:sz w:val="20"/>
          <w:szCs w:val="20"/>
        </w:rPr>
        <w:lastRenderedPageBreak/>
        <w:drawing>
          <wp:inline distT="0" distB="0" distL="0" distR="0" wp14:anchorId="290A2A9B" wp14:editId="06115195">
            <wp:extent cx="5940425" cy="4052570"/>
            <wp:effectExtent l="0" t="0" r="317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4052570"/>
                    </a:xfrm>
                    <a:prstGeom prst="rect">
                      <a:avLst/>
                    </a:prstGeom>
                  </pic:spPr>
                </pic:pic>
              </a:graphicData>
            </a:graphic>
          </wp:inline>
        </w:drawing>
      </w:r>
    </w:p>
    <w:p w14:paraId="3248AC63" w14:textId="092331AE" w:rsidR="004D079B" w:rsidRPr="00D66347" w:rsidRDefault="004D079B" w:rsidP="004D079B">
      <w:pPr>
        <w:spacing w:line="240" w:lineRule="auto"/>
        <w:rPr>
          <w:rFonts w:ascii="Times New Roman" w:hAnsi="Times New Roman" w:cs="Times New Roman"/>
          <w:b/>
          <w:sz w:val="20"/>
          <w:szCs w:val="20"/>
        </w:rPr>
      </w:pPr>
      <w:r w:rsidRPr="00D66347">
        <w:rPr>
          <w:rFonts w:ascii="Times New Roman" w:hAnsi="Times New Roman" w:cs="Times New Roman"/>
          <w:b/>
          <w:sz w:val="20"/>
          <w:szCs w:val="20"/>
        </w:rPr>
        <w:t xml:space="preserve">Supplementary Figure </w:t>
      </w:r>
      <w:r w:rsidR="00F4514A" w:rsidRPr="00D66347">
        <w:rPr>
          <w:rFonts w:ascii="Times New Roman" w:hAnsi="Times New Roman" w:cs="Times New Roman"/>
          <w:b/>
          <w:sz w:val="20"/>
          <w:szCs w:val="20"/>
        </w:rPr>
        <w:t>4</w:t>
      </w:r>
      <w:r w:rsidRPr="00D66347">
        <w:rPr>
          <w:rFonts w:ascii="Times New Roman" w:hAnsi="Times New Roman" w:cs="Times New Roman"/>
          <w:b/>
          <w:sz w:val="20"/>
          <w:szCs w:val="20"/>
        </w:rPr>
        <w:t xml:space="preserve">. Action potential of </w:t>
      </w:r>
      <w:proofErr w:type="spellStart"/>
      <w:r w:rsidRPr="00D66347">
        <w:rPr>
          <w:rFonts w:ascii="Times New Roman" w:hAnsi="Times New Roman" w:cs="Times New Roman"/>
          <w:b/>
          <w:sz w:val="20"/>
          <w:szCs w:val="20"/>
        </w:rPr>
        <w:t>hiPSC</w:t>
      </w:r>
      <w:proofErr w:type="spellEnd"/>
      <w:r w:rsidRPr="00D66347">
        <w:rPr>
          <w:rFonts w:ascii="Times New Roman" w:hAnsi="Times New Roman" w:cs="Times New Roman"/>
          <w:b/>
          <w:sz w:val="20"/>
          <w:szCs w:val="20"/>
        </w:rPr>
        <w:t xml:space="preserve">-CMs from healthy donor (m34Sk3 line) in control (pink) and in the presence of 630 </w:t>
      </w:r>
      <w:proofErr w:type="spellStart"/>
      <w:r w:rsidRPr="00D66347">
        <w:rPr>
          <w:rFonts w:ascii="Times New Roman" w:hAnsi="Times New Roman" w:cs="Times New Roman"/>
          <w:b/>
          <w:sz w:val="20"/>
          <w:szCs w:val="20"/>
        </w:rPr>
        <w:t>μM</w:t>
      </w:r>
      <w:proofErr w:type="spellEnd"/>
      <w:r w:rsidRPr="00D66347">
        <w:rPr>
          <w:rFonts w:ascii="Times New Roman" w:hAnsi="Times New Roman" w:cs="Times New Roman"/>
          <w:b/>
          <w:sz w:val="20"/>
          <w:szCs w:val="20"/>
        </w:rPr>
        <w:t xml:space="preserve"> cyclophosphamide (blue). </w:t>
      </w:r>
      <w:r w:rsidRPr="00D66347">
        <w:rPr>
          <w:rFonts w:ascii="Times New Roman" w:hAnsi="Times New Roman" w:cs="Times New Roman"/>
          <w:bCs/>
          <w:sz w:val="20"/>
          <w:szCs w:val="20"/>
        </w:rPr>
        <w:t>A form and a duration of the AP was not changed under the cyclophosphamide.</w:t>
      </w:r>
    </w:p>
    <w:p w14:paraId="3F5A4D12" w14:textId="77777777" w:rsidR="004D079B" w:rsidRPr="00D66347" w:rsidRDefault="004D079B" w:rsidP="004D079B">
      <w:pPr>
        <w:rPr>
          <w:rFonts w:ascii="Times New Roman" w:eastAsia="Times New Roman" w:hAnsi="Times New Roman" w:cs="Times New Roman"/>
          <w:sz w:val="24"/>
          <w:szCs w:val="24"/>
          <w:lang w:eastAsia="ru-RU"/>
        </w:rPr>
      </w:pPr>
    </w:p>
    <w:p w14:paraId="6D4E404B" w14:textId="4FF35710" w:rsidR="00490B9B" w:rsidRPr="00D66347" w:rsidRDefault="00490B9B" w:rsidP="00490B9B">
      <w:pPr>
        <w:spacing w:line="240" w:lineRule="auto"/>
        <w:rPr>
          <w:rFonts w:ascii="Times New Roman" w:hAnsi="Times New Roman" w:cs="Times New Roman"/>
          <w:b/>
          <w:sz w:val="20"/>
          <w:szCs w:val="20"/>
        </w:rPr>
      </w:pPr>
      <w:r w:rsidRPr="00D66347">
        <w:rPr>
          <w:rFonts w:ascii="Times New Roman" w:hAnsi="Times New Roman" w:cs="Times New Roman"/>
          <w:b/>
          <w:sz w:val="20"/>
          <w:szCs w:val="20"/>
        </w:rPr>
        <w:t>References</w:t>
      </w:r>
    </w:p>
    <w:p w14:paraId="6E057641" w14:textId="77777777" w:rsidR="00490B9B" w:rsidRPr="00D66347" w:rsidRDefault="00490B9B" w:rsidP="00490B9B">
      <w:pPr>
        <w:widowControl w:val="0"/>
        <w:autoSpaceDE w:val="0"/>
        <w:autoSpaceDN w:val="0"/>
        <w:adjustRightInd w:val="0"/>
        <w:spacing w:line="240" w:lineRule="auto"/>
        <w:ind w:left="640" w:hanging="640"/>
        <w:rPr>
          <w:rFonts w:ascii="Times New Roman" w:hAnsi="Times New Roman" w:cs="Times New Roman"/>
          <w:noProof/>
          <w:sz w:val="20"/>
          <w:szCs w:val="20"/>
        </w:rPr>
      </w:pPr>
      <w:r w:rsidRPr="00D66347">
        <w:rPr>
          <w:rFonts w:ascii="Times New Roman" w:hAnsi="Times New Roman" w:cs="Times New Roman"/>
          <w:sz w:val="20"/>
          <w:szCs w:val="20"/>
        </w:rPr>
        <w:fldChar w:fldCharType="begin" w:fldLock="1"/>
      </w:r>
      <w:r w:rsidRPr="00D66347">
        <w:rPr>
          <w:rFonts w:ascii="Times New Roman" w:hAnsi="Times New Roman" w:cs="Times New Roman"/>
          <w:sz w:val="20"/>
          <w:szCs w:val="20"/>
        </w:rPr>
        <w:instrText xml:space="preserve">ADDIN Mendeley Bibliography CSL_BIBLIOGRAPHY </w:instrText>
      </w:r>
      <w:r w:rsidRPr="00D66347">
        <w:rPr>
          <w:rFonts w:ascii="Times New Roman" w:hAnsi="Times New Roman" w:cs="Times New Roman"/>
          <w:sz w:val="20"/>
          <w:szCs w:val="20"/>
        </w:rPr>
        <w:fldChar w:fldCharType="separate"/>
      </w:r>
      <w:r w:rsidRPr="00D66347">
        <w:rPr>
          <w:rFonts w:ascii="Times New Roman" w:hAnsi="Times New Roman" w:cs="Times New Roman"/>
          <w:noProof/>
          <w:sz w:val="20"/>
          <w:szCs w:val="20"/>
        </w:rPr>
        <w:t>1.</w:t>
      </w:r>
      <w:r w:rsidRPr="00D66347">
        <w:rPr>
          <w:rFonts w:ascii="Times New Roman" w:hAnsi="Times New Roman" w:cs="Times New Roman"/>
          <w:noProof/>
          <w:sz w:val="20"/>
          <w:szCs w:val="20"/>
        </w:rPr>
        <w:tab/>
        <w:t xml:space="preserve">Pogorelov, A. G. &amp; Selezneva, I. I. Evaluation of collagen gel microstructure by scanning electron microscopy. </w:t>
      </w:r>
      <w:r w:rsidRPr="00D66347">
        <w:rPr>
          <w:rFonts w:ascii="Times New Roman" w:hAnsi="Times New Roman" w:cs="Times New Roman"/>
          <w:i/>
          <w:iCs/>
          <w:noProof/>
          <w:sz w:val="20"/>
          <w:szCs w:val="20"/>
        </w:rPr>
        <w:t>Bull. Exp. Biol. Med.</w:t>
      </w:r>
      <w:r w:rsidRPr="00D66347">
        <w:rPr>
          <w:rFonts w:ascii="Times New Roman" w:hAnsi="Times New Roman" w:cs="Times New Roman"/>
          <w:noProof/>
          <w:sz w:val="20"/>
          <w:szCs w:val="20"/>
        </w:rPr>
        <w:t xml:space="preserve"> </w:t>
      </w:r>
      <w:r w:rsidRPr="00D66347">
        <w:rPr>
          <w:rFonts w:ascii="Times New Roman" w:hAnsi="Times New Roman" w:cs="Times New Roman"/>
          <w:b/>
          <w:bCs/>
          <w:noProof/>
          <w:sz w:val="20"/>
          <w:szCs w:val="20"/>
        </w:rPr>
        <w:t>150</w:t>
      </w:r>
      <w:r w:rsidRPr="00D66347">
        <w:rPr>
          <w:rFonts w:ascii="Times New Roman" w:hAnsi="Times New Roman" w:cs="Times New Roman"/>
          <w:noProof/>
          <w:sz w:val="20"/>
          <w:szCs w:val="20"/>
        </w:rPr>
        <w:t>, 153–156 (2010).</w:t>
      </w:r>
    </w:p>
    <w:p w14:paraId="629682F0" w14:textId="77777777" w:rsidR="00004CF0" w:rsidRPr="00490B9B" w:rsidRDefault="00490B9B">
      <w:pPr>
        <w:rPr>
          <w:rFonts w:ascii="Times New Roman" w:hAnsi="Times New Roman" w:cs="Times New Roman"/>
          <w:sz w:val="20"/>
          <w:szCs w:val="20"/>
        </w:rPr>
      </w:pPr>
      <w:r w:rsidRPr="00D66347">
        <w:rPr>
          <w:rFonts w:ascii="Times New Roman" w:hAnsi="Times New Roman" w:cs="Times New Roman"/>
          <w:sz w:val="20"/>
          <w:szCs w:val="20"/>
        </w:rPr>
        <w:fldChar w:fldCharType="end"/>
      </w:r>
    </w:p>
    <w:sectPr w:rsidR="00004CF0" w:rsidRPr="00490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309020205020404"/>
    <w:charset w:val="00"/>
    <w:family w:val="modern"/>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B9B"/>
    <w:rsid w:val="00004CF0"/>
    <w:rsid w:val="00051153"/>
    <w:rsid w:val="00144B96"/>
    <w:rsid w:val="0019046C"/>
    <w:rsid w:val="00490B9B"/>
    <w:rsid w:val="004D079B"/>
    <w:rsid w:val="008272DE"/>
    <w:rsid w:val="008305FD"/>
    <w:rsid w:val="00B45FBE"/>
    <w:rsid w:val="00B633E5"/>
    <w:rsid w:val="00B91F32"/>
    <w:rsid w:val="00D66347"/>
    <w:rsid w:val="00DB295D"/>
    <w:rsid w:val="00ED1F51"/>
    <w:rsid w:val="00F4514A"/>
    <w:rsid w:val="00FD2A68"/>
    <w:rsid w:val="00FF7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F9D07"/>
  <w15:chartTrackingRefBased/>
  <w15:docId w15:val="{59A268FB-03CF-4240-A83B-6CA197154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B9B"/>
    <w:pPr>
      <w:suppressAutoHyphens/>
      <w:spacing w:line="256" w:lineRule="auto"/>
    </w:pPr>
    <w:rPr>
      <w:rFonts w:ascii="Calibri" w:eastAsia="SimSun" w:hAnsi="Calibri" w:cs="Calibri"/>
      <w:kern w:val="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633E5"/>
    <w:rPr>
      <w:color w:val="0563C1"/>
      <w:u w:val="single"/>
    </w:rPr>
  </w:style>
  <w:style w:type="character" w:customStyle="1" w:styleId="MathematicaFormatStandardForm">
    <w:name w:val="MathematicaFormatStandardForm"/>
    <w:rsid w:val="00FD2A68"/>
    <w:rPr>
      <w:rFonts w:ascii="Courier" w:hAnsi="Courier" w:cs="Courier"/>
    </w:rPr>
  </w:style>
  <w:style w:type="paragraph" w:styleId="a4">
    <w:name w:val="Balloon Text"/>
    <w:basedOn w:val="a"/>
    <w:link w:val="a5"/>
    <w:uiPriority w:val="99"/>
    <w:semiHidden/>
    <w:unhideWhenUsed/>
    <w:rsid w:val="00F4514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4514A"/>
    <w:rPr>
      <w:rFonts w:ascii="Segoe UI" w:eastAsia="SimSun" w:hAnsi="Segoe UI" w:cs="Segoe UI"/>
      <w:kern w:val="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736271">
      <w:bodyDiv w:val="1"/>
      <w:marLeft w:val="0"/>
      <w:marRight w:val="0"/>
      <w:marTop w:val="0"/>
      <w:marBottom w:val="0"/>
      <w:divBdr>
        <w:top w:val="none" w:sz="0" w:space="0" w:color="auto"/>
        <w:left w:val="none" w:sz="0" w:space="0" w:color="auto"/>
        <w:bottom w:val="none" w:sz="0" w:space="0" w:color="auto"/>
        <w:right w:val="none" w:sz="0" w:space="0" w:color="auto"/>
      </w:divBdr>
      <w:divsChild>
        <w:div w:id="1880625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agladze@yahoo.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65F7DF52-F7F3-46DD-8730-79E546B60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697</Words>
  <Characters>3976</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dc:creator>
  <cp:keywords/>
  <dc:description/>
  <cp:lastModifiedBy>Алиса Подгурская</cp:lastModifiedBy>
  <cp:revision>2</cp:revision>
  <dcterms:created xsi:type="dcterms:W3CDTF">2020-12-03T10:18:00Z</dcterms:created>
  <dcterms:modified xsi:type="dcterms:W3CDTF">2020-12-03T10:18:00Z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http://www.zotero.org/styles/acm-sig-proceedings</vt:lpwstr>
  </property>
  <property fmtid="{D5CDD505-2E9C-101B-9397-08002B2CF9AE}" pid="3" name="Mendeley Recent Style Name 0_1">
    <vt:lpwstr>ACM SIG Proceedings ("et al." for 3+ authors)</vt:lpwstr>
  </property>
  <property fmtid="{D5CDD505-2E9C-101B-9397-08002B2CF9AE}" pid="4" name="Mendeley Recent Style Id 1_1">
    <vt:lpwstr>http://www.zotero.org/styles/american-medical-association-alphabetical</vt:lpwstr>
  </property>
  <property fmtid="{D5CDD505-2E9C-101B-9397-08002B2CF9AE}" pid="5" name="Mendeley Recent Style Name 1_1">
    <vt:lpwstr>American Medical Association (sorted alphabetically)</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http://www.zotero.org/styles/elsevier-vancouver-author-date</vt:lpwstr>
  </property>
  <property fmtid="{D5CDD505-2E9C-101B-9397-08002B2CF9AE}" pid="11" name="Mendeley Recent Style Name 4_1">
    <vt:lpwstr>Elsevier - Vancouver (author-date)</vt:lpwstr>
  </property>
  <property fmtid="{D5CDD505-2E9C-101B-9397-08002B2CF9AE}" pid="12" name="Mendeley Recent Style Id 5_1">
    <vt:lpwstr>http://www.zotero.org/styles/plos-one</vt:lpwstr>
  </property>
  <property fmtid="{D5CDD505-2E9C-101B-9397-08002B2CF9AE}" pid="13" name="Mendeley Recent Style Name 5_1">
    <vt:lpwstr>PLOS ONE</vt:lpwstr>
  </property>
  <property fmtid="{D5CDD505-2E9C-101B-9397-08002B2CF9AE}" pid="14" name="Mendeley Recent Style Id 6_1">
    <vt:lpwstr>http://www.zotero.org/styles/russian-gost-r-7011-2011-numeric-citations-with-appear-sorting</vt:lpwstr>
  </property>
  <property fmtid="{D5CDD505-2E9C-101B-9397-08002B2CF9AE}" pid="15" name="Mendeley Recent Style Name 6_1">
    <vt:lpwstr>Russian GOST R 7.0.11-2011 numeric citations with appear sorting</vt:lpwstr>
  </property>
  <property fmtid="{D5CDD505-2E9C-101B-9397-08002B2CF9AE}" pid="16" name="Mendeley Recent Style Id 7_1">
    <vt:lpwstr>http://www.zotero.org/styles/gost-r-7-0-5-2008-numeric</vt:lpwstr>
  </property>
  <property fmtid="{D5CDD505-2E9C-101B-9397-08002B2CF9AE}" pid="17" name="Mendeley Recent Style Name 7_1">
    <vt:lpwstr>Russian GOST R 7.0.5-2008 (numeric)</vt:lpwstr>
  </property>
  <property fmtid="{D5CDD505-2E9C-101B-9397-08002B2CF9AE}" pid="18" name="Mendeley Recent Style Id 8_1">
    <vt:lpwstr>http://www.zotero.org/styles/gost-r-7-0-5-2008-numeric-alphabetical</vt:lpwstr>
  </property>
  <property fmtid="{D5CDD505-2E9C-101B-9397-08002B2CF9AE}" pid="19" name="Mendeley Recent Style Name 8_1">
    <vt:lpwstr>Russian GOST R 7.0.5-2008 (numeric, sorted alphabetically, Russian)</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2f956148-c745-30a0-a1d8-dd9b253389e6</vt:lpwstr>
  </property>
  <property fmtid="{D5CDD505-2E9C-101B-9397-08002B2CF9AE}" pid="24" name="Mendeley Citation Style_1">
    <vt:lpwstr>http://www.zotero.org/styles/scientific-reports</vt:lpwstr>
  </property>
</Properties>
</file>