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232" w:rsidRDefault="003D6232" w:rsidP="003D6232">
      <w:pPr>
        <w:pStyle w:val="Title"/>
      </w:pPr>
      <w:r>
        <w:t>Supplementary Materials</w:t>
      </w:r>
      <w:r>
        <w:t xml:space="preserve">  </w:t>
      </w:r>
    </w:p>
    <w:p w:rsidR="003D6232" w:rsidRPr="007161EA" w:rsidRDefault="003D6232" w:rsidP="003D6232">
      <w:pPr>
        <w:pStyle w:val="Title"/>
      </w:pPr>
      <w:r w:rsidRPr="007161EA">
        <w:t xml:space="preserve">Impact of </w:t>
      </w:r>
      <w:proofErr w:type="spellStart"/>
      <w:r w:rsidRPr="007161EA">
        <w:t>Visuomotor</w:t>
      </w:r>
      <w:proofErr w:type="spellEnd"/>
      <w:r w:rsidRPr="007161EA">
        <w:t xml:space="preserve"> Feedback on the Embodiment of Virtual Hands Detached from the Body</w:t>
      </w:r>
    </w:p>
    <w:p w:rsidR="003D6232" w:rsidRPr="007161EA" w:rsidRDefault="003D6232" w:rsidP="00F44A72">
      <w:pPr>
        <w:jc w:val="center"/>
        <w:rPr>
          <w:vertAlign w:val="superscript"/>
        </w:rPr>
      </w:pPr>
      <w:r w:rsidRPr="007161EA">
        <w:t>Sofia Seinfeld</w:t>
      </w:r>
      <w:r w:rsidRPr="007161EA">
        <w:rPr>
          <w:vertAlign w:val="superscript"/>
        </w:rPr>
        <w:t>1</w:t>
      </w:r>
      <w:r w:rsidRPr="007161EA">
        <w:t xml:space="preserve"> &amp; </w:t>
      </w:r>
      <w:proofErr w:type="spellStart"/>
      <w:r w:rsidRPr="007161EA">
        <w:t>Jörg</w:t>
      </w:r>
      <w:proofErr w:type="spellEnd"/>
      <w:r w:rsidRPr="007161EA">
        <w:t xml:space="preserve"> Müller</w:t>
      </w:r>
      <w:r w:rsidR="00F44A72">
        <w:rPr>
          <w:vertAlign w:val="superscript"/>
        </w:rPr>
        <w:t>1</w:t>
      </w:r>
    </w:p>
    <w:p w:rsidR="003D6232" w:rsidRDefault="003D6232" w:rsidP="003D6232">
      <w:r w:rsidRPr="007161EA">
        <w:rPr>
          <w:vertAlign w:val="superscript"/>
        </w:rPr>
        <w:t>1</w:t>
      </w:r>
      <w:r w:rsidRPr="007161EA">
        <w:t>Institute of Computer Science, University of Bayreuth, Bayreuth, Germany</w:t>
      </w:r>
    </w:p>
    <w:p w:rsidR="00F44A72" w:rsidRPr="007161EA" w:rsidRDefault="00F44A72" w:rsidP="003D6232"/>
    <w:p w:rsidR="003D6232" w:rsidRPr="003D6232" w:rsidRDefault="003D6232" w:rsidP="00F44A72">
      <w:pPr>
        <w:pStyle w:val="Heading2"/>
        <w:numPr>
          <w:ilvl w:val="0"/>
          <w:numId w:val="2"/>
        </w:numPr>
        <w:rPr>
          <w:b/>
          <w:color w:val="000000" w:themeColor="text1"/>
          <w:lang w:val="en-US"/>
        </w:rPr>
      </w:pPr>
      <w:r w:rsidRPr="008F57E0">
        <w:rPr>
          <w:b/>
          <w:color w:val="000000" w:themeColor="text1"/>
          <w:lang w:val="en-US"/>
        </w:rPr>
        <w:t xml:space="preserve">Skin Conductance Response (SCR) </w:t>
      </w:r>
      <w:r w:rsidR="00F44A72">
        <w:rPr>
          <w:b/>
          <w:color w:val="000000" w:themeColor="text1"/>
          <w:lang w:val="en-US"/>
        </w:rPr>
        <w:t>data recording</w:t>
      </w:r>
    </w:p>
    <w:p w:rsidR="003D6232" w:rsidRDefault="003D6232" w:rsidP="003D6232">
      <w:pPr>
        <w:jc w:val="both"/>
        <w:rPr>
          <w:lang w:val="en-US"/>
        </w:rPr>
      </w:pPr>
      <w:r w:rsidRPr="007161EA">
        <w:rPr>
          <w:lang w:val="en-US"/>
        </w:rPr>
        <w:t xml:space="preserve">SCR was measured using a </w:t>
      </w:r>
      <w:proofErr w:type="spellStart"/>
      <w:r w:rsidRPr="007161EA">
        <w:rPr>
          <w:lang w:val="en-US"/>
        </w:rPr>
        <w:t>ProComp</w:t>
      </w:r>
      <w:proofErr w:type="spellEnd"/>
      <w:r w:rsidRPr="007161EA">
        <w:rPr>
          <w:lang w:val="en-US"/>
        </w:rPr>
        <w:t xml:space="preserve"> Infiniti Encoder (Thought Technologies Ltd) connected to a PC through a serial port and based on the placement of two galvanic skin response sensors (i.e., SA9309M bipolar electrodes) on the participants’ middle and index of the right hand. The signal was sampled at 256Hz and low-pass filtered with a cut-off frequency of 1Hz. The data was pre-processed and analyzed using </w:t>
      </w:r>
      <w:proofErr w:type="spellStart"/>
      <w:r w:rsidRPr="007161EA">
        <w:rPr>
          <w:lang w:val="en-US"/>
        </w:rPr>
        <w:t>Matlab</w:t>
      </w:r>
      <w:proofErr w:type="spellEnd"/>
      <w:r w:rsidRPr="007161EA">
        <w:rPr>
          <w:lang w:val="en-US"/>
        </w:rPr>
        <w:t>. Before the analysis, SCR data was visually inspected to detect possible undesired noise and artefacts due to motion</w:t>
      </w:r>
      <w:r w:rsidR="0097256F">
        <w:rPr>
          <w:lang w:val="en-US"/>
        </w:rPr>
        <w:t xml:space="preserve">. </w:t>
      </w:r>
      <w:r w:rsidRPr="007161EA">
        <w:rPr>
          <w:lang w:val="en-US"/>
        </w:rPr>
        <w:t xml:space="preserve">The experiment was programmed to send an event marker to the SC signal as soon as the virtual threat started.  </w:t>
      </w:r>
    </w:p>
    <w:p w:rsidR="00F44A72" w:rsidRPr="003D6232" w:rsidRDefault="00F44A72" w:rsidP="00F44A72">
      <w:pPr>
        <w:pStyle w:val="Heading2"/>
        <w:numPr>
          <w:ilvl w:val="0"/>
          <w:numId w:val="2"/>
        </w:numPr>
        <w:rPr>
          <w:b/>
          <w:color w:val="000000" w:themeColor="text1"/>
          <w:lang w:val="en-US"/>
        </w:rPr>
      </w:pPr>
      <w:r>
        <w:rPr>
          <w:b/>
          <w:color w:val="000000" w:themeColor="text1"/>
          <w:lang w:val="en-US"/>
        </w:rPr>
        <w:t>Pre-processing and analysis of threat-related SCR</w:t>
      </w:r>
    </w:p>
    <w:p w:rsidR="003D6232" w:rsidRDefault="003D6232" w:rsidP="003D6232">
      <w:pPr>
        <w:jc w:val="both"/>
        <w:rPr>
          <w:lang w:val="en-US"/>
        </w:rPr>
      </w:pPr>
      <w:r w:rsidRPr="007161EA">
        <w:rPr>
          <w:lang w:val="en-US"/>
        </w:rPr>
        <w:t>Our main analysis was based on baseline-to-peak raw skin conductance responses by computing the maximum skin conductance value during a 10sec window after the occurrence of the virtual threat (i.e., harm by a virtual shuriken), in relation to a baseline taken 0.30sec before the occurrence of the threat. This specific parameter was selected for analysis, since it has been frequently used by past research to analyze SCR related to a threat or painful stimuli</w:t>
      </w:r>
      <w:r w:rsidRPr="007161EA">
        <w:rPr>
          <w:lang w:val="en-US"/>
        </w:rPr>
        <w:fldChar w:fldCharType="begin" w:fldLock="1"/>
      </w:r>
      <w:r w:rsidRPr="007161EA">
        <w:rPr>
          <w:lang w:val="en-US"/>
        </w:rPr>
        <w:instrText>ADDIN CSL_CITATION {"citationItems":[{"id":"ITEM-1","itemData":{"DOI":"10.1093/brain/awu009","ISSN":"1460-2156","author":[{"dropping-particle":"","family":"Romano","given":"Daniele","non-dropping-particle":"","parse-names":false,"suffix":""},{"dropping-particle":"","family":"Gandola","given":"Martina","non-dropping-particle":"","parse-names":false,"suffix":""},{"dropping-particle":"","family":"Bottini","given":"Gabriella","non-dropping-particle":"","parse-names":false,"suffix":""},{"dropping-particle":"","family":"Maravita","given":"Angelo","non-dropping-particle":"","parse-names":false,"suffix":""}],"container-title":"Brain","id":"ITEM-1","issue":"4","issued":{"date-parts":[["2014","4","1"]]},"page":"1213-1223","publisher":"Narnia","title":"Arousal responses to noxious stimuli in somatoparaphrenia and anosognosia: clues to body awareness","type":"article-journal","volume":"137"},"uris":["http://www.mendeley.com/documents/?uuid=64eb052b-1999-3d01-bdf7-09b4d464748f"]},{"id":"ITEM-2","itemData":{"DOI":"10.1038/srep17139","ISSN":"2045-2322","abstract":"Body visual discontinuity affects feeling of ownership and skin conductance responses","author":[{"dropping-particle":"","family":"Tieri","given":"Gaetano","non-dropping-particle":"","parse-names":false,"suffix":""},{"dropping-particle":"","family":"Tidoni","given":"Emmanuele","non-dropping-particle":"","parse-names":false,"suffix":""},{"dropping-particle":"","family":"Pavone","given":"Enea Francesco","non-dropping-particle":"","parse-names":false,"suffix":""},{"dropping-particle":"","family":"Aglioti","given":"Salvatore Maria","non-dropping-particle":"","parse-names":false,"suffix":""}],"container-title":"Scientific Reports","id":"ITEM-2","issue":"1","issued":{"date-parts":[["2015","12","25"]]},"page":"17139","publisher":"Nature Publishing Group","title":"Body visual discontinuity affects feeling of ownership and skin conductance responses","type":"article-journal","volume":"5"},"uris":["http://www.mendeley.com/documents/?uuid=aa82aeac-af23-3fb4-aefc-cce00ac16fd5"]},{"id":"ITEM-3","itemData":{"DOI":"10.1073/pnas.0610011104","ISSN":"0027-8424","author":[{"dropping-particle":"","family":"Ehrsson","given":"H. H.","non-dropping-particle":"","parse-names":false,"suffix":""},{"dropping-particle":"","family":"Wiech","given":"K.","non-dropping-particle":"","parse-names":false,"suffix":""},{"dropping-particle":"","family":"Weiskopf","given":"N.","non-dropping-particle":"","parse-names":false,"suffix":""},{"dropping-particle":"","family":"Dolan","given":"R. J.","non-dropping-particle":"","parse-names":false,"suffix":""},{"dropping-particle":"","family":"Passingham","given":"R. E.","non-dropping-particle":"","parse-names":false,"suffix":""}],"container-title":"Proceedings of the National Academy of Sciences","id":"ITEM-3","issue":"23","issued":{"date-parts":[["2007","6","5"]]},"page":"9828-9833","title":"Threatening a rubber hand that you feel is yours elicits a cortical anxiety response","type":"article-journal","volume":"104"},"uris":["http://www.mendeley.com/documents/?uuid=89c6c0c7-9ceb-3057-9e39-a7584b605e46"]}],"mendeley":{"formattedCitation":"&lt;sup&gt;24,36,37&lt;/sup&gt;","plainTextFormattedCitation":"24,36,37","previouslyFormattedCitation":"&lt;sup&gt;23,36,37&lt;/sup&gt;"},"properties":{"noteIndex":0},"schema":"https://github.com/citation-style-language/schema/raw/master/csl-citation.json"}</w:instrText>
      </w:r>
      <w:r w:rsidRPr="007161EA">
        <w:rPr>
          <w:lang w:val="en-US"/>
        </w:rPr>
        <w:fldChar w:fldCharType="separate"/>
      </w:r>
      <w:r w:rsidRPr="007161EA">
        <w:rPr>
          <w:noProof/>
          <w:vertAlign w:val="superscript"/>
          <w:lang w:val="en-US"/>
        </w:rPr>
        <w:t>24,36,37</w:t>
      </w:r>
      <w:r w:rsidRPr="007161EA">
        <w:rPr>
          <w:lang w:val="en-US"/>
        </w:rPr>
        <w:fldChar w:fldCharType="end"/>
      </w:r>
      <w:r w:rsidRPr="007161EA">
        <w:rPr>
          <w:lang w:val="en-US"/>
        </w:rPr>
        <w:t xml:space="preserve">. The decision of analyzing a 10 sec time window was based on the visual inspection of the data, which indicated that at 10 </w:t>
      </w:r>
      <w:proofErr w:type="gramStart"/>
      <w:r w:rsidRPr="007161EA">
        <w:rPr>
          <w:lang w:val="en-US"/>
        </w:rPr>
        <w:t>sec</w:t>
      </w:r>
      <w:proofErr w:type="gramEnd"/>
      <w:r w:rsidRPr="007161EA">
        <w:rPr>
          <w:lang w:val="en-US"/>
        </w:rPr>
        <w:t xml:space="preserve"> after the virtual threat onset the averaged skin conductance signal already reached its peak responses (</w:t>
      </w:r>
      <w:r w:rsidRPr="007161EA">
        <w:rPr>
          <w:b/>
          <w:lang w:val="en-US"/>
        </w:rPr>
        <w:t>Figure 4</w:t>
      </w:r>
      <w:r w:rsidRPr="007161EA">
        <w:rPr>
          <w:lang w:val="en-US"/>
        </w:rPr>
        <w:t>). Finally, we also calculated the standard deviations and slope of the SC signal for additional analysis.</w:t>
      </w:r>
    </w:p>
    <w:p w:rsidR="00F44A72" w:rsidRDefault="009D0BFE" w:rsidP="00F44A72">
      <w:pPr>
        <w:jc w:val="both"/>
        <w:rPr>
          <w:lang w:val="en-US"/>
        </w:rPr>
      </w:pPr>
      <w:r>
        <w:rPr>
          <w:lang w:val="en-US"/>
        </w:rPr>
        <w:t>As in the case of motor performance, t</w:t>
      </w:r>
      <w:r w:rsidR="00F44A72" w:rsidRPr="007161EA">
        <w:rPr>
          <w:lang w:val="en-US"/>
        </w:rPr>
        <w:t>hreat-related SCR were analyzed using mixed-design ANOVAs</w:t>
      </w:r>
      <w:r>
        <w:rPr>
          <w:lang w:val="en-US"/>
        </w:rPr>
        <w:t xml:space="preserve"> with SPSS version 24</w:t>
      </w:r>
      <w:r w:rsidR="00BF0E84">
        <w:rPr>
          <w:lang w:val="en-US"/>
        </w:rPr>
        <w:t xml:space="preserve">. In this analysis, the </w:t>
      </w:r>
      <w:r w:rsidR="00F44A72" w:rsidRPr="007161EA">
        <w:rPr>
          <w:lang w:val="en-US"/>
        </w:rPr>
        <w:t xml:space="preserve">factor </w:t>
      </w:r>
      <w:r w:rsidR="00F44A72" w:rsidRPr="007161EA">
        <w:rPr>
          <w:i/>
          <w:lang w:val="en-US"/>
        </w:rPr>
        <w:t>Body Visual Continuity</w:t>
      </w:r>
      <w:r w:rsidR="00F44A72" w:rsidRPr="007161EA">
        <w:rPr>
          <w:lang w:val="en-US"/>
        </w:rPr>
        <w:t xml:space="preserve"> was included as a within-group factor and the factors </w:t>
      </w:r>
      <w:r w:rsidR="00F44A72" w:rsidRPr="007161EA">
        <w:rPr>
          <w:i/>
          <w:lang w:val="en-US"/>
        </w:rPr>
        <w:t>Awareness</w:t>
      </w:r>
      <w:r w:rsidR="00F44A72" w:rsidRPr="007161EA">
        <w:rPr>
          <w:lang w:val="en-US"/>
        </w:rPr>
        <w:t xml:space="preserve"> and </w:t>
      </w:r>
      <w:r w:rsidR="00F44A72" w:rsidRPr="007161EA">
        <w:rPr>
          <w:i/>
          <w:lang w:val="en-US"/>
        </w:rPr>
        <w:t>Order</w:t>
      </w:r>
      <w:r w:rsidR="00F44A72" w:rsidRPr="007161EA">
        <w:rPr>
          <w:lang w:val="en-US"/>
        </w:rPr>
        <w:t xml:space="preserve"> were set as the between-group factors. The factor </w:t>
      </w:r>
      <w:r w:rsidR="00F44A72" w:rsidRPr="007161EA">
        <w:rPr>
          <w:i/>
          <w:lang w:val="en-US"/>
        </w:rPr>
        <w:t>Awareness</w:t>
      </w:r>
      <w:r w:rsidR="00F44A72" w:rsidRPr="007161EA">
        <w:rPr>
          <w:lang w:val="en-US"/>
        </w:rPr>
        <w:t xml:space="preserve"> was included in the analysis to control for the potential influence of participants consciously noticing or not the experimental manipulation (i.e., visual continuity of the body). Moreover, despite the use of a full counterbalanced design, we further included the factor </w:t>
      </w:r>
      <w:r w:rsidR="00F44A72" w:rsidRPr="007161EA">
        <w:rPr>
          <w:i/>
          <w:lang w:val="en-US"/>
        </w:rPr>
        <w:t>Order</w:t>
      </w:r>
      <w:r w:rsidR="00F44A72" w:rsidRPr="007161EA">
        <w:rPr>
          <w:lang w:val="en-US"/>
        </w:rPr>
        <w:t xml:space="preserve"> in this analysis to thoroughly control for physiological habituation effects related to the repeated exposure to the virtual threat</w:t>
      </w:r>
      <w:r w:rsidR="00F44A72" w:rsidRPr="007161EA">
        <w:rPr>
          <w:lang w:val="en-US"/>
        </w:rPr>
        <w:fldChar w:fldCharType="begin" w:fldLock="1"/>
      </w:r>
      <w:r w:rsidR="00F44A72" w:rsidRPr="007161EA">
        <w:rPr>
          <w:lang w:val="en-US"/>
        </w:rPr>
        <w:instrText>ADDIN CSL_CITATION {"citationItems":[{"id":"ITEM-1","itemData":{"DOI":"10.1016/j.ijpsycho.2014.11.010","ISSN":"18727697","abstract":"A marked signature of fear extinction is its vulnerability for relapse. Here, we departed from the standard extinction principle and examined the ability of habituation to reduce conditioned fear reactions and prevent relapse. In a human fear conditioning paradigm, we first established one visual stimulus as a signal for an impending aversive electrical stimulation, while another visual stimulus was never followed by this stimulation. Next, the screen color changed and participants were exposed to either the visual stimuli without electrical stimulation (extinction treatment) or to the electrical stimulation without the visual stimuli (habituation treatment). Finally, the screen color changed back and the two visual stimuli were tested. Verbal ratings showed a return of conditioned shock-expectancy in the two groups, while skin conductance reactivity showed conditioned discrimination following exposures to the visual stimuli, but not following exposures to the electrical stimulation. We conclude that a habituation treatment outperforms an extinction treatment, and that shock-expectancy and skin conductance can dissociate under some conditions.","author":[{"dropping-particle":"","family":"Haesen","given":"Kim","non-dropping-particle":"","parse-names":false,"suffix":""},{"dropping-particle":"","family":"Vervliet","given":"Bram","non-dropping-particle":"","parse-names":false,"suffix":""}],"container-title":"International Journal of Psychophysiology","id":"ITEM-1","issue":"3","issued":{"date-parts":[["2015","12","1"]]},"page":"529-534","publisher":"Elsevier","title":"Beyond extinction: Habituation eliminates conditioned skin conductance across contexts","type":"article-journal","volume":"98"},"uris":["http://www.mendeley.com/documents/?uuid=ebc9b498-0c27-3a91-ab4e-795b24c0fefd"]}],"mendeley":{"formattedCitation":"&lt;sup&gt;38&lt;/sup&gt;","plainTextFormattedCitation":"38","previouslyFormattedCitation":"&lt;sup&gt;38&lt;/sup&gt;"},"properties":{"noteIndex":0},"schema":"https://github.com/citation-style-language/schema/raw/master/csl-citation.json"}</w:instrText>
      </w:r>
      <w:r w:rsidR="00F44A72" w:rsidRPr="007161EA">
        <w:rPr>
          <w:lang w:val="en-US"/>
        </w:rPr>
        <w:fldChar w:fldCharType="separate"/>
      </w:r>
      <w:r w:rsidR="00F44A72" w:rsidRPr="007161EA">
        <w:rPr>
          <w:noProof/>
          <w:vertAlign w:val="superscript"/>
          <w:lang w:val="en-US"/>
        </w:rPr>
        <w:t>38</w:t>
      </w:r>
      <w:r w:rsidR="00F44A72" w:rsidRPr="007161EA">
        <w:rPr>
          <w:lang w:val="en-US"/>
        </w:rPr>
        <w:fldChar w:fldCharType="end"/>
      </w:r>
      <w:r w:rsidR="00F44A72" w:rsidRPr="007161EA">
        <w:rPr>
          <w:lang w:val="en-US"/>
        </w:rPr>
        <w:t xml:space="preserve"> and to control for potential learning effects (i.e., training) in the motor task</w:t>
      </w:r>
      <w:r w:rsidR="00F44A72" w:rsidRPr="007161EA">
        <w:rPr>
          <w:lang w:val="en-US"/>
        </w:rPr>
        <w:fldChar w:fldCharType="begin" w:fldLock="1"/>
      </w:r>
      <w:r w:rsidR="00F44A72" w:rsidRPr="007161EA">
        <w:rPr>
          <w:lang w:val="en-US"/>
        </w:rPr>
        <w:instrText>ADDIN CSL_CITATION {"citationItems":[{"id":"ITEM-1","itemData":{"DOI":"10.1007/s00221-019-05653-5","ISSN":"14321106","abstract":"Although learning and adapting to visuo-motor tasks is critical to child development and health conditions requiring rehabilitation, the neural processes involved in learning a new visuo-motor task and adapting it to novel conditions such as execution with an untrained limb are not fully understood. Therefore, we trained 27 healthy, right-hand-dominant individuals aged 18–35 years to perform a multidirectional point-to-point visually rotated aiming task with a joystick during functional magnetic resonance imaging, with 13 participants learning the task with the dominant (D) and 14 with the non-dominant (ND) hand. All individuals performed the task with the trained and untrained hand before and after training. As expected, performance of both the trained and the untrained hand improved significantly over the course of task acquisition. Brain functional changes associated with adaptation to the demands of the task, and execution differed significantly between D and ND groups. In particular, the ND group showed greater recruitment of visual and motor regions (left middle occipital and left precentral gyri) than the D group during task acquisition. In addition, the D group exhibited greater recruitment of motor planning regions (left precuneus) that contribute to performance with the trained hand, even after bilateral transfer—switching from the trained to non-trained hand. The D group showed more persistence of activation in sensorimotor regions—greater activation when returning to the rotated task after a switching to a simpler, non-rotated aiming task for a short interval. Finally, the D group showed more activation after-effects—increases in simpler task activation after training on the visually rotated task. The findings suggest that brain functional changes associated with adaptation to a visuo-motor skill may differ substantially depending on whether the dominant or non-dominant hand is trained, with non-dominant-hand training associated with greater activation during acquisition, and dominant-hand training associated with greater activation during bilateral transfer, persistence, and after-effects.","author":[{"dropping-particle":"","family":"Kirby","given":"Krystal M.","non-dropping-particle":"","parse-names":false,"suffix":""},{"dropping-particle":"","family":"Pillai","given":"Sreekrishna Ramakrishna","non-dropping-particle":"","parse-names":false,"suffix":""},{"dropping-particle":"","family":"Carmichael","given":"Owen T.","non-dropping-particle":"","parse-names":false,"suffix":""},{"dropping-particle":"","family":"Gemmert","given":"Arend W.A.","non-dropping-particle":"Van","parse-names":false,"suffix":""}],"container-title":"Experimental Brain Research","id":"ITEM-1","issue":"12","issued":{"date-parts":[["2019","12","1"]]},"page":"3109-3121","publisher":"Springer","title":"Brain functional differences in visuo-motor task adaptation between dominant and non-dominant hand training","type":"article-journal","volume":"237"},"uris":["http://www.mendeley.com/documents/?uuid=64997119-7bef-3999-bf21-53e24719a23d"]}],"mendeley":{"formattedCitation":"&lt;sup&gt;39&lt;/sup&gt;","plainTextFormattedCitation":"39","previouslyFormattedCitation":"&lt;sup&gt;39&lt;/sup&gt;"},"properties":{"noteIndex":0},"schema":"https://github.com/citation-style-language/schema/raw/master/csl-citation.json"}</w:instrText>
      </w:r>
      <w:r w:rsidR="00F44A72" w:rsidRPr="007161EA">
        <w:rPr>
          <w:lang w:val="en-US"/>
        </w:rPr>
        <w:fldChar w:fldCharType="separate"/>
      </w:r>
      <w:r w:rsidR="00F44A72" w:rsidRPr="007161EA">
        <w:rPr>
          <w:noProof/>
          <w:vertAlign w:val="superscript"/>
          <w:lang w:val="en-US"/>
        </w:rPr>
        <w:t>39</w:t>
      </w:r>
      <w:r w:rsidR="00F44A72" w:rsidRPr="007161EA">
        <w:rPr>
          <w:lang w:val="en-US"/>
        </w:rPr>
        <w:fldChar w:fldCharType="end"/>
      </w:r>
      <w:r w:rsidR="00F44A72" w:rsidRPr="007161EA">
        <w:rPr>
          <w:lang w:val="en-US"/>
        </w:rPr>
        <w:t>. The residual errors of the ANOVA analysis were tested for normality using Shapiro-Wilk tests. Significance of results was calculated with a 95% confidence level.</w:t>
      </w:r>
    </w:p>
    <w:p w:rsidR="003607F4" w:rsidRPr="008F57E0" w:rsidRDefault="003607F4" w:rsidP="003607F4">
      <w:pPr>
        <w:pStyle w:val="Heading2"/>
        <w:numPr>
          <w:ilvl w:val="0"/>
          <w:numId w:val="2"/>
        </w:numPr>
        <w:rPr>
          <w:b/>
          <w:color w:val="000000" w:themeColor="text1"/>
          <w:lang w:val="en-US"/>
        </w:rPr>
      </w:pPr>
      <w:r>
        <w:rPr>
          <w:b/>
          <w:color w:val="000000" w:themeColor="text1"/>
          <w:lang w:val="en-US"/>
        </w:rPr>
        <w:t>Threat-related SCR Results</w:t>
      </w:r>
    </w:p>
    <w:p w:rsidR="003607F4" w:rsidRPr="007161EA" w:rsidRDefault="003607F4" w:rsidP="003607F4">
      <w:pPr>
        <w:jc w:val="both"/>
        <w:rPr>
          <w:color w:val="000000" w:themeColor="text1"/>
          <w:lang w:val="en-US"/>
        </w:rPr>
      </w:pPr>
      <w:r w:rsidRPr="007161EA">
        <w:rPr>
          <w:color w:val="000000"/>
          <w:lang w:val="en-US"/>
        </w:rPr>
        <w:t xml:space="preserve">As shown in </w:t>
      </w:r>
      <w:r w:rsidR="00FF6131">
        <w:rPr>
          <w:b/>
          <w:bCs/>
          <w:color w:val="000000"/>
          <w:lang w:val="en-US"/>
        </w:rPr>
        <w:t>Figure 1S</w:t>
      </w:r>
      <w:r w:rsidRPr="007161EA">
        <w:rPr>
          <w:color w:val="000000"/>
          <w:lang w:val="en-US"/>
        </w:rPr>
        <w:t xml:space="preserve">, most participants had a pronounced increase in their skin conductance response after being virtually threatened by a shuriken. Below we describe the results of the </w:t>
      </w:r>
      <w:r w:rsidRPr="007161EA">
        <w:rPr>
          <w:lang w:val="en-US"/>
        </w:rPr>
        <w:t>ANOVAs carried out to analyze threat-related SCR in a 10 sec time window after the virtual threat onset. The analysis was carried out in a total sample of n=30, since the data of one participant was not correctly logged.</w:t>
      </w:r>
    </w:p>
    <w:p w:rsidR="003607F4" w:rsidRPr="007161EA" w:rsidRDefault="003607F4" w:rsidP="003607F4">
      <w:pPr>
        <w:jc w:val="both"/>
        <w:rPr>
          <w:color w:val="000000"/>
          <w:lang w:val="en-US"/>
        </w:rPr>
      </w:pPr>
      <w:r w:rsidRPr="007161EA">
        <w:rPr>
          <w:color w:val="000000"/>
          <w:lang w:val="en-US"/>
        </w:rPr>
        <w:t xml:space="preserve">In a 10 sec time window after the virtual threat onset, the main effects of </w:t>
      </w:r>
      <w:r w:rsidRPr="007161EA">
        <w:rPr>
          <w:i/>
          <w:lang w:val="en-US"/>
        </w:rPr>
        <w:t xml:space="preserve">Body Visual Continuity </w:t>
      </w:r>
      <w:r w:rsidRPr="007161EA">
        <w:rPr>
          <w:color w:val="000000"/>
          <w:lang w:val="en-US"/>
        </w:rPr>
        <w:t>(</w:t>
      </w:r>
      <w:proofErr w:type="gramStart"/>
      <w:r w:rsidRPr="007161EA">
        <w:rPr>
          <w:color w:val="000000"/>
          <w:lang w:val="en-US"/>
        </w:rPr>
        <w:t>F(</w:t>
      </w:r>
      <w:proofErr w:type="gramEnd"/>
      <w:r w:rsidRPr="007161EA">
        <w:rPr>
          <w:color w:val="000000"/>
          <w:lang w:val="en-US"/>
        </w:rPr>
        <w:t>1,26)=0.50, p=0.49, partial η2=0.02)</w:t>
      </w:r>
      <w:r w:rsidRPr="007161EA">
        <w:rPr>
          <w:lang w:val="en-US"/>
        </w:rPr>
        <w:t xml:space="preserve">, </w:t>
      </w:r>
      <w:r w:rsidRPr="007161EA">
        <w:rPr>
          <w:i/>
          <w:lang w:val="en-US"/>
        </w:rPr>
        <w:t xml:space="preserve">Order </w:t>
      </w:r>
      <w:r w:rsidRPr="007161EA">
        <w:rPr>
          <w:color w:val="000000"/>
          <w:lang w:val="en-US"/>
        </w:rPr>
        <w:t>(F(1,26)=0.06, p=0.81, partial η2=0.01)</w:t>
      </w:r>
      <w:r w:rsidRPr="007161EA">
        <w:rPr>
          <w:lang w:val="en-US"/>
        </w:rPr>
        <w:t xml:space="preserve">, or </w:t>
      </w:r>
      <w:r w:rsidRPr="007161EA">
        <w:rPr>
          <w:i/>
          <w:lang w:val="en-US"/>
        </w:rPr>
        <w:t xml:space="preserve">Awareness </w:t>
      </w:r>
      <w:r w:rsidRPr="007161EA">
        <w:rPr>
          <w:color w:val="000000"/>
          <w:lang w:val="en-US"/>
        </w:rPr>
        <w:t>(F(1,26)=1.43, p=0.24, partial η2=0.05)</w:t>
      </w:r>
      <w:r w:rsidRPr="007161EA">
        <w:rPr>
          <w:lang w:val="en-US"/>
        </w:rPr>
        <w:t xml:space="preserve"> on SCR were not </w:t>
      </w:r>
      <w:r w:rsidRPr="007161EA">
        <w:rPr>
          <w:color w:val="000000"/>
          <w:lang w:val="en-US"/>
        </w:rPr>
        <w:t xml:space="preserve">significant. Moreover, no significant interaction effects were found between </w:t>
      </w:r>
      <w:r w:rsidRPr="007161EA">
        <w:rPr>
          <w:i/>
          <w:lang w:val="en-US"/>
        </w:rPr>
        <w:t>Body Visual Continuity</w:t>
      </w:r>
      <w:r w:rsidRPr="007161EA">
        <w:rPr>
          <w:color w:val="000000"/>
          <w:lang w:val="en-US"/>
        </w:rPr>
        <w:t>*</w:t>
      </w:r>
      <w:r w:rsidRPr="007161EA">
        <w:rPr>
          <w:i/>
          <w:iCs/>
          <w:color w:val="000000"/>
          <w:lang w:val="en-US"/>
        </w:rPr>
        <w:t>Order</w:t>
      </w:r>
      <w:r w:rsidRPr="007161EA">
        <w:rPr>
          <w:color w:val="000000"/>
          <w:lang w:val="en-US"/>
        </w:rPr>
        <w:t xml:space="preserve"> (</w:t>
      </w:r>
      <w:proofErr w:type="gramStart"/>
      <w:r w:rsidRPr="007161EA">
        <w:rPr>
          <w:color w:val="000000"/>
          <w:lang w:val="en-US"/>
        </w:rPr>
        <w:t>F(</w:t>
      </w:r>
      <w:proofErr w:type="gramEnd"/>
      <w:r w:rsidRPr="007161EA">
        <w:rPr>
          <w:color w:val="000000"/>
          <w:lang w:val="en-US"/>
        </w:rPr>
        <w:t xml:space="preserve">1,26)=2.66, p=0.12, partial </w:t>
      </w:r>
      <w:r w:rsidRPr="007161EA">
        <w:rPr>
          <w:color w:val="000000"/>
          <w:lang w:val="en-US"/>
        </w:rPr>
        <w:lastRenderedPageBreak/>
        <w:t xml:space="preserve">η2=0.09) or between </w:t>
      </w:r>
      <w:r w:rsidRPr="007161EA">
        <w:rPr>
          <w:i/>
          <w:lang w:val="en-US"/>
        </w:rPr>
        <w:t>Body Visual Continuity*Awareness</w:t>
      </w:r>
      <w:r w:rsidRPr="007161EA">
        <w:rPr>
          <w:lang w:val="en-US"/>
        </w:rPr>
        <w:t xml:space="preserve"> </w:t>
      </w:r>
      <w:r w:rsidRPr="007161EA">
        <w:rPr>
          <w:color w:val="000000"/>
          <w:lang w:val="en-US"/>
        </w:rPr>
        <w:t xml:space="preserve">(F(1, 26)=2.79, p=0.11, partial η2=0.10). Therefore, the SCR percentage of amplitude change in response to a virtual threat did not differ between the </w:t>
      </w:r>
      <w:r w:rsidRPr="007161EA">
        <w:rPr>
          <w:i/>
          <w:iCs/>
          <w:color w:val="000000"/>
          <w:lang w:val="en-US"/>
        </w:rPr>
        <w:t>Connected</w:t>
      </w:r>
      <w:r w:rsidRPr="007161EA">
        <w:rPr>
          <w:color w:val="000000"/>
          <w:lang w:val="en-US"/>
        </w:rPr>
        <w:t xml:space="preserve"> (Mean=39.09, SD=31.83) and </w:t>
      </w:r>
      <w:r w:rsidRPr="007161EA">
        <w:rPr>
          <w:i/>
          <w:iCs/>
          <w:color w:val="000000"/>
          <w:lang w:val="en-US"/>
        </w:rPr>
        <w:t xml:space="preserve">Disconnected </w:t>
      </w:r>
      <w:r w:rsidRPr="007161EA">
        <w:rPr>
          <w:color w:val="000000"/>
          <w:lang w:val="en-US"/>
        </w:rPr>
        <w:t>hands (Mean=40.78, SD=29.30) in a 10 sec time window. The ANOVA residual errors were normally distributed.</w:t>
      </w:r>
    </w:p>
    <w:p w:rsidR="003607F4" w:rsidRPr="007161EA" w:rsidRDefault="003607F4" w:rsidP="003607F4">
      <w:pPr>
        <w:jc w:val="both"/>
        <w:rPr>
          <w:lang w:val="en-US"/>
        </w:rPr>
      </w:pPr>
      <w:r w:rsidRPr="007161EA">
        <w:rPr>
          <w:color w:val="000000"/>
          <w:lang w:val="en-US"/>
        </w:rPr>
        <w:t xml:space="preserve">We additionally also run the same analysis using the mean SCR standard deviations and slope coefficients as the dependent variables, finding no significant differences. </w:t>
      </w:r>
    </w:p>
    <w:p w:rsidR="003607F4" w:rsidRPr="007161EA" w:rsidRDefault="003607F4" w:rsidP="00F44A72">
      <w:pPr>
        <w:jc w:val="both"/>
        <w:rPr>
          <w:lang w:val="en-US"/>
        </w:rPr>
      </w:pPr>
    </w:p>
    <w:p w:rsidR="00F44A72" w:rsidRPr="007161EA" w:rsidRDefault="00FF6131" w:rsidP="003D6232">
      <w:pPr>
        <w:jc w:val="both"/>
        <w:rPr>
          <w:lang w:val="en-US"/>
        </w:rPr>
      </w:pPr>
      <w:r>
        <w:rPr>
          <w:noProof/>
          <w:lang w:eastAsia="en-GB"/>
        </w:rPr>
        <w:drawing>
          <wp:anchor distT="0" distB="0" distL="114300" distR="114300" simplePos="0" relativeHeight="251659264" behindDoc="0" locked="0" layoutInCell="1" allowOverlap="1">
            <wp:simplePos x="0" y="0"/>
            <wp:positionH relativeFrom="page">
              <wp:posOffset>899795</wp:posOffset>
            </wp:positionH>
            <wp:positionV relativeFrom="page">
              <wp:posOffset>2778125</wp:posOffset>
            </wp:positionV>
            <wp:extent cx="5760720" cy="22569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pl.jpg"/>
                    <pic:cNvPicPr/>
                  </pic:nvPicPr>
                  <pic:blipFill>
                    <a:blip r:embed="rId5">
                      <a:extLst>
                        <a:ext uri="{28A0092B-C50C-407E-A947-70E740481C1C}">
                          <a14:useLocalDpi xmlns:a14="http://schemas.microsoft.com/office/drawing/2010/main" val="0"/>
                        </a:ext>
                      </a:extLst>
                    </a:blip>
                    <a:stretch>
                      <a:fillRect/>
                    </a:stretch>
                  </pic:blipFill>
                  <pic:spPr>
                    <a:xfrm>
                      <a:off x="0" y="0"/>
                      <a:ext cx="5760720" cy="2256905"/>
                    </a:xfrm>
                    <a:prstGeom prst="rect">
                      <a:avLst/>
                    </a:prstGeom>
                  </pic:spPr>
                </pic:pic>
              </a:graphicData>
            </a:graphic>
          </wp:anchor>
        </w:drawing>
      </w:r>
    </w:p>
    <w:p w:rsidR="00545E9D" w:rsidRDefault="00545E9D">
      <w:pPr>
        <w:rPr>
          <w:lang w:val="en-US"/>
        </w:rPr>
      </w:pPr>
    </w:p>
    <w:p w:rsidR="00DA1D8B" w:rsidRPr="007161EA" w:rsidRDefault="00FF6131" w:rsidP="00DA1D8B">
      <w:pPr>
        <w:jc w:val="both"/>
        <w:rPr>
          <w:lang w:val="en-US"/>
        </w:rPr>
      </w:pPr>
      <w:r>
        <w:rPr>
          <w:lang w:val="en-US"/>
        </w:rPr>
        <w:t>Figure 1S</w:t>
      </w:r>
      <w:r w:rsidR="00DA1D8B" w:rsidRPr="007161EA">
        <w:rPr>
          <w:lang w:val="en-US"/>
        </w:rPr>
        <w:t>. Percentage of change in skin conductance (SC) amplitude 10 seconds after the virtual threat onset (i.e., virtual shuriken harming the hand). The red thick line represents the mean values of all participants, while the thinner lines represent individual values.</w:t>
      </w:r>
    </w:p>
    <w:p w:rsidR="00DA1D8B" w:rsidRPr="003D6232" w:rsidRDefault="00DA1D8B">
      <w:pPr>
        <w:rPr>
          <w:lang w:val="en-US"/>
        </w:rPr>
      </w:pPr>
      <w:bookmarkStart w:id="0" w:name="_GoBack"/>
      <w:bookmarkEnd w:id="0"/>
    </w:p>
    <w:sectPr w:rsidR="00DA1D8B" w:rsidRPr="003D623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E685F"/>
    <w:multiLevelType w:val="multilevel"/>
    <w:tmpl w:val="9A9CDAB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DA14CC"/>
    <w:multiLevelType w:val="hybridMultilevel"/>
    <w:tmpl w:val="E408A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C0576A"/>
    <w:multiLevelType w:val="hybridMultilevel"/>
    <w:tmpl w:val="E408A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232"/>
    <w:rsid w:val="003607F4"/>
    <w:rsid w:val="003D6232"/>
    <w:rsid w:val="00545E9D"/>
    <w:rsid w:val="008B24AE"/>
    <w:rsid w:val="0097256F"/>
    <w:rsid w:val="009D0BFE"/>
    <w:rsid w:val="00BF0E84"/>
    <w:rsid w:val="00DA1D8B"/>
    <w:rsid w:val="00F44A72"/>
    <w:rsid w:val="00FF6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0F5B"/>
  <w15:chartTrackingRefBased/>
  <w15:docId w15:val="{24453531-6C2E-4507-A4F1-9BFE1D1C0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232"/>
  </w:style>
  <w:style w:type="paragraph" w:styleId="Heading2">
    <w:name w:val="heading 2"/>
    <w:basedOn w:val="Normal"/>
    <w:next w:val="Normal"/>
    <w:link w:val="Heading2Char"/>
    <w:uiPriority w:val="9"/>
    <w:unhideWhenUsed/>
    <w:qFormat/>
    <w:rsid w:val="003D62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D6232"/>
    <w:pPr>
      <w:spacing w:before="100" w:beforeAutospacing="1" w:after="120" w:line="240" w:lineRule="auto"/>
      <w:jc w:val="center"/>
      <w:outlineLvl w:val="0"/>
    </w:pPr>
    <w:rPr>
      <w:rFonts w:ascii="Arial" w:eastAsia="Times New Roman" w:hAnsi="Arial" w:cs="Times New Roman"/>
      <w:b/>
      <w:kern w:val="28"/>
      <w:sz w:val="36"/>
      <w:szCs w:val="20"/>
      <w:lang w:val="en-US"/>
    </w:rPr>
  </w:style>
  <w:style w:type="character" w:customStyle="1" w:styleId="TitleChar">
    <w:name w:val="Title Char"/>
    <w:basedOn w:val="DefaultParagraphFont"/>
    <w:link w:val="Title"/>
    <w:rsid w:val="003D6232"/>
    <w:rPr>
      <w:rFonts w:ascii="Arial" w:eastAsia="Times New Roman" w:hAnsi="Arial" w:cs="Times New Roman"/>
      <w:b/>
      <w:kern w:val="28"/>
      <w:sz w:val="36"/>
      <w:szCs w:val="20"/>
      <w:lang w:val="en-US"/>
    </w:rPr>
  </w:style>
  <w:style w:type="character" w:styleId="Hyperlink">
    <w:name w:val="Hyperlink"/>
    <w:rsid w:val="003D6232"/>
    <w:rPr>
      <w:color w:val="4173AF"/>
      <w:sz w:val="20"/>
      <w:szCs w:val="20"/>
    </w:rPr>
  </w:style>
  <w:style w:type="character" w:customStyle="1" w:styleId="Heading2Char">
    <w:name w:val="Heading 2 Char"/>
    <w:basedOn w:val="DefaultParagraphFont"/>
    <w:link w:val="Heading2"/>
    <w:uiPriority w:val="9"/>
    <w:rsid w:val="003D623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Seinfeld Tarafa, Sofia</dc:creator>
  <cp:keywords/>
  <dc:description/>
  <cp:lastModifiedBy>Seinfeld Tarafa, Sofia</cp:lastModifiedBy>
  <cp:revision>7</cp:revision>
  <dcterms:created xsi:type="dcterms:W3CDTF">2020-08-19T11:35:00Z</dcterms:created>
  <dcterms:modified xsi:type="dcterms:W3CDTF">2020-08-19T12:37:00Z</dcterms:modified>
</cp:coreProperties>
</file>