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E834F" w14:textId="77777777" w:rsidR="0031558F" w:rsidRPr="00354E33" w:rsidRDefault="0031558F" w:rsidP="0031558F">
      <w:pPr>
        <w:pStyle w:val="PlainText"/>
        <w:rPr>
          <w:rFonts w:ascii="Arial" w:hAnsi="Arial" w:cs="Arial"/>
          <w:b/>
          <w:bCs/>
        </w:rPr>
      </w:pPr>
      <w:r w:rsidRPr="00354E33">
        <w:rPr>
          <w:rFonts w:ascii="Arial" w:hAnsi="Arial" w:cs="Arial"/>
          <w:b/>
          <w:bCs/>
        </w:rPr>
        <w:t>Supplementary Materials</w:t>
      </w:r>
    </w:p>
    <w:p w14:paraId="4BE1B7CE" w14:textId="77777777" w:rsidR="0031558F" w:rsidRDefault="0031558F" w:rsidP="00E46B3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color w:val="000000" w:themeColor="text1"/>
        </w:rPr>
      </w:pPr>
    </w:p>
    <w:p w14:paraId="64D89128" w14:textId="38706BBB" w:rsidR="00E46B3A" w:rsidRPr="002E1FCB" w:rsidRDefault="00E46B3A" w:rsidP="00E46B3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color w:val="000000" w:themeColor="text1"/>
        </w:rPr>
      </w:pPr>
      <w:r w:rsidRPr="002E1FCB">
        <w:rPr>
          <w:rFonts w:ascii="Arial" w:hAnsi="Arial" w:cs="Arial"/>
          <w:b/>
          <w:bCs/>
          <w:color w:val="000000" w:themeColor="text1"/>
        </w:rPr>
        <w:t>Plasma protein expression profiles, cardiovascular disease, and religious struggles among South Asians in the MASALA study </w:t>
      </w:r>
    </w:p>
    <w:p w14:paraId="6345AA75" w14:textId="77777777" w:rsidR="00E46B3A" w:rsidRPr="002E1FCB" w:rsidRDefault="00E46B3A" w:rsidP="00E46B3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color w:val="000000" w:themeColor="text1"/>
        </w:rPr>
      </w:pPr>
    </w:p>
    <w:p w14:paraId="02A93F2C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color w:val="000000" w:themeColor="text1"/>
        </w:rPr>
      </w:pPr>
      <w:r w:rsidRPr="002E1FCB">
        <w:rPr>
          <w:rFonts w:ascii="Arial" w:hAnsi="Arial" w:cs="Arial"/>
          <w:color w:val="000000" w:themeColor="text1"/>
        </w:rPr>
        <w:t>Long H. Ngo</w:t>
      </w:r>
      <w:r w:rsidRPr="002E1FCB">
        <w:rPr>
          <w:rFonts w:ascii="Arial" w:hAnsi="Arial" w:cs="Arial"/>
          <w:color w:val="000000" w:themeColor="text1"/>
          <w:vertAlign w:val="superscript"/>
        </w:rPr>
        <w:t>1,2,3*</w:t>
      </w:r>
      <w:r w:rsidRPr="002E1FCB">
        <w:rPr>
          <w:rFonts w:ascii="Arial" w:hAnsi="Arial" w:cs="Arial"/>
          <w:color w:val="000000" w:themeColor="text1"/>
        </w:rPr>
        <w:t>, M. Austin Argentieri</w:t>
      </w:r>
      <w:r w:rsidRPr="002E1FCB">
        <w:rPr>
          <w:rFonts w:ascii="Arial" w:hAnsi="Arial" w:cs="Arial"/>
          <w:color w:val="000000" w:themeColor="text1"/>
          <w:vertAlign w:val="superscript"/>
        </w:rPr>
        <w:t>4,5</w:t>
      </w:r>
      <w:r w:rsidRPr="002E1FCB">
        <w:rPr>
          <w:rFonts w:ascii="Arial" w:hAnsi="Arial" w:cs="Arial"/>
          <w:color w:val="000000" w:themeColor="text1"/>
        </w:rPr>
        <w:t>, Simon T. Dillon</w:t>
      </w:r>
      <w:r w:rsidRPr="002E1FCB">
        <w:rPr>
          <w:rFonts w:ascii="Arial" w:hAnsi="Arial" w:cs="Arial"/>
          <w:color w:val="000000" w:themeColor="text1"/>
          <w:vertAlign w:val="superscript"/>
        </w:rPr>
        <w:t>1,2</w:t>
      </w:r>
      <w:r w:rsidRPr="002E1FCB">
        <w:rPr>
          <w:rFonts w:ascii="Arial" w:hAnsi="Arial" w:cs="Arial"/>
          <w:color w:val="000000" w:themeColor="text1"/>
        </w:rPr>
        <w:t>, Blake Victor Kent</w:t>
      </w:r>
      <w:r w:rsidRPr="002E1FCB">
        <w:rPr>
          <w:rFonts w:ascii="Arial" w:hAnsi="Arial" w:cs="Arial"/>
          <w:color w:val="000000" w:themeColor="text1"/>
          <w:vertAlign w:val="superscript"/>
        </w:rPr>
        <w:t>4,6</w:t>
      </w:r>
      <w:r w:rsidRPr="002E1FCB">
        <w:rPr>
          <w:rFonts w:ascii="Arial" w:hAnsi="Arial" w:cs="Arial"/>
          <w:color w:val="000000" w:themeColor="text1"/>
        </w:rPr>
        <w:t>, Alka M. Kanaya</w:t>
      </w:r>
      <w:r w:rsidRPr="002E1FCB">
        <w:rPr>
          <w:rFonts w:ascii="Arial" w:hAnsi="Arial" w:cs="Arial"/>
          <w:color w:val="000000" w:themeColor="text1"/>
          <w:vertAlign w:val="superscript"/>
        </w:rPr>
        <w:t>7</w:t>
      </w:r>
      <w:r w:rsidRPr="002E1FCB">
        <w:rPr>
          <w:rFonts w:ascii="Arial" w:hAnsi="Arial" w:cs="Arial"/>
          <w:color w:val="000000" w:themeColor="text1"/>
        </w:rPr>
        <w:t>^, Alexandra E. Shields</w:t>
      </w:r>
      <w:r w:rsidRPr="002E1FCB">
        <w:rPr>
          <w:rFonts w:ascii="Arial" w:hAnsi="Arial" w:cs="Arial"/>
          <w:color w:val="000000" w:themeColor="text1"/>
          <w:vertAlign w:val="superscript"/>
        </w:rPr>
        <w:t>1,4</w:t>
      </w:r>
      <w:r w:rsidRPr="002E1FCB">
        <w:rPr>
          <w:rFonts w:ascii="Arial" w:hAnsi="Arial" w:cs="Arial"/>
          <w:color w:val="000000" w:themeColor="text1"/>
        </w:rPr>
        <w:t xml:space="preserve">^, </w:t>
      </w:r>
      <w:proofErr w:type="spellStart"/>
      <w:r w:rsidRPr="002E1FCB">
        <w:rPr>
          <w:rFonts w:ascii="Arial" w:hAnsi="Arial" w:cs="Arial"/>
          <w:color w:val="000000" w:themeColor="text1"/>
        </w:rPr>
        <w:t>Towia</w:t>
      </w:r>
      <w:proofErr w:type="spellEnd"/>
      <w:r w:rsidRPr="002E1FCB">
        <w:rPr>
          <w:rFonts w:ascii="Arial" w:hAnsi="Arial" w:cs="Arial"/>
          <w:color w:val="000000" w:themeColor="text1"/>
        </w:rPr>
        <w:t xml:space="preserve"> A. Libermann</w:t>
      </w:r>
      <w:r w:rsidRPr="002E1FCB">
        <w:rPr>
          <w:rFonts w:ascii="Arial" w:hAnsi="Arial" w:cs="Arial"/>
          <w:color w:val="000000" w:themeColor="text1"/>
          <w:vertAlign w:val="superscript"/>
        </w:rPr>
        <w:t>1,2</w:t>
      </w:r>
      <w:r w:rsidRPr="002E1FCB">
        <w:rPr>
          <w:rFonts w:ascii="Arial" w:hAnsi="Arial" w:cs="Arial"/>
          <w:color w:val="000000" w:themeColor="text1"/>
        </w:rPr>
        <w:t>^</w:t>
      </w:r>
    </w:p>
    <w:p w14:paraId="7ECFF46C" w14:textId="0D07B68B" w:rsidR="00A82453" w:rsidRDefault="00A82453" w:rsidP="00A82453">
      <w:pPr>
        <w:pStyle w:val="PlainText"/>
      </w:pPr>
    </w:p>
    <w:p w14:paraId="2A094E46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color w:val="000000" w:themeColor="text1"/>
        </w:rPr>
      </w:pPr>
      <w:r w:rsidRPr="002E1FCB">
        <w:rPr>
          <w:rFonts w:ascii="Arial" w:hAnsi="Arial" w:cs="Arial"/>
          <w:color w:val="000000" w:themeColor="text1"/>
          <w:vertAlign w:val="superscript"/>
        </w:rPr>
        <w:t xml:space="preserve">1 </w:t>
      </w:r>
      <w:r w:rsidRPr="002E1FCB">
        <w:rPr>
          <w:rFonts w:ascii="Arial" w:hAnsi="Arial" w:cs="Arial"/>
          <w:color w:val="000000" w:themeColor="text1"/>
        </w:rPr>
        <w:t>Harvard Medical School, Harvard University</w:t>
      </w:r>
    </w:p>
    <w:p w14:paraId="420C954B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color w:val="000000" w:themeColor="text1"/>
        </w:rPr>
      </w:pPr>
      <w:r w:rsidRPr="002E1FCB">
        <w:rPr>
          <w:rFonts w:ascii="Arial" w:hAnsi="Arial" w:cs="Arial"/>
          <w:color w:val="000000" w:themeColor="text1"/>
          <w:vertAlign w:val="superscript"/>
        </w:rPr>
        <w:t xml:space="preserve">2 </w:t>
      </w:r>
      <w:r w:rsidRPr="002E1FCB">
        <w:rPr>
          <w:rFonts w:ascii="Arial" w:hAnsi="Arial" w:cs="Arial"/>
          <w:color w:val="000000" w:themeColor="text1"/>
        </w:rPr>
        <w:t>BIDMC Genomics, Proteomics, Bioinformatics, and Systems Biology Center, Department of Medicine, Beth Israel Deaconess Medical Center</w:t>
      </w:r>
    </w:p>
    <w:p w14:paraId="77C82B1F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color w:val="000000" w:themeColor="text1"/>
        </w:rPr>
      </w:pPr>
      <w:r w:rsidRPr="002E1FCB">
        <w:rPr>
          <w:rFonts w:ascii="Arial" w:hAnsi="Arial" w:cs="Arial"/>
          <w:color w:val="000000" w:themeColor="text1"/>
          <w:vertAlign w:val="superscript"/>
        </w:rPr>
        <w:t xml:space="preserve">3 </w:t>
      </w:r>
      <w:r w:rsidRPr="002E1FCB">
        <w:rPr>
          <w:rFonts w:ascii="Arial" w:hAnsi="Arial" w:cs="Arial"/>
          <w:color w:val="000000" w:themeColor="text1"/>
        </w:rPr>
        <w:t>Department of Biostatistics, Harvard T.H. Chan School of Public Health</w:t>
      </w:r>
    </w:p>
    <w:p w14:paraId="552B2C09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color w:val="000000" w:themeColor="text1"/>
        </w:rPr>
      </w:pPr>
      <w:r w:rsidRPr="002E1FCB">
        <w:rPr>
          <w:rFonts w:ascii="Arial" w:hAnsi="Arial" w:cs="Arial"/>
          <w:color w:val="000000" w:themeColor="text1"/>
          <w:vertAlign w:val="superscript"/>
        </w:rPr>
        <w:t xml:space="preserve">4 </w:t>
      </w:r>
      <w:r w:rsidRPr="002E1FCB">
        <w:rPr>
          <w:rFonts w:ascii="Arial" w:hAnsi="Arial" w:cs="Arial"/>
          <w:color w:val="000000" w:themeColor="text1"/>
        </w:rPr>
        <w:t>Harvard/MGH Center on Genomics, Vulnerable Populations, and Health Disparities, Mongan Institute, Department of Medicine, Massachusetts General Hospital</w:t>
      </w:r>
    </w:p>
    <w:p w14:paraId="74454522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color w:val="000000" w:themeColor="text1"/>
        </w:rPr>
      </w:pPr>
      <w:r w:rsidRPr="002E1FCB">
        <w:rPr>
          <w:rFonts w:ascii="Arial" w:hAnsi="Arial" w:cs="Arial"/>
          <w:color w:val="000000" w:themeColor="text1"/>
          <w:vertAlign w:val="superscript"/>
        </w:rPr>
        <w:t xml:space="preserve">5 </w:t>
      </w:r>
      <w:r w:rsidRPr="002E1FCB">
        <w:rPr>
          <w:rFonts w:ascii="Arial" w:hAnsi="Arial" w:cs="Arial"/>
          <w:color w:val="000000" w:themeColor="text1"/>
        </w:rPr>
        <w:t>School of Anthropology and Museum Ethnography, University of Oxford</w:t>
      </w:r>
    </w:p>
    <w:p w14:paraId="207A30D3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color w:val="000000" w:themeColor="text1"/>
        </w:rPr>
      </w:pPr>
      <w:r w:rsidRPr="002E1FCB">
        <w:rPr>
          <w:rFonts w:ascii="Arial" w:hAnsi="Arial" w:cs="Arial"/>
          <w:color w:val="000000" w:themeColor="text1"/>
          <w:vertAlign w:val="superscript"/>
        </w:rPr>
        <w:t>6</w:t>
      </w:r>
      <w:r w:rsidRPr="002E1FCB">
        <w:rPr>
          <w:rFonts w:ascii="Arial" w:hAnsi="Arial" w:cs="Arial"/>
          <w:color w:val="000000" w:themeColor="text1"/>
        </w:rPr>
        <w:t xml:space="preserve"> Department of Sociology, Westmont College</w:t>
      </w:r>
    </w:p>
    <w:p w14:paraId="0AAFD1B7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color w:val="000000" w:themeColor="text1"/>
        </w:rPr>
      </w:pPr>
      <w:r w:rsidRPr="002E1FCB">
        <w:rPr>
          <w:rFonts w:ascii="Arial" w:hAnsi="Arial" w:cs="Arial"/>
          <w:color w:val="000000" w:themeColor="text1"/>
          <w:vertAlign w:val="superscript"/>
        </w:rPr>
        <w:t xml:space="preserve">7 </w:t>
      </w:r>
      <w:r w:rsidRPr="002E1FCB">
        <w:rPr>
          <w:rFonts w:ascii="Arial" w:hAnsi="Arial" w:cs="Arial"/>
          <w:color w:val="000000" w:themeColor="text1"/>
        </w:rPr>
        <w:t>Department of Medicine, University of California, San Francisco (UCSF)</w:t>
      </w:r>
    </w:p>
    <w:p w14:paraId="160D22C3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0FB5F0C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color w:val="000000" w:themeColor="text1"/>
        </w:rPr>
      </w:pPr>
      <w:r w:rsidRPr="002E1FCB">
        <w:rPr>
          <w:rFonts w:ascii="Arial" w:hAnsi="Arial" w:cs="Arial"/>
          <w:color w:val="000000" w:themeColor="text1"/>
        </w:rPr>
        <w:t>^ Co-senior authors</w:t>
      </w:r>
    </w:p>
    <w:p w14:paraId="1679F86C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603C0F64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E1FCB">
        <w:rPr>
          <w:rFonts w:ascii="Arial" w:hAnsi="Arial" w:cs="Arial"/>
          <w:bCs/>
          <w:color w:val="000000" w:themeColor="text1"/>
        </w:rPr>
        <w:t xml:space="preserve">* Corresponding author: </w:t>
      </w:r>
    </w:p>
    <w:p w14:paraId="7B274618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bCs/>
          <w:color w:val="000000" w:themeColor="text1"/>
        </w:rPr>
      </w:pPr>
    </w:p>
    <w:p w14:paraId="2CB8ED99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E1FCB">
        <w:rPr>
          <w:rFonts w:ascii="Arial" w:hAnsi="Arial" w:cs="Arial"/>
          <w:bCs/>
          <w:color w:val="000000" w:themeColor="text1"/>
        </w:rPr>
        <w:t xml:space="preserve">Long H. Ngo </w:t>
      </w:r>
    </w:p>
    <w:p w14:paraId="4D7FC931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E1FCB">
        <w:rPr>
          <w:rFonts w:ascii="Arial" w:hAnsi="Arial" w:cs="Arial"/>
          <w:bCs/>
          <w:color w:val="000000" w:themeColor="text1"/>
        </w:rPr>
        <w:t>1309 Beacon Street, Brookline MA 02447</w:t>
      </w:r>
    </w:p>
    <w:p w14:paraId="3A5648FF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E1FCB">
        <w:rPr>
          <w:rFonts w:ascii="Arial" w:hAnsi="Arial" w:cs="Arial"/>
          <w:bCs/>
          <w:color w:val="000000" w:themeColor="text1"/>
        </w:rPr>
        <w:t>lngo@bidmc.harvard.edu</w:t>
      </w:r>
    </w:p>
    <w:p w14:paraId="1B3B4391" w14:textId="77777777" w:rsidR="00E46B3A" w:rsidRPr="002E1FCB" w:rsidRDefault="00E46B3A" w:rsidP="00E46B3A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E1FCB">
        <w:rPr>
          <w:rFonts w:ascii="Arial" w:hAnsi="Arial" w:cs="Arial"/>
          <w:bCs/>
          <w:color w:val="000000" w:themeColor="text1"/>
        </w:rPr>
        <w:t>(617) 754-1415</w:t>
      </w:r>
    </w:p>
    <w:p w14:paraId="7BF2BB53" w14:textId="4B9BDEDA" w:rsidR="00E46B3A" w:rsidRDefault="00E46B3A" w:rsidP="00A82453">
      <w:pPr>
        <w:pStyle w:val="PlainText"/>
      </w:pPr>
    </w:p>
    <w:p w14:paraId="35C12E7B" w14:textId="4F2103FE" w:rsidR="00E46B3A" w:rsidRPr="00354E33" w:rsidRDefault="00E46B3A" w:rsidP="00A82453">
      <w:pPr>
        <w:pStyle w:val="PlainText"/>
        <w:rPr>
          <w:rFonts w:ascii="Arial" w:hAnsi="Arial" w:cs="Arial"/>
        </w:rPr>
      </w:pPr>
    </w:p>
    <w:p w14:paraId="29DFC305" w14:textId="77777777" w:rsidR="00E46B3A" w:rsidRDefault="00E46B3A" w:rsidP="00A82453">
      <w:pPr>
        <w:pStyle w:val="PlainText"/>
      </w:pPr>
    </w:p>
    <w:p w14:paraId="5A17C2F7" w14:textId="77777777" w:rsidR="00E46B3A" w:rsidRDefault="00E46B3A">
      <w:pPr>
        <w:rPr>
          <w:rFonts w:ascii="Calibri" w:hAnsi="Calibri" w:cs="Consolas"/>
          <w:b/>
          <w:szCs w:val="21"/>
        </w:rPr>
      </w:pPr>
      <w:r>
        <w:rPr>
          <w:b/>
        </w:rPr>
        <w:br w:type="page"/>
      </w:r>
    </w:p>
    <w:p w14:paraId="0AE0D4A4" w14:textId="2E38F4E5" w:rsidR="00A82453" w:rsidRDefault="00A82453" w:rsidP="00A82453">
      <w:pPr>
        <w:pStyle w:val="PlainText"/>
      </w:pPr>
      <w:r w:rsidRPr="00A82453">
        <w:rPr>
          <w:b/>
        </w:rPr>
        <w:lastRenderedPageBreak/>
        <w:t>Supplemental Table 1</w:t>
      </w:r>
      <w:r>
        <w:t xml:space="preserve">: </w:t>
      </w:r>
      <w:r w:rsidR="0029409B">
        <w:t xml:space="preserve">Stability of protein concentrations </w:t>
      </w:r>
      <w:r w:rsidR="0029409B" w:rsidRPr="00506B31">
        <w:rPr>
          <w:iCs/>
        </w:rPr>
        <w:t>(CNTN5, FCGR2A, CFB)</w:t>
      </w:r>
      <w:r w:rsidR="0029409B">
        <w:t xml:space="preserve"> among seven</w:t>
      </w:r>
      <w:r>
        <w:t xml:space="preserve"> NHS</w:t>
      </w:r>
      <w:r w:rsidR="0029409B">
        <w:t>II</w:t>
      </w:r>
      <w:r>
        <w:t xml:space="preserve"> study </w:t>
      </w:r>
      <w:r w:rsidR="0029409B">
        <w:t>participants</w:t>
      </w:r>
      <w:r>
        <w:t xml:space="preserve"> at baseline and 1-year. </w:t>
      </w:r>
    </w:p>
    <w:p w14:paraId="6E4A3F5D" w14:textId="77777777" w:rsidR="00A82453" w:rsidRDefault="00A82453" w:rsidP="00A82453">
      <w:pPr>
        <w:pStyle w:val="PlainText"/>
      </w:pPr>
    </w:p>
    <w:p w14:paraId="316DBDEF" w14:textId="77777777" w:rsidR="00A82453" w:rsidRDefault="00A82453" w:rsidP="00A82453">
      <w:pPr>
        <w:pStyle w:val="PlainText"/>
      </w:pPr>
      <w:r>
        <w:rPr>
          <w:noProof/>
        </w:rPr>
        <w:drawing>
          <wp:inline distT="0" distB="0" distL="0" distR="0" wp14:anchorId="010D93F8" wp14:editId="00F25342">
            <wp:extent cx="8505747" cy="2590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40977" cy="260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C4A12" w14:textId="77777777" w:rsidR="00A82453" w:rsidRDefault="00A82453" w:rsidP="00A82453">
      <w:pPr>
        <w:pStyle w:val="PlainText"/>
      </w:pPr>
    </w:p>
    <w:p w14:paraId="0A5282FD" w14:textId="77777777" w:rsidR="00EE7830" w:rsidRPr="000E0F51" w:rsidRDefault="00EE7830" w:rsidP="00EE7830">
      <w:pPr>
        <w:pStyle w:val="PlainText"/>
        <w:rPr>
          <w:i/>
        </w:rPr>
      </w:pPr>
      <w:r>
        <w:rPr>
          <w:i/>
        </w:rPr>
        <w:t>P</w:t>
      </w:r>
      <w:r w:rsidRPr="000E0F51">
        <w:rPr>
          <w:i/>
        </w:rPr>
        <w:t>rote</w:t>
      </w:r>
      <w:r w:rsidR="0029409B">
        <w:rPr>
          <w:i/>
        </w:rPr>
        <w:t>in level</w:t>
      </w:r>
      <w:r w:rsidRPr="000E0F51">
        <w:rPr>
          <w:i/>
        </w:rPr>
        <w:t xml:space="preserve"> measure</w:t>
      </w:r>
      <w:r w:rsidR="0029409B">
        <w:rPr>
          <w:i/>
        </w:rPr>
        <w:t>ments</w:t>
      </w:r>
      <w:r w:rsidRPr="000E0F51">
        <w:rPr>
          <w:i/>
        </w:rPr>
        <w:t xml:space="preserve"> at two timepoints for a small subset of participants (n=7) from the Nurses Health Study’s </w:t>
      </w:r>
      <w:r w:rsidR="0029409B">
        <w:rPr>
          <w:i/>
        </w:rPr>
        <w:t xml:space="preserve">II </w:t>
      </w:r>
      <w:r w:rsidRPr="000E0F51">
        <w:rPr>
          <w:i/>
        </w:rPr>
        <w:t>(NHSII)</w:t>
      </w:r>
      <w:r>
        <w:rPr>
          <w:i/>
        </w:rPr>
        <w:t xml:space="preserve"> at</w:t>
      </w:r>
      <w:r w:rsidRPr="000E0F51">
        <w:rPr>
          <w:i/>
        </w:rPr>
        <w:t xml:space="preserve"> baseline and one year later. We looked at the same three proteins (CNTN5, FCGR2A, CFB)</w:t>
      </w:r>
      <w:r w:rsidR="0029409B">
        <w:rPr>
          <w:i/>
        </w:rPr>
        <w:t xml:space="preserve"> from our analysis,</w:t>
      </w:r>
      <w:r w:rsidRPr="000E0F51">
        <w:rPr>
          <w:i/>
        </w:rPr>
        <w:t xml:space="preserve"> and assessed the stability of the proteins across the two timepoints, one year apart. The table </w:t>
      </w:r>
      <w:r>
        <w:rPr>
          <w:i/>
        </w:rPr>
        <w:t>s</w:t>
      </w:r>
      <w:r w:rsidRPr="000E0F51">
        <w:rPr>
          <w:i/>
        </w:rPr>
        <w:t xml:space="preserve">hows these data. Notice </w:t>
      </w:r>
      <w:r w:rsidR="0029409B">
        <w:rPr>
          <w:i/>
        </w:rPr>
        <w:t xml:space="preserve">that </w:t>
      </w:r>
      <w:r w:rsidRPr="000E0F51">
        <w:rPr>
          <w:i/>
        </w:rPr>
        <w:t>the protein level</w:t>
      </w:r>
      <w:r w:rsidR="0029409B">
        <w:rPr>
          <w:i/>
        </w:rPr>
        <w:t>s</w:t>
      </w:r>
      <w:r w:rsidRPr="000E0F51">
        <w:rPr>
          <w:i/>
        </w:rPr>
        <w:t xml:space="preserve"> stay quite similar between the two timepoints. Compared to these three proteins in our case-control study, the range of CFB is of similar magnitude between the NHS</w:t>
      </w:r>
      <w:r w:rsidR="0029409B">
        <w:rPr>
          <w:i/>
        </w:rPr>
        <w:t>II</w:t>
      </w:r>
      <w:r w:rsidRPr="000E0F51">
        <w:rPr>
          <w:i/>
        </w:rPr>
        <w:t xml:space="preserve"> data and our data. FCGR2A in these NHSII patients falls in the range of FCGR2A for our data. CNTN5 in the NHS</w:t>
      </w:r>
      <w:r w:rsidR="0029409B">
        <w:rPr>
          <w:i/>
        </w:rPr>
        <w:t>II</w:t>
      </w:r>
      <w:r w:rsidRPr="000E0F51">
        <w:rPr>
          <w:i/>
        </w:rPr>
        <w:t xml:space="preserve"> study for these patients is similar to CNTN5 distribution in our data. Overall, it does appear that these proteins are stable over time, at least in the observed 1-year span seen here in the NHS</w:t>
      </w:r>
      <w:r w:rsidR="0029409B">
        <w:rPr>
          <w:i/>
        </w:rPr>
        <w:t>II</w:t>
      </w:r>
      <w:r w:rsidRPr="000E0F51">
        <w:rPr>
          <w:i/>
        </w:rPr>
        <w:t xml:space="preserve"> data. </w:t>
      </w:r>
    </w:p>
    <w:p w14:paraId="1A77CD59" w14:textId="77777777" w:rsidR="008525BD" w:rsidRDefault="008525BD"/>
    <w:sectPr w:rsidR="008525BD" w:rsidSect="00A824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453"/>
    <w:rsid w:val="0029409B"/>
    <w:rsid w:val="0031558F"/>
    <w:rsid w:val="00354E33"/>
    <w:rsid w:val="003E4CE6"/>
    <w:rsid w:val="00506B31"/>
    <w:rsid w:val="008525BD"/>
    <w:rsid w:val="00A82453"/>
    <w:rsid w:val="00E46B3A"/>
    <w:rsid w:val="00EE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72F61"/>
  <w15:chartTrackingRefBased/>
  <w15:docId w15:val="{66E3F927-184F-43BF-B45E-39744F82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82453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82453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306</Words>
  <Characters>1746</Characters>
  <Application>Microsoft Office Word</Application>
  <DocSecurity>0</DocSecurity>
  <Lines>14</Lines>
  <Paragraphs>4</Paragraphs>
  <ScaleCrop>false</ScaleCrop>
  <Company>BIDMC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 Ngo</dc:creator>
  <cp:keywords/>
  <dc:description/>
  <cp:lastModifiedBy>Austin Argentieri</cp:lastModifiedBy>
  <cp:revision>7</cp:revision>
  <dcterms:created xsi:type="dcterms:W3CDTF">2020-12-02T11:57:00Z</dcterms:created>
  <dcterms:modified xsi:type="dcterms:W3CDTF">2020-12-03T15:52:00Z</dcterms:modified>
</cp:coreProperties>
</file>