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2941" w:rsidRPr="000B43C2" w:rsidRDefault="00852941" w:rsidP="00852941">
      <w:pPr>
        <w:kinsoku w:val="0"/>
        <w:overflowPunct w:val="0"/>
        <w:autoSpaceDE w:val="0"/>
        <w:autoSpaceDN w:val="0"/>
        <w:adjustRightInd w:val="0"/>
        <w:snapToGrid w:val="0"/>
        <w:spacing w:line="480" w:lineRule="auto"/>
        <w:ind w:rightChars="-118" w:right="-283"/>
        <w:jc w:val="left"/>
        <w:rPr>
          <w:b/>
        </w:rPr>
      </w:pPr>
      <w:r w:rsidRPr="000B43C2">
        <w:rPr>
          <w:b/>
        </w:rPr>
        <w:t>Metabolic changes and anti-tumor effects of a ketogenic diet combined with anti-angiogenic therapy in a glioblastoma mouse model</w:t>
      </w:r>
    </w:p>
    <w:p w:rsidR="00852941" w:rsidRPr="000B43C2" w:rsidRDefault="00852941" w:rsidP="00852941">
      <w:pPr>
        <w:kinsoku w:val="0"/>
        <w:overflowPunct w:val="0"/>
        <w:autoSpaceDE w:val="0"/>
        <w:autoSpaceDN w:val="0"/>
        <w:adjustRightInd w:val="0"/>
        <w:snapToGrid w:val="0"/>
        <w:spacing w:line="480" w:lineRule="auto"/>
        <w:jc w:val="left"/>
      </w:pPr>
    </w:p>
    <w:p w:rsidR="00852941" w:rsidRPr="000B43C2" w:rsidRDefault="00852941" w:rsidP="00852941">
      <w:pPr>
        <w:kinsoku w:val="0"/>
        <w:overflowPunct w:val="0"/>
        <w:autoSpaceDE w:val="0"/>
        <w:autoSpaceDN w:val="0"/>
        <w:adjustRightInd w:val="0"/>
        <w:snapToGrid w:val="0"/>
        <w:spacing w:line="480" w:lineRule="auto"/>
        <w:jc w:val="left"/>
        <w:rPr>
          <w:b/>
        </w:rPr>
      </w:pPr>
      <w:r w:rsidRPr="000B43C2">
        <w:rPr>
          <w:b/>
        </w:rPr>
        <w:t>Authors</w:t>
      </w:r>
    </w:p>
    <w:p w:rsidR="000D3337" w:rsidRPr="00B361D0" w:rsidRDefault="000D3337" w:rsidP="000D3337">
      <w:pPr>
        <w:kinsoku w:val="0"/>
        <w:overflowPunct w:val="0"/>
        <w:autoSpaceDE w:val="0"/>
        <w:autoSpaceDN w:val="0"/>
        <w:adjustRightInd w:val="0"/>
        <w:snapToGrid w:val="0"/>
        <w:spacing w:line="480" w:lineRule="auto"/>
        <w:jc w:val="left"/>
        <w:rPr>
          <w:vertAlign w:val="superscript"/>
        </w:rPr>
      </w:pPr>
      <w:r>
        <w:t>Masahiro Maeyama</w:t>
      </w:r>
      <w:r w:rsidRPr="00B361D0">
        <w:rPr>
          <w:vertAlign w:val="superscript"/>
        </w:rPr>
        <w:t>1</w:t>
      </w:r>
      <w:r w:rsidRPr="00B361D0">
        <w:t xml:space="preserve"> </w:t>
      </w:r>
      <w:r>
        <w:t>, Kazuhiro Tanaka</w:t>
      </w:r>
      <w:r w:rsidRPr="00B361D0">
        <w:rPr>
          <w:vertAlign w:val="superscript"/>
        </w:rPr>
        <w:t>1</w:t>
      </w:r>
      <w:r w:rsidRPr="00B361D0">
        <w:t xml:space="preserve"> </w:t>
      </w:r>
      <w:r>
        <w:t>, Masamitsu Nishihara</w:t>
      </w:r>
      <w:r w:rsidRPr="00B361D0">
        <w:rPr>
          <w:vertAlign w:val="superscript"/>
        </w:rPr>
        <w:t>2</w:t>
      </w:r>
      <w:r w:rsidRPr="00B361D0">
        <w:t xml:space="preserve"> </w:t>
      </w:r>
      <w:r>
        <w:t>, Yasuhiro Irino</w:t>
      </w:r>
      <w:r w:rsidRPr="00B361D0">
        <w:rPr>
          <w:vertAlign w:val="superscript"/>
        </w:rPr>
        <w:t>3</w:t>
      </w:r>
      <w:r w:rsidRPr="00B361D0">
        <w:t xml:space="preserve"> </w:t>
      </w:r>
      <w:r>
        <w:t>, Masakazu Shinohara</w:t>
      </w:r>
      <w:r w:rsidRPr="00B361D0">
        <w:rPr>
          <w:vertAlign w:val="superscript"/>
        </w:rPr>
        <w:t>4,5</w:t>
      </w:r>
      <w:r w:rsidRPr="00B361D0">
        <w:t xml:space="preserve"> </w:t>
      </w:r>
      <w:r>
        <w:t>, Hiroaki Nagashima</w:t>
      </w:r>
      <w:r w:rsidRPr="00B361D0">
        <w:rPr>
          <w:vertAlign w:val="superscript"/>
        </w:rPr>
        <w:t>6</w:t>
      </w:r>
      <w:r w:rsidRPr="00B361D0">
        <w:t xml:space="preserve"> </w:t>
      </w:r>
      <w:r>
        <w:t>, Hirotomo Tanaka</w:t>
      </w:r>
      <w:r w:rsidRPr="00B361D0">
        <w:rPr>
          <w:vertAlign w:val="superscript"/>
        </w:rPr>
        <w:t>1</w:t>
      </w:r>
      <w:r w:rsidRPr="00B361D0">
        <w:t xml:space="preserve"> </w:t>
      </w:r>
      <w:r>
        <w:t>, Satoshi Nakamizo</w:t>
      </w:r>
      <w:r w:rsidRPr="00B361D0">
        <w:rPr>
          <w:vertAlign w:val="superscript"/>
        </w:rPr>
        <w:t>1</w:t>
      </w:r>
      <w:r w:rsidRPr="00B361D0">
        <w:t xml:space="preserve"> </w:t>
      </w:r>
      <w:r>
        <w:t>, Mitsuru Hashiguchi</w:t>
      </w:r>
      <w:r w:rsidRPr="00B361D0">
        <w:rPr>
          <w:vertAlign w:val="superscript"/>
        </w:rPr>
        <w:t>1</w:t>
      </w:r>
      <w:r w:rsidRPr="00B361D0">
        <w:t xml:space="preserve"> </w:t>
      </w:r>
      <w:r>
        <w:t>, Yuichi Fujita</w:t>
      </w:r>
      <w:r w:rsidRPr="00B361D0">
        <w:rPr>
          <w:vertAlign w:val="superscript"/>
        </w:rPr>
        <w:t>1</w:t>
      </w:r>
      <w:r w:rsidRPr="00B361D0">
        <w:t xml:space="preserve"> </w:t>
      </w:r>
      <w:r>
        <w:t>, Masaaki Kohta</w:t>
      </w:r>
      <w:r w:rsidRPr="00B361D0">
        <w:rPr>
          <w:vertAlign w:val="superscript"/>
        </w:rPr>
        <w:t>1</w:t>
      </w:r>
      <w:r w:rsidRPr="00B361D0">
        <w:t xml:space="preserve"> </w:t>
      </w:r>
      <w:r>
        <w:t xml:space="preserve">, </w:t>
      </w:r>
      <w:r w:rsidRPr="00B361D0">
        <w:t>Eiji Kohmura</w:t>
      </w:r>
      <w:r w:rsidRPr="00B361D0">
        <w:rPr>
          <w:vertAlign w:val="superscript"/>
        </w:rPr>
        <w:t>1</w:t>
      </w:r>
      <w:r>
        <w:t>, Takashi Sasayama</w:t>
      </w:r>
      <w:r w:rsidRPr="00B361D0">
        <w:rPr>
          <w:vertAlign w:val="superscript"/>
        </w:rPr>
        <w:t>1</w:t>
      </w:r>
    </w:p>
    <w:p w:rsidR="00852941" w:rsidRPr="000D3337" w:rsidRDefault="00852941" w:rsidP="00852941">
      <w:pPr>
        <w:kinsoku w:val="0"/>
        <w:overflowPunct w:val="0"/>
        <w:autoSpaceDE w:val="0"/>
        <w:autoSpaceDN w:val="0"/>
        <w:adjustRightInd w:val="0"/>
        <w:snapToGrid w:val="0"/>
        <w:spacing w:line="480" w:lineRule="auto"/>
        <w:jc w:val="left"/>
      </w:pPr>
      <w:bookmarkStart w:id="0" w:name="_GoBack"/>
      <w:bookmarkEnd w:id="0"/>
    </w:p>
    <w:p w:rsidR="00852941" w:rsidRPr="000B43C2" w:rsidRDefault="00852941" w:rsidP="00852941">
      <w:pPr>
        <w:kinsoku w:val="0"/>
        <w:overflowPunct w:val="0"/>
        <w:autoSpaceDE w:val="0"/>
        <w:autoSpaceDN w:val="0"/>
        <w:adjustRightInd w:val="0"/>
        <w:snapToGrid w:val="0"/>
        <w:spacing w:line="480" w:lineRule="auto"/>
        <w:jc w:val="left"/>
        <w:rPr>
          <w:b/>
        </w:rPr>
      </w:pPr>
      <w:r w:rsidRPr="000B43C2">
        <w:rPr>
          <w:b/>
        </w:rPr>
        <w:t>Affiliations</w:t>
      </w:r>
    </w:p>
    <w:p w:rsidR="00852941" w:rsidRPr="000B43C2" w:rsidRDefault="00852941" w:rsidP="00852941">
      <w:pPr>
        <w:kinsoku w:val="0"/>
        <w:overflowPunct w:val="0"/>
        <w:autoSpaceDE w:val="0"/>
        <w:autoSpaceDN w:val="0"/>
        <w:adjustRightInd w:val="0"/>
        <w:snapToGrid w:val="0"/>
        <w:spacing w:line="480" w:lineRule="auto"/>
        <w:jc w:val="left"/>
      </w:pPr>
      <w:r w:rsidRPr="000B43C2">
        <w:rPr>
          <w:vertAlign w:val="superscript"/>
        </w:rPr>
        <w:t>1</w:t>
      </w:r>
      <w:r w:rsidRPr="000B43C2">
        <w:t>Department of Neurosurgery, Kobe University Graduate School of Medicine, 7-5-1, Kusunoki-cho, Chuo-ku, Kobe 650-0017, Japan</w:t>
      </w:r>
    </w:p>
    <w:p w:rsidR="00852941" w:rsidRPr="000B43C2" w:rsidRDefault="00852941" w:rsidP="00852941">
      <w:pPr>
        <w:kinsoku w:val="0"/>
        <w:overflowPunct w:val="0"/>
        <w:autoSpaceDE w:val="0"/>
        <w:autoSpaceDN w:val="0"/>
        <w:adjustRightInd w:val="0"/>
        <w:snapToGrid w:val="0"/>
        <w:spacing w:line="480" w:lineRule="auto"/>
        <w:jc w:val="left"/>
      </w:pPr>
      <w:r w:rsidRPr="000B43C2">
        <w:rPr>
          <w:vertAlign w:val="superscript"/>
        </w:rPr>
        <w:t>2</w:t>
      </w:r>
      <w:r w:rsidRPr="000B43C2">
        <w:t>Department of Neurosurgery, Nishi-Kobe Medical Center, Kobe, Japan</w:t>
      </w:r>
    </w:p>
    <w:p w:rsidR="00852941" w:rsidRPr="000B43C2" w:rsidRDefault="00852941" w:rsidP="00852941">
      <w:pPr>
        <w:adjustRightInd w:val="0"/>
        <w:snapToGrid w:val="0"/>
        <w:spacing w:line="480" w:lineRule="auto"/>
        <w:ind w:left="240" w:hangingChars="100" w:hanging="240"/>
      </w:pPr>
      <w:r w:rsidRPr="000B43C2">
        <w:rPr>
          <w:vertAlign w:val="superscript"/>
        </w:rPr>
        <w:t>3</w:t>
      </w:r>
      <w:r w:rsidRPr="000B43C2">
        <w:t>Division of Evidence-Based Laboratory Medicine, Kobe University Graduate School of Medicine</w:t>
      </w:r>
    </w:p>
    <w:p w:rsidR="00852941" w:rsidRPr="000B43C2" w:rsidRDefault="00852941" w:rsidP="00852941">
      <w:pPr>
        <w:kinsoku w:val="0"/>
        <w:overflowPunct w:val="0"/>
        <w:autoSpaceDE w:val="0"/>
        <w:autoSpaceDN w:val="0"/>
        <w:adjustRightInd w:val="0"/>
        <w:snapToGrid w:val="0"/>
        <w:spacing w:line="480" w:lineRule="auto"/>
        <w:ind w:left="240" w:hangingChars="100" w:hanging="240"/>
        <w:jc w:val="left"/>
      </w:pPr>
      <w:r w:rsidRPr="000B43C2">
        <w:rPr>
          <w:vertAlign w:val="superscript"/>
        </w:rPr>
        <w:t>4</w:t>
      </w:r>
      <w:r w:rsidRPr="000B43C2">
        <w:t>Integrated Center for Mass Spectrometry, Kobe University Graduate School of Medicine</w:t>
      </w:r>
    </w:p>
    <w:p w:rsidR="00852941" w:rsidRPr="000B43C2" w:rsidRDefault="00852941" w:rsidP="00852941">
      <w:pPr>
        <w:kinsoku w:val="0"/>
        <w:overflowPunct w:val="0"/>
        <w:autoSpaceDE w:val="0"/>
        <w:autoSpaceDN w:val="0"/>
        <w:adjustRightInd w:val="0"/>
        <w:snapToGrid w:val="0"/>
        <w:spacing w:line="480" w:lineRule="auto"/>
        <w:jc w:val="left"/>
      </w:pPr>
      <w:r w:rsidRPr="000B43C2">
        <w:rPr>
          <w:vertAlign w:val="superscript"/>
        </w:rPr>
        <w:t>5</w:t>
      </w:r>
      <w:r w:rsidRPr="000B43C2">
        <w:t>Division of Epidemiology, Kobe University Graduate School of Medicine</w:t>
      </w:r>
    </w:p>
    <w:p w:rsidR="00852941" w:rsidRPr="000B43C2" w:rsidRDefault="00852941" w:rsidP="00852941">
      <w:pPr>
        <w:kinsoku w:val="0"/>
        <w:overflowPunct w:val="0"/>
        <w:autoSpaceDE w:val="0"/>
        <w:autoSpaceDN w:val="0"/>
        <w:adjustRightInd w:val="0"/>
        <w:snapToGrid w:val="0"/>
        <w:spacing w:line="480" w:lineRule="auto"/>
        <w:ind w:left="120" w:hangingChars="50" w:hanging="120"/>
        <w:jc w:val="left"/>
      </w:pPr>
      <w:r w:rsidRPr="000B43C2">
        <w:rPr>
          <w:vertAlign w:val="superscript"/>
        </w:rPr>
        <w:t>6</w:t>
      </w:r>
      <w:r w:rsidRPr="000B43C2">
        <w:t>Department of Neurosurgery, Massachusetts General Hospital Research Institute, Boston, Massachusetts, USA.</w:t>
      </w:r>
    </w:p>
    <w:p w:rsidR="003C3E50" w:rsidRPr="000B43C2" w:rsidRDefault="003C3E50"/>
    <w:p w:rsidR="00852941" w:rsidRPr="000B43C2" w:rsidRDefault="00852941"/>
    <w:p w:rsidR="00852941" w:rsidRPr="000B43C2" w:rsidRDefault="00852941"/>
    <w:p w:rsidR="006F3A72" w:rsidRDefault="006F3A72">
      <w:pPr>
        <w:widowControl/>
        <w:jc w:val="left"/>
        <w:rPr>
          <w:b/>
          <w:bCs/>
        </w:rPr>
      </w:pPr>
      <w:r>
        <w:rPr>
          <w:b/>
          <w:bCs/>
        </w:rPr>
        <w:br w:type="page"/>
      </w:r>
    </w:p>
    <w:p w:rsidR="00573CBA" w:rsidRPr="000B43C2" w:rsidRDefault="00573CBA" w:rsidP="00573CBA">
      <w:pPr>
        <w:autoSpaceDE w:val="0"/>
        <w:autoSpaceDN w:val="0"/>
        <w:adjustRightInd w:val="0"/>
        <w:snapToGrid w:val="0"/>
        <w:spacing w:line="480" w:lineRule="auto"/>
        <w:jc w:val="left"/>
        <w:rPr>
          <w:b/>
          <w:bCs/>
        </w:rPr>
      </w:pPr>
      <w:r w:rsidRPr="000B43C2">
        <w:rPr>
          <w:b/>
          <w:bCs/>
        </w:rPr>
        <w:lastRenderedPageBreak/>
        <w:t>Supplemental Table S1</w:t>
      </w:r>
    </w:p>
    <w:p w:rsidR="00573CBA" w:rsidRPr="000B43C2" w:rsidRDefault="00573CBA" w:rsidP="00573CBA">
      <w:pPr>
        <w:autoSpaceDE w:val="0"/>
        <w:autoSpaceDN w:val="0"/>
        <w:adjustRightInd w:val="0"/>
        <w:snapToGrid w:val="0"/>
        <w:spacing w:line="480" w:lineRule="auto"/>
        <w:jc w:val="left"/>
        <w:rPr>
          <w:bCs/>
        </w:rPr>
      </w:pPr>
      <w:r w:rsidRPr="000B43C2">
        <w:rPr>
          <w:bCs/>
        </w:rPr>
        <w:t>Metabolome analysis of tumor tissue.</w:t>
      </w:r>
    </w:p>
    <w:p w:rsidR="00573CBA" w:rsidRPr="000B43C2" w:rsidRDefault="00573CBA" w:rsidP="00573CBA">
      <w:pPr>
        <w:autoSpaceDE w:val="0"/>
        <w:autoSpaceDN w:val="0"/>
        <w:adjustRightInd w:val="0"/>
        <w:snapToGrid w:val="0"/>
        <w:spacing w:line="480" w:lineRule="auto"/>
        <w:jc w:val="left"/>
        <w:rPr>
          <w:b/>
          <w:bCs/>
        </w:rPr>
      </w:pPr>
    </w:p>
    <w:p w:rsidR="00573CBA" w:rsidRPr="000B43C2" w:rsidRDefault="00573CBA" w:rsidP="00573CBA">
      <w:pPr>
        <w:autoSpaceDE w:val="0"/>
        <w:autoSpaceDN w:val="0"/>
        <w:adjustRightInd w:val="0"/>
        <w:snapToGrid w:val="0"/>
        <w:spacing w:line="480" w:lineRule="auto"/>
        <w:jc w:val="left"/>
        <w:rPr>
          <w:b/>
          <w:bCs/>
        </w:rPr>
      </w:pPr>
      <w:r w:rsidRPr="000B43C2">
        <w:rPr>
          <w:b/>
          <w:bCs/>
        </w:rPr>
        <w:t>Supplemental Table S2</w:t>
      </w:r>
    </w:p>
    <w:p w:rsidR="00573CBA" w:rsidRPr="000B43C2" w:rsidRDefault="00573CBA" w:rsidP="00573CBA">
      <w:pPr>
        <w:autoSpaceDE w:val="0"/>
        <w:autoSpaceDN w:val="0"/>
        <w:adjustRightInd w:val="0"/>
        <w:snapToGrid w:val="0"/>
        <w:spacing w:line="480" w:lineRule="auto"/>
        <w:jc w:val="left"/>
        <w:rPr>
          <w:bCs/>
        </w:rPr>
      </w:pPr>
      <w:r w:rsidRPr="000B43C2">
        <w:rPr>
          <w:bCs/>
        </w:rPr>
        <w:t>Metabolome analysis of normal brain tissue.</w:t>
      </w:r>
    </w:p>
    <w:p w:rsidR="00573CBA" w:rsidRPr="000B43C2" w:rsidRDefault="00573CBA" w:rsidP="00573CBA">
      <w:pPr>
        <w:autoSpaceDE w:val="0"/>
        <w:autoSpaceDN w:val="0"/>
        <w:adjustRightInd w:val="0"/>
        <w:snapToGrid w:val="0"/>
        <w:spacing w:line="480" w:lineRule="auto"/>
        <w:jc w:val="left"/>
        <w:rPr>
          <w:bCs/>
        </w:rPr>
      </w:pPr>
    </w:p>
    <w:p w:rsidR="00573CBA" w:rsidRPr="000B43C2" w:rsidRDefault="00573CBA" w:rsidP="00573CBA">
      <w:pPr>
        <w:autoSpaceDE w:val="0"/>
        <w:autoSpaceDN w:val="0"/>
        <w:adjustRightInd w:val="0"/>
        <w:snapToGrid w:val="0"/>
        <w:spacing w:line="480" w:lineRule="auto"/>
        <w:jc w:val="left"/>
        <w:rPr>
          <w:b/>
          <w:bCs/>
        </w:rPr>
      </w:pPr>
      <w:r w:rsidRPr="000B43C2">
        <w:rPr>
          <w:b/>
          <w:bCs/>
        </w:rPr>
        <w:t xml:space="preserve">Supplemental Table S3 </w:t>
      </w:r>
    </w:p>
    <w:p w:rsidR="00573CBA" w:rsidRPr="000B43C2" w:rsidRDefault="00573CBA" w:rsidP="00573CBA">
      <w:pPr>
        <w:autoSpaceDE w:val="0"/>
        <w:autoSpaceDN w:val="0"/>
        <w:adjustRightInd w:val="0"/>
        <w:snapToGrid w:val="0"/>
        <w:spacing w:line="480" w:lineRule="auto"/>
        <w:jc w:val="left"/>
        <w:rPr>
          <w:bCs/>
        </w:rPr>
      </w:pPr>
      <w:r w:rsidRPr="000B43C2">
        <w:rPr>
          <w:bCs/>
        </w:rPr>
        <w:t>The results of DNA microarray analysis of each groups.</w:t>
      </w:r>
    </w:p>
    <w:p w:rsidR="00573CBA" w:rsidRPr="000B43C2" w:rsidRDefault="00573CBA" w:rsidP="00573CBA">
      <w:pPr>
        <w:autoSpaceDE w:val="0"/>
        <w:autoSpaceDN w:val="0"/>
        <w:adjustRightInd w:val="0"/>
        <w:snapToGrid w:val="0"/>
        <w:spacing w:line="480" w:lineRule="auto"/>
        <w:jc w:val="left"/>
        <w:rPr>
          <w:bCs/>
        </w:rPr>
      </w:pPr>
    </w:p>
    <w:p w:rsidR="00573CBA" w:rsidRPr="000B43C2" w:rsidRDefault="00573CBA" w:rsidP="00573CBA">
      <w:pPr>
        <w:autoSpaceDE w:val="0"/>
        <w:autoSpaceDN w:val="0"/>
        <w:adjustRightInd w:val="0"/>
        <w:snapToGrid w:val="0"/>
        <w:spacing w:line="480" w:lineRule="auto"/>
        <w:jc w:val="left"/>
        <w:rPr>
          <w:b/>
          <w:bCs/>
        </w:rPr>
      </w:pPr>
      <w:r w:rsidRPr="000B43C2">
        <w:rPr>
          <w:b/>
          <w:bCs/>
        </w:rPr>
        <w:t>Supplemental Table S4</w:t>
      </w:r>
    </w:p>
    <w:p w:rsidR="00573CBA" w:rsidRPr="000B43C2" w:rsidRDefault="00573CBA" w:rsidP="00573CBA">
      <w:pPr>
        <w:autoSpaceDE w:val="0"/>
        <w:autoSpaceDN w:val="0"/>
        <w:adjustRightInd w:val="0"/>
        <w:snapToGrid w:val="0"/>
        <w:spacing w:line="480" w:lineRule="auto"/>
        <w:jc w:val="left"/>
        <w:rPr>
          <w:bCs/>
        </w:rPr>
      </w:pPr>
      <w:r w:rsidRPr="000B43C2">
        <w:rPr>
          <w:bCs/>
        </w:rPr>
        <w:t>Dietary components of CLEA Rodent Diet CL-2 and KetoCal 4:1.</w:t>
      </w:r>
    </w:p>
    <w:p w:rsidR="00852941" w:rsidRPr="000B43C2" w:rsidRDefault="00852941"/>
    <w:p w:rsidR="00852941" w:rsidRPr="000B43C2" w:rsidRDefault="00852941"/>
    <w:p w:rsidR="00852941" w:rsidRPr="000B43C2" w:rsidRDefault="00852941"/>
    <w:p w:rsidR="0098464C" w:rsidRDefault="0098464C">
      <w:pPr>
        <w:widowControl/>
        <w:jc w:val="left"/>
        <w:rPr>
          <w:b/>
          <w:bCs/>
        </w:rPr>
      </w:pPr>
      <w:r>
        <w:rPr>
          <w:b/>
          <w:bCs/>
        </w:rPr>
        <w:br w:type="page"/>
      </w:r>
    </w:p>
    <w:p w:rsidR="00573CBA" w:rsidRPr="000B43C2" w:rsidRDefault="006E0F48" w:rsidP="006F3A72">
      <w:pPr>
        <w:widowControl/>
        <w:jc w:val="left"/>
        <w:rPr>
          <w:b/>
          <w:bCs/>
        </w:rPr>
      </w:pPr>
      <w:r>
        <w:rPr>
          <w:noProof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.35pt;margin-top:18.75pt;width:424.5pt;height:410.25pt;z-index:251659264;mso-position-horizontal-relative:margin;mso-position-vertical-relative:margin">
            <v:imagedata r:id="rId6" o:title="FigS1" croptop="4723f" cropbottom="13269f"/>
            <w10:wrap type="square" anchorx="margin" anchory="margin"/>
          </v:shape>
        </w:pict>
      </w:r>
      <w:r w:rsidR="00573CBA" w:rsidRPr="000B43C2">
        <w:rPr>
          <w:b/>
          <w:bCs/>
        </w:rPr>
        <w:t>S</w:t>
      </w:r>
      <w:r w:rsidR="0098464C" w:rsidRPr="000B43C2">
        <w:rPr>
          <w:b/>
          <w:bCs/>
        </w:rPr>
        <w:t>upplemental figure S1</w:t>
      </w:r>
    </w:p>
    <w:p w:rsidR="0098464C" w:rsidRDefault="0098464C" w:rsidP="00573CBA">
      <w:pPr>
        <w:autoSpaceDE w:val="0"/>
        <w:autoSpaceDN w:val="0"/>
        <w:adjustRightInd w:val="0"/>
        <w:snapToGrid w:val="0"/>
        <w:spacing w:line="480" w:lineRule="auto"/>
        <w:jc w:val="left"/>
        <w:rPr>
          <w:bCs/>
        </w:rPr>
      </w:pPr>
    </w:p>
    <w:p w:rsidR="00573CBA" w:rsidRPr="000B43C2" w:rsidRDefault="00573CBA" w:rsidP="00573CBA">
      <w:pPr>
        <w:autoSpaceDE w:val="0"/>
        <w:autoSpaceDN w:val="0"/>
        <w:adjustRightInd w:val="0"/>
        <w:snapToGrid w:val="0"/>
        <w:spacing w:line="480" w:lineRule="auto"/>
        <w:jc w:val="left"/>
        <w:rPr>
          <w:bCs/>
        </w:rPr>
      </w:pPr>
      <w:r w:rsidRPr="000B43C2">
        <w:rPr>
          <w:bCs/>
        </w:rPr>
        <w:t>A: Immunostaining of ketone metabolizing enzymes (OXCT1 and BDH1) in brain and GBM. An intensity of immunostainings is quantified using image J software. B: Survival analysis of mice on a ketogenic diet. U87 cells are brain-transplanted into mice fed a normal diet (control) or a ketone diet and analyze for survival time. There is no significant difference between the two groups (p=0.32). C: Changes in body weight, blood glucose, and blood ketone body concentration in each group during the course of treatment. (*p&lt;0.05)</w:t>
      </w:r>
    </w:p>
    <w:p w:rsidR="00573CBA" w:rsidRPr="000B43C2" w:rsidRDefault="00573CBA" w:rsidP="00B8435D">
      <w:pPr>
        <w:widowControl/>
        <w:jc w:val="left"/>
        <w:rPr>
          <w:b/>
          <w:bCs/>
        </w:rPr>
      </w:pPr>
      <w:r w:rsidRPr="000B43C2">
        <w:rPr>
          <w:b/>
          <w:bCs/>
        </w:rPr>
        <w:lastRenderedPageBreak/>
        <w:t>Supplemental figure S2</w:t>
      </w:r>
    </w:p>
    <w:p w:rsidR="006F3A72" w:rsidRDefault="006E0F48" w:rsidP="00573CBA">
      <w:pPr>
        <w:autoSpaceDE w:val="0"/>
        <w:autoSpaceDN w:val="0"/>
        <w:adjustRightInd w:val="0"/>
        <w:snapToGrid w:val="0"/>
        <w:spacing w:line="480" w:lineRule="auto"/>
        <w:jc w:val="left"/>
        <w:rPr>
          <w:bCs/>
        </w:rPr>
      </w:pPr>
      <w:r>
        <w:rPr>
          <w:noProof/>
        </w:rPr>
        <w:pict>
          <v:shape id="_x0000_s1027" type="#_x0000_t75" style="position:absolute;margin-left:-4.95pt;margin-top:54.2pt;width:424.5pt;height:279.5pt;z-index:251661312;mso-position-horizontal-relative:margin;mso-position-vertical-relative:margin">
            <v:imagedata r:id="rId7" o:title="FigS2" croptop="5499f" cropbottom="27646f"/>
            <w10:wrap type="square" anchorx="margin" anchory="margin"/>
          </v:shape>
        </w:pict>
      </w:r>
    </w:p>
    <w:p w:rsidR="006F3A72" w:rsidRDefault="006F3A72" w:rsidP="00573CBA">
      <w:pPr>
        <w:autoSpaceDE w:val="0"/>
        <w:autoSpaceDN w:val="0"/>
        <w:adjustRightInd w:val="0"/>
        <w:snapToGrid w:val="0"/>
        <w:spacing w:line="480" w:lineRule="auto"/>
        <w:jc w:val="left"/>
        <w:rPr>
          <w:bCs/>
        </w:rPr>
      </w:pPr>
    </w:p>
    <w:p w:rsidR="006F3A72" w:rsidRDefault="006F3A72" w:rsidP="00573CBA">
      <w:pPr>
        <w:autoSpaceDE w:val="0"/>
        <w:autoSpaceDN w:val="0"/>
        <w:adjustRightInd w:val="0"/>
        <w:snapToGrid w:val="0"/>
        <w:spacing w:line="480" w:lineRule="auto"/>
        <w:jc w:val="left"/>
        <w:rPr>
          <w:bCs/>
        </w:rPr>
      </w:pPr>
    </w:p>
    <w:p w:rsidR="006F3A72" w:rsidRDefault="006F3A72" w:rsidP="00573CBA">
      <w:pPr>
        <w:autoSpaceDE w:val="0"/>
        <w:autoSpaceDN w:val="0"/>
        <w:adjustRightInd w:val="0"/>
        <w:snapToGrid w:val="0"/>
        <w:spacing w:line="480" w:lineRule="auto"/>
        <w:jc w:val="left"/>
        <w:rPr>
          <w:bCs/>
        </w:rPr>
      </w:pPr>
    </w:p>
    <w:p w:rsidR="006F3A72" w:rsidRDefault="006F3A72" w:rsidP="00573CBA">
      <w:pPr>
        <w:autoSpaceDE w:val="0"/>
        <w:autoSpaceDN w:val="0"/>
        <w:adjustRightInd w:val="0"/>
        <w:snapToGrid w:val="0"/>
        <w:spacing w:line="480" w:lineRule="auto"/>
        <w:jc w:val="left"/>
        <w:rPr>
          <w:bCs/>
        </w:rPr>
      </w:pPr>
    </w:p>
    <w:p w:rsidR="006F3A72" w:rsidRDefault="006F3A72" w:rsidP="00573CBA">
      <w:pPr>
        <w:autoSpaceDE w:val="0"/>
        <w:autoSpaceDN w:val="0"/>
        <w:adjustRightInd w:val="0"/>
        <w:snapToGrid w:val="0"/>
        <w:spacing w:line="480" w:lineRule="auto"/>
        <w:jc w:val="left"/>
        <w:rPr>
          <w:bCs/>
        </w:rPr>
      </w:pPr>
    </w:p>
    <w:p w:rsidR="00573CBA" w:rsidRPr="000B43C2" w:rsidRDefault="00573CBA" w:rsidP="00573CBA">
      <w:pPr>
        <w:autoSpaceDE w:val="0"/>
        <w:autoSpaceDN w:val="0"/>
        <w:adjustRightInd w:val="0"/>
        <w:snapToGrid w:val="0"/>
        <w:spacing w:line="480" w:lineRule="auto"/>
        <w:jc w:val="left"/>
        <w:rPr>
          <w:bCs/>
        </w:rPr>
      </w:pPr>
      <w:r w:rsidRPr="000B43C2">
        <w:rPr>
          <w:bCs/>
        </w:rPr>
        <w:t xml:space="preserve">Comparison of the amino acids levels in the control, ketogenic diet (KD), bevacizumab (Bev), and ketogenic diet plus bevacizumab (KD+Bev) groups in normal bran tissues. Aspartic acid and glutamic acid are most different from the tumor. (*p&lt;0.05, **p&lt;0.01, and Tukey-Kramer test). </w:t>
      </w:r>
    </w:p>
    <w:p w:rsidR="00573CBA" w:rsidRPr="000B43C2" w:rsidRDefault="00573CBA" w:rsidP="00573CBA">
      <w:pPr>
        <w:autoSpaceDE w:val="0"/>
        <w:autoSpaceDN w:val="0"/>
        <w:adjustRightInd w:val="0"/>
        <w:snapToGrid w:val="0"/>
        <w:spacing w:line="480" w:lineRule="auto"/>
        <w:jc w:val="left"/>
        <w:rPr>
          <w:bCs/>
        </w:rPr>
      </w:pPr>
    </w:p>
    <w:p w:rsidR="006F3A72" w:rsidRDefault="006F3A72">
      <w:pPr>
        <w:widowControl/>
        <w:jc w:val="left"/>
        <w:rPr>
          <w:b/>
          <w:bCs/>
        </w:rPr>
      </w:pPr>
      <w:r>
        <w:rPr>
          <w:b/>
          <w:bCs/>
        </w:rPr>
        <w:br w:type="page"/>
      </w:r>
    </w:p>
    <w:p w:rsidR="00573CBA" w:rsidRPr="000B43C2" w:rsidRDefault="00573CBA" w:rsidP="00573CBA">
      <w:pPr>
        <w:autoSpaceDE w:val="0"/>
        <w:autoSpaceDN w:val="0"/>
        <w:adjustRightInd w:val="0"/>
        <w:snapToGrid w:val="0"/>
        <w:spacing w:line="480" w:lineRule="auto"/>
        <w:jc w:val="left"/>
        <w:rPr>
          <w:b/>
          <w:bCs/>
        </w:rPr>
      </w:pPr>
      <w:r w:rsidRPr="000B43C2">
        <w:rPr>
          <w:b/>
          <w:bCs/>
        </w:rPr>
        <w:lastRenderedPageBreak/>
        <w:t>Supplemental figure S3</w:t>
      </w:r>
    </w:p>
    <w:p w:rsidR="006F3A72" w:rsidRDefault="006E0F48" w:rsidP="00573CBA">
      <w:pPr>
        <w:autoSpaceDE w:val="0"/>
        <w:autoSpaceDN w:val="0"/>
        <w:adjustRightInd w:val="0"/>
        <w:snapToGrid w:val="0"/>
        <w:spacing w:line="480" w:lineRule="auto"/>
        <w:jc w:val="left"/>
        <w:rPr>
          <w:bCs/>
        </w:rPr>
      </w:pPr>
      <w:r>
        <w:rPr>
          <w:noProof/>
        </w:rPr>
        <w:pict>
          <v:shape id="_x0000_s1028" type="#_x0000_t75" style="position:absolute;margin-left:2.7pt;margin-top:44.05pt;width:428.85pt;height:351.7pt;z-index:251663360;mso-position-horizontal-relative:margin;mso-position-vertical-relative:margin">
            <v:imagedata r:id="rId8" o:title="FigS3" croptop="5151f" cropbottom="24604f" cropleft="2570f" cropright="4840f"/>
            <w10:wrap type="square" anchorx="margin" anchory="margin"/>
          </v:shape>
        </w:pict>
      </w:r>
    </w:p>
    <w:p w:rsidR="006F3A72" w:rsidRDefault="006F3A72" w:rsidP="00573CBA">
      <w:pPr>
        <w:autoSpaceDE w:val="0"/>
        <w:autoSpaceDN w:val="0"/>
        <w:adjustRightInd w:val="0"/>
        <w:snapToGrid w:val="0"/>
        <w:spacing w:line="480" w:lineRule="auto"/>
        <w:jc w:val="left"/>
        <w:rPr>
          <w:bCs/>
        </w:rPr>
      </w:pPr>
    </w:p>
    <w:p w:rsidR="006F3A72" w:rsidRDefault="006F3A72" w:rsidP="00573CBA">
      <w:pPr>
        <w:autoSpaceDE w:val="0"/>
        <w:autoSpaceDN w:val="0"/>
        <w:adjustRightInd w:val="0"/>
        <w:snapToGrid w:val="0"/>
        <w:spacing w:line="480" w:lineRule="auto"/>
        <w:jc w:val="left"/>
        <w:rPr>
          <w:bCs/>
        </w:rPr>
      </w:pPr>
    </w:p>
    <w:p w:rsidR="006F3A72" w:rsidRDefault="006F3A72" w:rsidP="00573CBA">
      <w:pPr>
        <w:autoSpaceDE w:val="0"/>
        <w:autoSpaceDN w:val="0"/>
        <w:adjustRightInd w:val="0"/>
        <w:snapToGrid w:val="0"/>
        <w:spacing w:line="480" w:lineRule="auto"/>
        <w:jc w:val="left"/>
        <w:rPr>
          <w:bCs/>
        </w:rPr>
      </w:pPr>
    </w:p>
    <w:p w:rsidR="006F3A72" w:rsidRDefault="006F3A72" w:rsidP="00573CBA">
      <w:pPr>
        <w:autoSpaceDE w:val="0"/>
        <w:autoSpaceDN w:val="0"/>
        <w:adjustRightInd w:val="0"/>
        <w:snapToGrid w:val="0"/>
        <w:spacing w:line="480" w:lineRule="auto"/>
        <w:jc w:val="left"/>
        <w:rPr>
          <w:bCs/>
        </w:rPr>
      </w:pPr>
    </w:p>
    <w:p w:rsidR="00573CBA" w:rsidRPr="000B43C2" w:rsidRDefault="00573CBA" w:rsidP="00573CBA">
      <w:pPr>
        <w:autoSpaceDE w:val="0"/>
        <w:autoSpaceDN w:val="0"/>
        <w:adjustRightInd w:val="0"/>
        <w:snapToGrid w:val="0"/>
        <w:spacing w:line="480" w:lineRule="auto"/>
        <w:jc w:val="left"/>
        <w:rPr>
          <w:bCs/>
        </w:rPr>
      </w:pPr>
      <w:r w:rsidRPr="000B43C2">
        <w:rPr>
          <w:bCs/>
        </w:rPr>
        <w:t>Comparison of mRNA expression levels of glycolytic enzymes (*p&lt;0.05, **p&lt;0.01, and Tukey-Kramer test).</w:t>
      </w:r>
    </w:p>
    <w:p w:rsidR="00573CBA" w:rsidRPr="000B43C2" w:rsidRDefault="00573CBA" w:rsidP="00573CBA">
      <w:pPr>
        <w:autoSpaceDE w:val="0"/>
        <w:autoSpaceDN w:val="0"/>
        <w:adjustRightInd w:val="0"/>
        <w:snapToGrid w:val="0"/>
        <w:spacing w:line="480" w:lineRule="auto"/>
        <w:jc w:val="left"/>
        <w:rPr>
          <w:b/>
          <w:bCs/>
        </w:rPr>
      </w:pPr>
    </w:p>
    <w:p w:rsidR="00852941" w:rsidRPr="000B43C2" w:rsidRDefault="00852941" w:rsidP="00573CBA">
      <w:pPr>
        <w:autoSpaceDE w:val="0"/>
        <w:autoSpaceDN w:val="0"/>
        <w:adjustRightInd w:val="0"/>
        <w:snapToGrid w:val="0"/>
        <w:spacing w:line="480" w:lineRule="auto"/>
        <w:jc w:val="left"/>
      </w:pPr>
    </w:p>
    <w:sectPr w:rsidR="00852941" w:rsidRPr="000B43C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0F48" w:rsidRDefault="006E0F48" w:rsidP="000B43C2">
      <w:r>
        <w:separator/>
      </w:r>
    </w:p>
  </w:endnote>
  <w:endnote w:type="continuationSeparator" w:id="0">
    <w:p w:rsidR="006E0F48" w:rsidRDefault="006E0F48" w:rsidP="000B43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0F48" w:rsidRDefault="006E0F48" w:rsidP="000B43C2">
      <w:r>
        <w:separator/>
      </w:r>
    </w:p>
  </w:footnote>
  <w:footnote w:type="continuationSeparator" w:id="0">
    <w:p w:rsidR="006E0F48" w:rsidRDefault="006E0F48" w:rsidP="000B43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941"/>
    <w:rsid w:val="000B43C2"/>
    <w:rsid w:val="000D3337"/>
    <w:rsid w:val="00137A9F"/>
    <w:rsid w:val="003C3E50"/>
    <w:rsid w:val="00573CBA"/>
    <w:rsid w:val="006B7FEC"/>
    <w:rsid w:val="006E0F48"/>
    <w:rsid w:val="006F3A72"/>
    <w:rsid w:val="00852941"/>
    <w:rsid w:val="0098464C"/>
    <w:rsid w:val="00B84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E25E44E2-96D5-40F2-89DB-1FEC2C766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2941"/>
    <w:pPr>
      <w:widowControl w:val="0"/>
      <w:jc w:val="both"/>
    </w:pPr>
    <w:rPr>
      <w:rFonts w:ascii="Times New Roman" w:eastAsia="ＭＳ 明朝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43C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B43C2"/>
    <w:rPr>
      <w:rFonts w:ascii="Times New Roman" w:eastAsia="ＭＳ 明朝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0B43C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B43C2"/>
    <w:rPr>
      <w:rFonts w:ascii="Times New Roman" w:eastAsia="ＭＳ 明朝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336</Words>
  <Characters>1917</Characters>
  <Application>Microsoft Office Word</Application>
  <DocSecurity>0</DocSecurity>
  <Lines>15</Lines>
  <Paragraphs>4</Paragraphs>
  <ScaleCrop>false</ScaleCrop>
  <Company/>
  <LinksUpToDate>false</LinksUpToDate>
  <CharactersWithSpaces>2249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隆司 篠山</dc:creator>
  <cp:keywords/>
  <dc:description/>
  <cp:lastModifiedBy>隆司 篠山</cp:lastModifiedBy>
  <cp:revision>7</cp:revision>
  <dcterms:created xsi:type="dcterms:W3CDTF">2020-07-14T03:50:00Z</dcterms:created>
  <dcterms:modified xsi:type="dcterms:W3CDTF">2020-11-08T06:49:00Z</dcterms:modified>
</cp:coreProperties>
</file>