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[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Title page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autoSpaceDE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  <w:lang w:val="en-US" w:eastAsia="zh-CN"/>
        </w:rPr>
        <w:t>S</w:t>
      </w:r>
      <w:r>
        <w:rPr>
          <w:rFonts w:hint="default" w:ascii="Times New Roman" w:hAnsi="Times New Roman"/>
          <w:b/>
          <w:bCs/>
        </w:rPr>
        <w:t>erum levels</w:t>
      </w:r>
      <w:r>
        <w:rPr>
          <w:rFonts w:hint="eastAsia" w:ascii="Times New Roman" w:hAnsi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/>
          <w:b/>
          <w:bCs/>
        </w:rPr>
        <w:t xml:space="preserve">and </w:t>
      </w:r>
      <w:r>
        <w:rPr>
          <w:rFonts w:hint="eastAsia" w:ascii="Times New Roman" w:hAnsi="Times New Roman"/>
          <w:b/>
          <w:bCs/>
          <w:lang w:val="en-US" w:eastAsia="zh-CN"/>
        </w:rPr>
        <w:t>g</w:t>
      </w:r>
      <w:r>
        <w:rPr>
          <w:rFonts w:hint="default" w:ascii="Times New Roman" w:hAnsi="Times New Roman"/>
          <w:b/>
          <w:bCs/>
        </w:rPr>
        <w:t>ene polymorphisms of</w:t>
      </w:r>
      <w:r>
        <w:rPr>
          <w:rFonts w:hint="default" w:ascii="Times New Roman" w:hAnsi="Times New Roman"/>
          <w:b/>
          <w:bCs/>
          <w:color w:val="auto"/>
        </w:rPr>
        <w:t xml:space="preserve"> 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a</w:t>
      </w:r>
      <w:r>
        <w:rPr>
          <w:rFonts w:hint="default" w:ascii="Times New Roman" w:hAnsi="Times New Roman"/>
          <w:b/>
          <w:bCs/>
          <w:color w:val="auto"/>
        </w:rPr>
        <w:t>ngiopoietin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 xml:space="preserve"> </w:t>
      </w:r>
      <w:r>
        <w:rPr>
          <w:rFonts w:hint="default" w:ascii="Times New Roman" w:hAnsi="Times New Roman"/>
          <w:b/>
          <w:bCs/>
          <w:color w:val="auto"/>
        </w:rPr>
        <w:t>2 in</w:t>
      </w:r>
      <w:r>
        <w:rPr>
          <w:rFonts w:hint="default"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HYPERLINK "D:/%E7%94%B5%E8%84%91%E8%BD%AF%E4%BB%B6/%E6%9C%89%E9%81%93/Dict/8.5.3.0/resultui/html/index.html" \l "/javascript:;"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hint="default"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</w:rPr>
        <w:t>ystemic</w:t>
      </w:r>
      <w:r>
        <w:rPr>
          <w:rFonts w:ascii="Times New Roman" w:hAnsi="Times New Roman"/>
          <w:b/>
          <w:bCs/>
        </w:rPr>
        <w:fldChar w:fldCharType="end"/>
      </w:r>
      <w:r>
        <w:rPr>
          <w:rFonts w:ascii="Times New Roman" w:hAnsi="Times New Roman"/>
          <w:b/>
          <w:bCs/>
        </w:rPr>
        <w:t> 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HYPERLINK "D:/%E7%94%B5%E8%84%91%E8%BD%AF%E4%BB%B6/%E6%9C%89%E9%81%93/Dict/8.5.3.0/resultui/html/index.html" \l "/javascript:;"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lupus</w:t>
      </w:r>
      <w:r>
        <w:rPr>
          <w:rFonts w:ascii="Times New Roman" w:hAnsi="Times New Roman"/>
          <w:b/>
          <w:bCs/>
        </w:rPr>
        <w:fldChar w:fldCharType="end"/>
      </w:r>
      <w:r>
        <w:rPr>
          <w:rFonts w:ascii="Times New Roman" w:hAnsi="Times New Roman"/>
          <w:b/>
          <w:bCs/>
        </w:rPr>
        <w:t> 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HYPERLINK "D:/%E7%94%B5%E8%84%91%E8%BD%AF%E4%BB%B6/%E6%9C%89%E9%81%93/Dict/8.5.3.0/resultui/html/index.html" \l "/javascript:;"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erythematosus</w:t>
      </w:r>
      <w:r>
        <w:rPr>
          <w:rFonts w:ascii="Times New Roman" w:hAnsi="Times New Roman"/>
          <w:b/>
          <w:bCs/>
        </w:rPr>
        <w:fldChar w:fldCharType="end"/>
      </w:r>
      <w:r>
        <w:rPr>
          <w:rFonts w:hint="default" w:ascii="Times New Roman" w:hAnsi="Times New Roman"/>
          <w:b/>
          <w:bCs/>
        </w:rPr>
        <w:t xml:space="preserve"> patients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/>
          <w:bCs/>
          <w:szCs w:val="21"/>
          <w:vertAlign w:val="superscript"/>
          <w:lang w:val="en-US" w:eastAsia="zh-CN"/>
        </w:rPr>
      </w:pPr>
      <w:r>
        <w:rPr>
          <w:rFonts w:ascii="Times New Roman" w:hAnsi="Times New Roman"/>
          <w:bCs/>
          <w:szCs w:val="21"/>
        </w:rPr>
        <w:t>Jia-Min Wang</w:t>
      </w:r>
      <w:r>
        <w:rPr>
          <w:rFonts w:ascii="Times New Roman" w:hAnsi="Times New Roman"/>
          <w:bCs/>
          <w:szCs w:val="21"/>
          <w:vertAlign w:val="superscript"/>
        </w:rPr>
        <w:t>a</w:t>
      </w:r>
      <w:r>
        <w:rPr>
          <w:rFonts w:ascii="Times New Roman" w:hAnsi="Times New Roman"/>
          <w:bCs/>
          <w:szCs w:val="21"/>
        </w:rPr>
        <w:t>, Wang-Dong Xu</w:t>
      </w:r>
      <w:r>
        <w:rPr>
          <w:rFonts w:ascii="Times New Roman" w:hAnsi="Times New Roman"/>
          <w:bCs/>
          <w:szCs w:val="21"/>
          <w:vertAlign w:val="superscript"/>
        </w:rPr>
        <w:t>a</w:t>
      </w:r>
      <w:r>
        <w:rPr>
          <w:rFonts w:hint="eastAsia" w:ascii="Times New Roman" w:hAnsi="Times New Roman"/>
          <w:bCs/>
          <w:szCs w:val="21"/>
          <w:vertAlign w:val="superscript"/>
          <w:lang w:val="en-US" w:eastAsia="zh-CN"/>
        </w:rPr>
        <w:t>*</w:t>
      </w:r>
      <w:r>
        <w:rPr>
          <w:rFonts w:ascii="Times New Roman" w:hAnsi="Times New Roman"/>
          <w:bCs/>
          <w:szCs w:val="21"/>
        </w:rPr>
        <w:t>, Zhi-Chao Yuan</w:t>
      </w:r>
      <w:r>
        <w:rPr>
          <w:rFonts w:ascii="Times New Roman" w:hAnsi="Times New Roman"/>
          <w:bCs/>
          <w:szCs w:val="21"/>
          <w:vertAlign w:val="superscript"/>
        </w:rPr>
        <w:t>a</w:t>
      </w:r>
      <w:r>
        <w:rPr>
          <w:rFonts w:hint="eastAsia" w:ascii="Times New Roman" w:hAnsi="Times New Roman"/>
          <w:bCs/>
          <w:szCs w:val="21"/>
          <w:vertAlign w:val="baseline"/>
          <w:lang w:val="en-US" w:eastAsia="zh-CN"/>
        </w:rPr>
        <w:t>,</w:t>
      </w:r>
      <w:r>
        <w:rPr>
          <w:rFonts w:hint="eastAsia" w:ascii="Times New Roman" w:hAnsi="Times New Roman"/>
          <w:bCs/>
          <w:szCs w:val="21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/>
          <w:bCs/>
          <w:szCs w:val="21"/>
          <w:vertAlign w:val="baseline"/>
          <w:lang w:val="en-US" w:eastAsia="zh-CN"/>
        </w:rPr>
        <w:t>Qian Wu</w:t>
      </w:r>
      <w:r>
        <w:rPr>
          <w:rFonts w:ascii="Times New Roman" w:hAnsi="Times New Roman"/>
          <w:bCs/>
          <w:szCs w:val="21"/>
          <w:vertAlign w:val="superscript"/>
        </w:rPr>
        <w:t>a</w:t>
      </w:r>
      <w:r>
        <w:rPr>
          <w:rFonts w:hint="eastAsia" w:ascii="Times New Roman" w:hAnsi="Times New Roman"/>
          <w:bCs/>
          <w:szCs w:val="21"/>
          <w:vertAlign w:val="baseline"/>
          <w:lang w:val="en-US" w:eastAsia="zh-CN"/>
        </w:rPr>
        <w:t>, Jie Zhou</w:t>
      </w:r>
      <w:r>
        <w:rPr>
          <w:rFonts w:ascii="Times New Roman" w:hAnsi="Times New Roman"/>
          <w:bCs/>
          <w:szCs w:val="21"/>
          <w:vertAlign w:val="superscript"/>
        </w:rPr>
        <w:t>a</w:t>
      </w:r>
      <w:r>
        <w:rPr>
          <w:rFonts w:hint="eastAsia" w:ascii="Times New Roman" w:hAnsi="Times New Roman"/>
          <w:bCs/>
          <w:szCs w:val="21"/>
          <w:vertAlign w:val="baseline"/>
          <w:lang w:val="en-US" w:eastAsia="zh-CN"/>
        </w:rPr>
        <w:t xml:space="preserve">, </w:t>
      </w:r>
      <w:r>
        <w:rPr>
          <w:rFonts w:ascii="Times New Roman" w:hAnsi="Times New Roman"/>
          <w:bCs/>
          <w:szCs w:val="21"/>
        </w:rPr>
        <w:t>An-Fang Huang</w:t>
      </w:r>
      <w:r>
        <w:rPr>
          <w:rFonts w:hint="eastAsia" w:ascii="Times New Roman" w:hAnsi="Times New Roman"/>
          <w:bCs/>
          <w:szCs w:val="21"/>
          <w:vertAlign w:val="superscript"/>
          <w:lang w:val="en-US" w:eastAsia="zh-CN"/>
        </w:rPr>
        <w:t>b</w:t>
      </w:r>
      <w:r>
        <w:rPr>
          <w:rFonts w:ascii="Times New Roman" w:hAnsi="Times New Roman"/>
          <w:bCs/>
          <w:szCs w:val="21"/>
          <w:vertAlign w:val="superscript"/>
        </w:rPr>
        <w:t>*</w:t>
      </w:r>
      <w:r>
        <w:rPr>
          <w:rFonts w:hint="eastAsia" w:ascii="Times New Roman" w:hAnsi="Times New Roman"/>
          <w:bCs/>
          <w:szCs w:val="21"/>
          <w:vertAlign w:val="superscript"/>
          <w:lang w:val="en-US" w:eastAsia="zh-CN"/>
        </w:rPr>
        <w:t>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  <w:vertAlign w:val="superscript"/>
        </w:rPr>
        <w:t>a</w:t>
      </w:r>
      <w:r>
        <w:rPr>
          <w:rFonts w:ascii="Times New Roman" w:hAnsi="Times New Roman"/>
          <w:bCs/>
          <w:szCs w:val="21"/>
        </w:rPr>
        <w:t>Department of Evidence-Based Medicine, School of Public Health, Southwest Medical University, 1 Xianglin Road, Luzhou, Sichuan, 646000, P.R.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  <w:vertAlign w:val="superscript"/>
        </w:rPr>
        <w:t>b</w:t>
      </w:r>
      <w:r>
        <w:rPr>
          <w:rFonts w:ascii="Times New Roman" w:hAnsi="Times New Roman"/>
          <w:bCs/>
          <w:szCs w:val="21"/>
        </w:rPr>
        <w:t>Department of Rheumatology and Immunology, Affiliated Hospital of Southwest Medical University, 25 Taiping Road, Luzhou, Sichuan, 646000, P.R. China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autoSpaceDE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t>*Corresponding author: Wang-Dong Xu, Department of Evidence-Based Medicine, School of Public Health, Southwest Medical University, 1 Xianglin Road, Luzhou, Sichuan, 646000, P.R. China. Email address: loutch123@163.com</w:t>
      </w:r>
      <w:r>
        <w:rPr>
          <w:rFonts w:hint="eastAsia" w:ascii="Times New Roman" w:hAnsi="Times New Roman"/>
          <w:bCs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t>**Corresponding author: An-Fang Huang, Department of Rheumatology and Immunology, Affiliated Hospital of Southwest Medical University, 25 Taiping Road, Luzhou, Sichuan, 646000, P.R. China. Email</w:t>
      </w:r>
      <w:r>
        <w:rPr>
          <w:rFonts w:hint="eastAsia" w:ascii="Times New Roman" w:hAnsi="Times New Roman"/>
          <w:bCs/>
          <w:szCs w:val="21"/>
          <w:lang w:val="en-US" w:eastAsia="zh-CN"/>
        </w:rPr>
        <w:t xml:space="preserve"> address</w:t>
      </w:r>
      <w:r>
        <w:rPr>
          <w:rFonts w:ascii="Times New Roman" w:hAnsi="Times New Roman"/>
          <w:bCs/>
          <w:szCs w:val="21"/>
        </w:rPr>
        <w:t>: loutch211@163.com</w:t>
      </w:r>
    </w:p>
    <w:p>
      <w:pPr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133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750"/>
        <w:gridCol w:w="3660"/>
        <w:gridCol w:w="3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1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Supplementary table 1 Primer sequence of seven SNPs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SNPs</w:t>
            </w:r>
          </w:p>
        </w:tc>
        <w:tc>
          <w:tcPr>
            <w:tcW w:w="37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Primer_AlleleFAM</w:t>
            </w:r>
          </w:p>
        </w:tc>
        <w:tc>
          <w:tcPr>
            <w:tcW w:w="36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Primer_AlleleHEX</w:t>
            </w:r>
          </w:p>
        </w:tc>
        <w:tc>
          <w:tcPr>
            <w:tcW w:w="37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Primer_Common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rs2296188</w:t>
            </w:r>
          </w:p>
        </w:tc>
        <w:tc>
          <w:tcPr>
            <w:tcW w:w="37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GTAGGTTCTAATCTAAAGGCTGTCC</w:t>
            </w:r>
          </w:p>
        </w:tc>
        <w:tc>
          <w:tcPr>
            <w:tcW w:w="36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AGTAGGTTCTAATCTAAAGGCTGTCT</w:t>
            </w:r>
          </w:p>
        </w:tc>
        <w:tc>
          <w:tcPr>
            <w:tcW w:w="377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GTCTGCATCTTCTGCTGAATGTCCTT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rs9943922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TTGGAAATACGGTCACATACCTCG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TTGGAAATACGGTCACATACCTCA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GTATGTGTACTTAGGAAGAATGTGATCAAT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rs2296283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AATAATGAGACCCCCGGGCC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GTAATAATGAGACCCCCGGGCT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GCAGCCCCCTCGGCCTGAA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rs7324510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CAGTCATAAACTATTCTCTAGGAGAGT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AGTCATAAACTATTCTCTAGGAGAGG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CCAGAAAATATTGCTACAAGCCATAGCAT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rs9554322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CCATGGCCATCTTGTATAAGCAC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CCATGGCCATCTTGTATAAGCAG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CCCCACTGTTGGCCCATATGTAATA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rs9582036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TTACTCCTAAATACTTTAGTATACATTTTGT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TACTCCTAAATACTTTAGTATACATTTTGG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TGTGCCCAGCAACAATAGCCTTCTT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rs9554320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GTAACAGCGGCTTTGCAGTGCT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AACAGCGGCTTTGCAGTGCG</w:t>
            </w:r>
          </w:p>
        </w:tc>
        <w:tc>
          <w:tcPr>
            <w:tcW w:w="377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CAAGGTTCCTGTGTGTAGCTGATCAT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13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SNP, single nucleotide polymorphism</w:t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  <w:sectPr>
          <w:pgSz w:w="17008" w:h="11338" w:orient="landscape"/>
          <w:pgMar w:top="1440" w:right="1803" w:bottom="1440" w:left="1803" w:header="851" w:footer="992" w:gutter="0"/>
          <w:cols w:space="0" w:num="1"/>
          <w:rtlGutter w:val="0"/>
          <w:docGrid w:type="lines" w:linePitch="313" w:charSpace="0"/>
        </w:sectPr>
      </w:pPr>
    </w:p>
    <w:tbl>
      <w:tblPr>
        <w:tblStyle w:val="2"/>
        <w:tblpPr w:leftFromText="180" w:rightFromText="180" w:vertAnchor="text" w:horzAnchor="page" w:tblpXSpec="center" w:tblpY="50"/>
        <w:tblOverlap w:val="never"/>
        <w:tblW w:w="1467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511"/>
        <w:gridCol w:w="555"/>
        <w:gridCol w:w="601"/>
        <w:gridCol w:w="549"/>
        <w:gridCol w:w="687"/>
        <w:gridCol w:w="736"/>
        <w:gridCol w:w="619"/>
        <w:gridCol w:w="153"/>
        <w:gridCol w:w="513"/>
        <w:gridCol w:w="549"/>
        <w:gridCol w:w="601"/>
        <w:gridCol w:w="549"/>
        <w:gridCol w:w="687"/>
        <w:gridCol w:w="736"/>
        <w:gridCol w:w="628"/>
        <w:gridCol w:w="153"/>
        <w:gridCol w:w="513"/>
        <w:gridCol w:w="549"/>
        <w:gridCol w:w="601"/>
        <w:gridCol w:w="549"/>
        <w:gridCol w:w="689"/>
        <w:gridCol w:w="742"/>
        <w:gridCol w:w="6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4670" w:type="dxa"/>
            <w:gridSpan w:val="24"/>
            <w:tcBorders>
              <w:top w:val="nil"/>
              <w:bottom w:val="single" w:color="000000" w:sz="6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Supplementary table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 Analysis of VEGFR1 gene polymorphisms in SLE by clinical, laboratory features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575" w:type="dxa"/>
            <w:tcBorders>
              <w:top w:val="single" w:color="000000" w:sz="6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258" w:type="dxa"/>
            <w:gridSpan w:val="7"/>
            <w:tcBorders>
              <w:top w:val="single" w:color="000000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rs2296188</w:t>
            </w:r>
          </w:p>
        </w:tc>
        <w:tc>
          <w:tcPr>
            <w:tcW w:w="153" w:type="dxa"/>
            <w:tcBorders>
              <w:top w:val="single" w:color="000000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63" w:type="dxa"/>
            <w:gridSpan w:val="7"/>
            <w:tcBorders>
              <w:top w:val="single" w:color="000000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rs2296283</w:t>
            </w:r>
          </w:p>
        </w:tc>
        <w:tc>
          <w:tcPr>
            <w:tcW w:w="153" w:type="dxa"/>
            <w:tcBorders>
              <w:top w:val="single" w:color="000000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68" w:type="dxa"/>
            <w:gridSpan w:val="7"/>
            <w:tcBorders>
              <w:top w:val="single" w:color="000000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rs9554322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575" w:type="dxa"/>
            <w:tcBorders>
              <w:bottom w:val="nil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67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Genotype frequency (n)</w:t>
            </w:r>
          </w:p>
        </w:tc>
        <w:tc>
          <w:tcPr>
            <w:tcW w:w="549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Style w:val="5"/>
                <w:rFonts w:eastAsia="宋体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142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Allele frequency (n)</w:t>
            </w:r>
          </w:p>
        </w:tc>
        <w:tc>
          <w:tcPr>
            <w:tcW w:w="619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Style w:val="5"/>
                <w:rFonts w:eastAsia="宋体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153" w:type="dxa"/>
            <w:tcBorders>
              <w:bottom w:val="nil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Genotype frequency (n)</w:t>
            </w:r>
          </w:p>
        </w:tc>
        <w:tc>
          <w:tcPr>
            <w:tcW w:w="549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Style w:val="5"/>
                <w:rFonts w:eastAsia="宋体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142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Allele frequency (n)</w:t>
            </w:r>
          </w:p>
        </w:tc>
        <w:tc>
          <w:tcPr>
            <w:tcW w:w="628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Style w:val="5"/>
                <w:rFonts w:eastAsia="宋体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153" w:type="dxa"/>
            <w:tcBorders>
              <w:bottom w:val="nil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Genotype frequency (n)</w:t>
            </w:r>
          </w:p>
        </w:tc>
        <w:tc>
          <w:tcPr>
            <w:tcW w:w="549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Style w:val="5"/>
                <w:rFonts w:eastAsia="宋体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1431" w:type="dxa"/>
            <w:gridSpan w:val="2"/>
            <w:tcBorders>
              <w:top w:val="single" w:color="auto" w:sz="6" w:space="0"/>
              <w:bottom w:val="single" w:color="000000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Allele frequency (n)</w:t>
            </w:r>
          </w:p>
        </w:tc>
        <w:tc>
          <w:tcPr>
            <w:tcW w:w="625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Style w:val="5"/>
                <w:rFonts w:eastAsia="宋体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nil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Clinical features</w:t>
            </w:r>
          </w:p>
        </w:tc>
        <w:tc>
          <w:tcPr>
            <w:tcW w:w="51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TT</w:t>
            </w:r>
          </w:p>
        </w:tc>
        <w:tc>
          <w:tcPr>
            <w:tcW w:w="55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TC</w:t>
            </w:r>
          </w:p>
        </w:tc>
        <w:tc>
          <w:tcPr>
            <w:tcW w:w="60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CC</w:t>
            </w:r>
          </w:p>
        </w:tc>
        <w:tc>
          <w:tcPr>
            <w:tcW w:w="549" w:type="dxa"/>
            <w:vMerge w:val="continue"/>
            <w:tcBorders>
              <w:top w:val="nil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3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619" w:type="dxa"/>
            <w:vMerge w:val="continue"/>
            <w:tcBorders>
              <w:top w:val="nil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53" w:type="dxa"/>
            <w:tcBorders>
              <w:top w:val="nil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TT</w:t>
            </w:r>
          </w:p>
        </w:tc>
        <w:tc>
          <w:tcPr>
            <w:tcW w:w="54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TC</w:t>
            </w:r>
          </w:p>
        </w:tc>
        <w:tc>
          <w:tcPr>
            <w:tcW w:w="60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CC</w:t>
            </w:r>
          </w:p>
        </w:tc>
        <w:tc>
          <w:tcPr>
            <w:tcW w:w="549" w:type="dxa"/>
            <w:vMerge w:val="continue"/>
            <w:tcBorders>
              <w:top w:val="nil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3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628" w:type="dxa"/>
            <w:vMerge w:val="continue"/>
            <w:tcBorders>
              <w:top w:val="nil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53" w:type="dxa"/>
            <w:tcBorders>
              <w:top w:val="nil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GG</w:t>
            </w:r>
          </w:p>
        </w:tc>
        <w:tc>
          <w:tcPr>
            <w:tcW w:w="54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GC</w:t>
            </w:r>
          </w:p>
        </w:tc>
        <w:tc>
          <w:tcPr>
            <w:tcW w:w="60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CC</w:t>
            </w:r>
          </w:p>
        </w:tc>
        <w:tc>
          <w:tcPr>
            <w:tcW w:w="549" w:type="dxa"/>
            <w:vMerge w:val="continue"/>
            <w:tcBorders>
              <w:top w:val="nil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color="000000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</w:tc>
        <w:tc>
          <w:tcPr>
            <w:tcW w:w="742" w:type="dxa"/>
            <w:tcBorders>
              <w:top w:val="single" w:color="000000" w:sz="6" w:space="0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625" w:type="dxa"/>
            <w:vMerge w:val="continue"/>
            <w:tcBorders>
              <w:top w:val="nil"/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Vasculitis</w:t>
            </w:r>
          </w:p>
        </w:tc>
        <w:tc>
          <w:tcPr>
            <w:tcW w:w="511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0.265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0.518</w:t>
            </w: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0.362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0.107</w:t>
            </w: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0.340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74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326</w:t>
            </w: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223</w:t>
            </w: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74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Arthritis</w:t>
            </w:r>
          </w:p>
        </w:tc>
        <w:tc>
          <w:tcPr>
            <w:tcW w:w="51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0.292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0.216</w:t>
            </w: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0.632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0.729</w:t>
            </w: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0.281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74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207</w:t>
            </w: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74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Myositis</w:t>
            </w:r>
          </w:p>
        </w:tc>
        <w:tc>
          <w:tcPr>
            <w:tcW w:w="51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0.973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0.817</w:t>
            </w: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0.483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0.426</w:t>
            </w: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0.627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4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332</w:t>
            </w: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262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394</w:t>
            </w:r>
          </w:p>
        </w:tc>
        <w:tc>
          <w:tcPr>
            <w:tcW w:w="74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Rash</w:t>
            </w:r>
          </w:p>
        </w:tc>
        <w:tc>
          <w:tcPr>
            <w:tcW w:w="51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0.998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0.868</w:t>
            </w: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0.632</w:t>
            </w:r>
          </w:p>
        </w:tc>
        <w:tc>
          <w:tcPr>
            <w:tcW w:w="68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73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62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0.248</w:t>
            </w:r>
          </w:p>
        </w:tc>
        <w:tc>
          <w:tcPr>
            <w:tcW w:w="15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0.392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74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62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257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251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Alopecia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0.363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0.191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0.999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0.965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0.967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267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Oral ulcer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0.711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0.440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0.555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0.797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0.482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55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601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549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736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619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549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601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549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242</w:t>
            </w:r>
          </w:p>
        </w:tc>
        <w:tc>
          <w:tcPr>
            <w:tcW w:w="736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628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549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601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49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366</w:t>
            </w:r>
          </w:p>
        </w:tc>
        <w:tc>
          <w:tcPr>
            <w:tcW w:w="742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625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Pleuritis</w:t>
            </w:r>
          </w:p>
        </w:tc>
        <w:tc>
          <w:tcPr>
            <w:tcW w:w="51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0.643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0.593</w:t>
            </w: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0.679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0.480</w:t>
            </w: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0.368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319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216</w:t>
            </w:r>
          </w:p>
        </w:tc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373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Pericarditis</w:t>
            </w:r>
          </w:p>
        </w:tc>
        <w:tc>
          <w:tcPr>
            <w:tcW w:w="51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0.780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0.676</w:t>
            </w: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0.772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0.456</w:t>
            </w: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0.181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098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377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Fever</w:t>
            </w:r>
          </w:p>
        </w:tc>
        <w:tc>
          <w:tcPr>
            <w:tcW w:w="51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0.563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0.966</w:t>
            </w: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0.362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0.189</w:t>
            </w: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0.123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287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  <w:tc>
          <w:tcPr>
            <w:tcW w:w="62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4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345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ds-DNA</w:t>
            </w:r>
          </w:p>
        </w:tc>
        <w:tc>
          <w:tcPr>
            <w:tcW w:w="51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0.875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0.900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0.431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0.915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0.764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266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316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Thrombocytopenia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0.154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0.108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0.793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0.905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0.792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236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358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Reduced leukocyte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0.052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0.931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0.669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0.546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0.370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313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369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Hematuria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0.569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0.654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0.212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0.492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0.605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Proteinuria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51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5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0.721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61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0.249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0.501</w:t>
            </w:r>
          </w:p>
        </w:tc>
        <w:tc>
          <w:tcPr>
            <w:tcW w:w="687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736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62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0.335</w:t>
            </w:r>
          </w:p>
        </w:tc>
        <w:tc>
          <w:tcPr>
            <w:tcW w:w="15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601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4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0.502</w:t>
            </w:r>
          </w:p>
        </w:tc>
        <w:tc>
          <w:tcPr>
            <w:tcW w:w="689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742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62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5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511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55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601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549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736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619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bottom w:val="single" w:color="auto" w:sz="6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549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601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49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736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628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dxa"/>
            <w:tcBorders>
              <w:bottom w:val="single" w:color="auto" w:sz="6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549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601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49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  <w:tc>
          <w:tcPr>
            <w:tcW w:w="742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625" w:type="dxa"/>
            <w:tcBorders>
              <w:bottom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670" w:type="dxa"/>
            <w:gridSpan w:val="24"/>
            <w:tcBorders>
              <w:top w:val="single" w:color="auto" w:sz="6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SLE, systemic lupus erythematosus.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</w:p>
    <w:sectPr>
      <w:pgSz w:w="22677" w:h="21543" w:orient="landscape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435BA"/>
    <w:rsid w:val="14D435BA"/>
    <w:rsid w:val="389218A5"/>
    <w:rsid w:val="3DD629BD"/>
    <w:rsid w:val="406A38C9"/>
    <w:rsid w:val="709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font11"/>
    <w:basedOn w:val="4"/>
    <w:qFormat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2020-01-29T05:16:00Z</dcterms:created>
  <dc:creator>Sirius H J Chen</dc:creator>
  <cp:lastModifiedBy>user</cp:lastModifiedBy>
  <dcterms:modified xsi:type="dcterms:W3CDTF">2020-11-14T06:00:20Z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