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3A12" w:rsidRDefault="00392C11" w:rsidP="004408CB">
      <w:pPr>
        <w:pStyle w:val="Articletitle"/>
        <w:rPr>
          <w:rFonts w:eastAsia="SimSun"/>
          <w:kern w:val="2"/>
          <w:sz w:val="32"/>
          <w:szCs w:val="32"/>
          <w:lang w:val="en-US" w:eastAsia="zh-CN"/>
        </w:rPr>
      </w:pPr>
      <w:bookmarkStart w:id="0" w:name="OLE_LINK15"/>
      <w:bookmarkStart w:id="1" w:name="OLE_LINK16"/>
      <w:r>
        <w:rPr>
          <w:rFonts w:eastAsia="SimSun"/>
          <w:kern w:val="2"/>
          <w:sz w:val="32"/>
          <w:szCs w:val="32"/>
          <w:lang w:val="en-US" w:eastAsia="zh-CN"/>
        </w:rPr>
        <w:t>Supplementary materials</w:t>
      </w:r>
    </w:p>
    <w:p w:rsidR="008651F2" w:rsidRPr="008651F2" w:rsidRDefault="008651F2" w:rsidP="008651F2"/>
    <w:p w:rsidR="00377A71" w:rsidRDefault="00377A71" w:rsidP="00377A71">
      <w:pPr>
        <w:pStyle w:val="Articletitle"/>
        <w:jc w:val="both"/>
        <w:rPr>
          <w:rFonts w:eastAsia="SimSun"/>
          <w:kern w:val="2"/>
          <w:sz w:val="32"/>
          <w:szCs w:val="32"/>
          <w:lang w:val="en-US" w:eastAsia="zh-CN"/>
        </w:rPr>
      </w:pPr>
      <w:r>
        <w:rPr>
          <w:rFonts w:eastAsia="SimSun"/>
          <w:kern w:val="2"/>
          <w:sz w:val="32"/>
          <w:szCs w:val="32"/>
          <w:lang w:val="en-US" w:eastAsia="zh-CN"/>
        </w:rPr>
        <w:t>T</w:t>
      </w:r>
      <w:r w:rsidRPr="00277D57">
        <w:rPr>
          <w:rFonts w:eastAsia="SimSun"/>
          <w:kern w:val="2"/>
          <w:sz w:val="32"/>
          <w:szCs w:val="32"/>
          <w:lang w:val="en-US" w:eastAsia="zh-CN"/>
        </w:rPr>
        <w:t xml:space="preserve">ransport of </w:t>
      </w:r>
      <w:r>
        <w:rPr>
          <w:rFonts w:eastAsia="SimSun" w:hint="eastAsia"/>
          <w:kern w:val="2"/>
          <w:sz w:val="32"/>
          <w:szCs w:val="32"/>
          <w:lang w:val="en-US" w:eastAsia="zh-CN"/>
        </w:rPr>
        <w:t>e</w:t>
      </w:r>
      <w:r w:rsidRPr="00277D57">
        <w:rPr>
          <w:rFonts w:eastAsia="SimSun"/>
          <w:kern w:val="2"/>
          <w:sz w:val="32"/>
          <w:szCs w:val="32"/>
          <w:lang w:val="en-US" w:eastAsia="zh-CN"/>
        </w:rPr>
        <w:t>nvir</w:t>
      </w:r>
      <w:r>
        <w:rPr>
          <w:rFonts w:eastAsia="SimSun"/>
          <w:kern w:val="2"/>
          <w:sz w:val="32"/>
          <w:szCs w:val="32"/>
          <w:lang w:val="en-US" w:eastAsia="zh-CN"/>
        </w:rPr>
        <w:t>onmental natural organic matter coated</w:t>
      </w:r>
      <w:r w:rsidRPr="00277D57">
        <w:rPr>
          <w:rFonts w:eastAsia="SimSun"/>
          <w:kern w:val="2"/>
          <w:sz w:val="32"/>
          <w:szCs w:val="32"/>
          <w:lang w:val="en-US" w:eastAsia="zh-CN"/>
        </w:rPr>
        <w:t xml:space="preserve"> silver</w:t>
      </w:r>
      <w:r>
        <w:rPr>
          <w:rFonts w:eastAsia="SimSun"/>
          <w:kern w:val="2"/>
          <w:sz w:val="32"/>
          <w:szCs w:val="32"/>
          <w:lang w:val="en-US" w:eastAsia="zh-CN"/>
        </w:rPr>
        <w:t xml:space="preserve"> </w:t>
      </w:r>
      <w:r w:rsidRPr="00277D57">
        <w:rPr>
          <w:rFonts w:eastAsia="SimSun"/>
          <w:kern w:val="2"/>
          <w:sz w:val="32"/>
          <w:szCs w:val="32"/>
          <w:lang w:val="en-US" w:eastAsia="zh-CN"/>
        </w:rPr>
        <w:t>nano</w:t>
      </w:r>
      <w:r>
        <w:rPr>
          <w:rFonts w:eastAsia="SimSun"/>
          <w:kern w:val="2"/>
          <w:sz w:val="32"/>
          <w:szCs w:val="32"/>
          <w:lang w:val="en-US" w:eastAsia="zh-CN"/>
        </w:rPr>
        <w:t>particle</w:t>
      </w:r>
      <w:r w:rsidRPr="00277D57">
        <w:rPr>
          <w:rFonts w:eastAsia="SimSun"/>
          <w:kern w:val="2"/>
          <w:sz w:val="32"/>
          <w:szCs w:val="32"/>
          <w:lang w:val="en-US" w:eastAsia="zh-CN"/>
        </w:rPr>
        <w:t xml:space="preserve"> across cell mem</w:t>
      </w:r>
      <w:bookmarkStart w:id="2" w:name="_GoBack"/>
      <w:bookmarkEnd w:id="2"/>
      <w:r w:rsidRPr="00277D57">
        <w:rPr>
          <w:rFonts w:eastAsia="SimSun"/>
          <w:kern w:val="2"/>
          <w:sz w:val="32"/>
          <w:szCs w:val="32"/>
          <w:lang w:val="en-US" w:eastAsia="zh-CN"/>
        </w:rPr>
        <w:t>brane b</w:t>
      </w:r>
      <w:r>
        <w:rPr>
          <w:rFonts w:eastAsia="SimSun"/>
          <w:kern w:val="2"/>
          <w:sz w:val="32"/>
          <w:szCs w:val="32"/>
          <w:lang w:val="en-US" w:eastAsia="zh-CN"/>
        </w:rPr>
        <w:t>ased on</w:t>
      </w:r>
      <w:r w:rsidRPr="00277D57">
        <w:rPr>
          <w:rFonts w:eastAsia="SimSun"/>
          <w:kern w:val="2"/>
          <w:sz w:val="32"/>
          <w:szCs w:val="32"/>
          <w:lang w:val="en-US" w:eastAsia="zh-CN"/>
        </w:rPr>
        <w:t xml:space="preserve"> membrane etching treatment and inhibitors</w:t>
      </w:r>
    </w:p>
    <w:bookmarkEnd w:id="0"/>
    <w:bookmarkEnd w:id="1"/>
    <w:p w:rsidR="00377A71" w:rsidRDefault="00377A71" w:rsidP="00377A71"/>
    <w:p w:rsidR="00377A71" w:rsidRDefault="00377A71" w:rsidP="00053A36">
      <w:pPr>
        <w:spacing w:line="360" w:lineRule="auto"/>
        <w:rPr>
          <w:vertAlign w:val="superscript"/>
        </w:rPr>
      </w:pPr>
      <w:bookmarkStart w:id="3" w:name="OLE_LINK21"/>
      <w:r>
        <w:rPr>
          <w:rFonts w:hint="eastAsia"/>
        </w:rPr>
        <w:t>Laijin</w:t>
      </w:r>
      <w:r>
        <w:t xml:space="preserve"> Zhong</w:t>
      </w:r>
      <w:bookmarkEnd w:id="3"/>
      <w:r>
        <w:rPr>
          <w:vertAlign w:val="superscript"/>
        </w:rPr>
        <w:t>a</w:t>
      </w:r>
      <w:r>
        <w:t xml:space="preserve">, </w:t>
      </w:r>
      <w:bookmarkStart w:id="4" w:name="OLE_LINK24"/>
      <w:r>
        <w:t>Sisi Chen</w:t>
      </w:r>
      <w:bookmarkEnd w:id="4"/>
      <w:r>
        <w:rPr>
          <w:vertAlign w:val="superscript"/>
        </w:rPr>
        <w:t>a</w:t>
      </w:r>
      <w:r>
        <w:t xml:space="preserve">, </w:t>
      </w:r>
      <w:bookmarkStart w:id="5" w:name="OLE_LINK26"/>
      <w:r>
        <w:t>Zhijie Tang</w:t>
      </w:r>
      <w:bookmarkEnd w:id="5"/>
      <w:r>
        <w:rPr>
          <w:vertAlign w:val="superscript"/>
        </w:rPr>
        <w:t>a</w:t>
      </w:r>
      <w:r>
        <w:t xml:space="preserve">, </w:t>
      </w:r>
      <w:bookmarkStart w:id="6" w:name="OLE_LINK27"/>
      <w:r>
        <w:t>Xuewen Guo</w:t>
      </w:r>
      <w:bookmarkEnd w:id="6"/>
      <w:r>
        <w:rPr>
          <w:vertAlign w:val="superscript"/>
        </w:rPr>
        <w:t>a</w:t>
      </w:r>
      <w:r>
        <w:t>, Xin Hu</w:t>
      </w:r>
      <w:r>
        <w:rPr>
          <w:vertAlign w:val="superscript"/>
        </w:rPr>
        <w:t>a*</w:t>
      </w:r>
      <w:r>
        <w:t>,</w:t>
      </w:r>
      <w:r w:rsidRPr="00CB39D2">
        <w:t xml:space="preserve"> </w:t>
      </w:r>
      <w:bookmarkStart w:id="7" w:name="OLE_LINK28"/>
      <w:r>
        <w:t>Weijuan Zhen</w:t>
      </w:r>
      <w:r>
        <w:rPr>
          <w:rFonts w:hint="eastAsia"/>
        </w:rPr>
        <w:t>g</w:t>
      </w:r>
      <w:bookmarkEnd w:id="7"/>
      <w:r>
        <w:rPr>
          <w:vertAlign w:val="superscript"/>
        </w:rPr>
        <w:t>b</w:t>
      </w:r>
      <w:r>
        <w:t xml:space="preserve">, </w:t>
      </w:r>
      <w:bookmarkStart w:id="8" w:name="OLE_LINK29"/>
      <w:r>
        <w:t>Hong-zhen Lian</w:t>
      </w:r>
      <w:bookmarkEnd w:id="8"/>
      <w:r>
        <w:rPr>
          <w:vertAlign w:val="superscript"/>
        </w:rPr>
        <w:t>a*</w:t>
      </w:r>
    </w:p>
    <w:p w:rsidR="00377A71" w:rsidRDefault="00377A71" w:rsidP="00053A36">
      <w:pPr>
        <w:spacing w:line="360" w:lineRule="auto"/>
      </w:pPr>
    </w:p>
    <w:p w:rsidR="00377A71" w:rsidRDefault="00377A71" w:rsidP="00053A36">
      <w:pPr>
        <w:spacing w:line="360" w:lineRule="auto"/>
        <w:rPr>
          <w:color w:val="000000"/>
        </w:rPr>
      </w:pPr>
      <w:r>
        <w:rPr>
          <w:color w:val="000000"/>
          <w:vertAlign w:val="superscript"/>
        </w:rPr>
        <w:t>a</w:t>
      </w:r>
      <w:r>
        <w:rPr>
          <w:color w:val="000000"/>
        </w:rPr>
        <w:t xml:space="preserve"> State Key Laboratory of Analytical Chemistry for Life Science,</w:t>
      </w:r>
      <w:r>
        <w:rPr>
          <w:bCs/>
          <w:iCs/>
          <w:color w:val="000000"/>
        </w:rPr>
        <w:t xml:space="preserve"> </w:t>
      </w:r>
      <w:r>
        <w:rPr>
          <w:iCs/>
          <w:color w:val="000000"/>
        </w:rPr>
        <w:t>School of Chemistry &amp; Chemical Engineering</w:t>
      </w:r>
      <w:r>
        <w:rPr>
          <w:color w:val="000000"/>
        </w:rPr>
        <w:t xml:space="preserve"> and Centre of Materials Analysis, </w:t>
      </w:r>
      <w:bookmarkStart w:id="9" w:name="OLE_LINK22"/>
      <w:bookmarkStart w:id="10" w:name="OLE_LINK23"/>
      <w:bookmarkStart w:id="11" w:name="OLE_LINK25"/>
      <w:r>
        <w:rPr>
          <w:color w:val="000000"/>
        </w:rPr>
        <w:t>Nanjing University</w:t>
      </w:r>
      <w:bookmarkEnd w:id="9"/>
      <w:bookmarkEnd w:id="10"/>
      <w:bookmarkEnd w:id="11"/>
      <w:r>
        <w:rPr>
          <w:color w:val="000000"/>
        </w:rPr>
        <w:t>, Nanjing 210023, PR China</w:t>
      </w:r>
    </w:p>
    <w:p w:rsidR="00377A71" w:rsidRDefault="00377A71" w:rsidP="00053A36">
      <w:pPr>
        <w:spacing w:line="360" w:lineRule="auto"/>
        <w:rPr>
          <w:color w:val="000000"/>
        </w:rPr>
      </w:pPr>
      <w:r>
        <w:rPr>
          <w:color w:val="000000"/>
          <w:vertAlign w:val="superscript"/>
        </w:rPr>
        <w:t>b</w:t>
      </w:r>
      <w:r>
        <w:rPr>
          <w:color w:val="000000"/>
        </w:rPr>
        <w:t xml:space="preserve"> </w:t>
      </w:r>
      <w:r w:rsidRPr="006E7EA8">
        <w:rPr>
          <w:color w:val="000000"/>
        </w:rPr>
        <w:t>State Key Laboratory of Pharmaceutical Biotechnology</w:t>
      </w:r>
      <w:r>
        <w:rPr>
          <w:color w:val="000000"/>
        </w:rPr>
        <w:t>,</w:t>
      </w:r>
      <w:r w:rsidRPr="006E7EA8">
        <w:rPr>
          <w:color w:val="000000"/>
        </w:rPr>
        <w:t xml:space="preserve"> </w:t>
      </w:r>
      <w:r>
        <w:rPr>
          <w:color w:val="000000"/>
        </w:rPr>
        <w:t>School of Life Science</w:t>
      </w:r>
      <w:r>
        <w:rPr>
          <w:rFonts w:hint="eastAsia"/>
          <w:color w:val="000000"/>
        </w:rPr>
        <w:t>,</w:t>
      </w:r>
      <w:r>
        <w:rPr>
          <w:color w:val="000000"/>
        </w:rPr>
        <w:t xml:space="preserve"> Nanjing University, Nanjing 210023, PR China</w:t>
      </w:r>
    </w:p>
    <w:p w:rsidR="00377A71" w:rsidRDefault="00377A71" w:rsidP="00053A36">
      <w:pPr>
        <w:spacing w:line="360" w:lineRule="auto"/>
      </w:pPr>
    </w:p>
    <w:p w:rsidR="00377A71" w:rsidRDefault="00377A71" w:rsidP="00053A36">
      <w:pPr>
        <w:spacing w:line="360" w:lineRule="auto"/>
      </w:pPr>
      <w:r>
        <w:rPr>
          <w:color w:val="000000"/>
        </w:rPr>
        <w:t>Corresponding authors: *Xin Hu</w:t>
      </w:r>
      <w:r>
        <w:rPr>
          <w:rFonts w:hint="eastAsia"/>
          <w:color w:val="000000"/>
        </w:rPr>
        <w:t>.</w:t>
      </w:r>
      <w:r>
        <w:rPr>
          <w:color w:val="000000"/>
        </w:rPr>
        <w:t xml:space="preserve"> Phone: +86-</w:t>
      </w:r>
      <w:r>
        <w:rPr>
          <w:rFonts w:hint="eastAsia"/>
          <w:color w:val="000000"/>
        </w:rPr>
        <w:t>25</w:t>
      </w:r>
      <w:r>
        <w:rPr>
          <w:color w:val="000000"/>
        </w:rPr>
        <w:t>-83592247; e-mail: huxin@nju.edu.cn; *Hong-zhen Lian. Phone: +86-</w:t>
      </w:r>
      <w:r>
        <w:rPr>
          <w:rFonts w:hint="eastAsia"/>
          <w:color w:val="000000"/>
        </w:rPr>
        <w:t>25</w:t>
      </w:r>
      <w:r>
        <w:rPr>
          <w:color w:val="000000"/>
        </w:rPr>
        <w:t>-</w:t>
      </w:r>
      <w:r>
        <w:t>89681929</w:t>
      </w:r>
      <w:r>
        <w:rPr>
          <w:color w:val="000000"/>
        </w:rPr>
        <w:t>; e-mail: hzlian@nju.edu.cn.</w:t>
      </w:r>
    </w:p>
    <w:p w:rsidR="00D1020D" w:rsidRDefault="00D1020D" w:rsidP="00053A36">
      <w:pPr>
        <w:widowControl/>
        <w:spacing w:line="360" w:lineRule="auto"/>
        <w:jc w:val="left"/>
        <w:rPr>
          <w:b/>
        </w:rPr>
      </w:pPr>
      <w:r>
        <w:rPr>
          <w:b/>
        </w:rPr>
        <w:br w:type="page"/>
      </w:r>
    </w:p>
    <w:p w:rsidR="0031417F" w:rsidRDefault="0021667E" w:rsidP="000C6426">
      <w:pPr>
        <w:spacing w:line="312" w:lineRule="auto"/>
        <w:rPr>
          <w:rFonts w:cs="Times New Roman"/>
          <w:i/>
        </w:rPr>
      </w:pPr>
      <w:r w:rsidRPr="00F516A4">
        <w:rPr>
          <w:b/>
          <w:i/>
        </w:rPr>
        <w:lastRenderedPageBreak/>
        <w:t>S</w:t>
      </w:r>
      <w:r w:rsidRPr="00F516A4">
        <w:rPr>
          <w:rFonts w:cs="Times New Roman"/>
          <w:b/>
          <w:i/>
        </w:rPr>
        <w:t>ynthesis of 20 nm silver nanoparticle</w:t>
      </w:r>
    </w:p>
    <w:p w:rsidR="0021667E" w:rsidRDefault="0021667E" w:rsidP="000C6426">
      <w:pPr>
        <w:spacing w:line="312" w:lineRule="auto"/>
        <w:rPr>
          <w:rFonts w:cs="Times New Roman"/>
        </w:rPr>
      </w:pPr>
      <w:r w:rsidRPr="00235BD2">
        <w:rPr>
          <w:rFonts w:cs="Times New Roman"/>
        </w:rPr>
        <w:t>The method was based on the previous reports with a few modification. 20 g PVP (Mw = 10000) was slowly added in 150 ml ethylene glycol at room temperature with continuous stirring until PVP was thoroughly dissolved. 800 mg AgNO</w:t>
      </w:r>
      <w:r w:rsidRPr="00235BD2">
        <w:rPr>
          <w:rFonts w:cs="Times New Roman"/>
          <w:vertAlign w:val="subscript"/>
        </w:rPr>
        <w:t>3</w:t>
      </w:r>
      <w:r w:rsidRPr="00235BD2">
        <w:rPr>
          <w:rFonts w:cs="Times New Roman"/>
        </w:rPr>
        <w:t xml:space="preserve"> was then slowly added at room temperature with continuous stirring until AgNO</w:t>
      </w:r>
      <w:r w:rsidRPr="00235BD2">
        <w:rPr>
          <w:rFonts w:cs="Times New Roman"/>
          <w:vertAlign w:val="subscript"/>
        </w:rPr>
        <w:t>3</w:t>
      </w:r>
      <w:r w:rsidRPr="00235BD2">
        <w:rPr>
          <w:rFonts w:cs="Times New Roman"/>
        </w:rPr>
        <w:t xml:space="preserve"> was complete dissolved. Then, the system was heated up t</w:t>
      </w:r>
      <w:r>
        <w:rPr>
          <w:rFonts w:cs="Times New Roman"/>
        </w:rPr>
        <w:t xml:space="preserve">o 120 </w:t>
      </w:r>
      <w:r w:rsidRPr="009D4037">
        <w:rPr>
          <w:rFonts w:cs="Times New Roman"/>
        </w:rPr>
        <w:t>°C</w:t>
      </w:r>
      <w:r>
        <w:rPr>
          <w:rFonts w:cs="Times New Roman"/>
        </w:rPr>
        <w:t xml:space="preserve"> at a constant rate of 3 </w:t>
      </w:r>
      <w:r w:rsidRPr="009D4037">
        <w:rPr>
          <w:rFonts w:cs="Times New Roman"/>
        </w:rPr>
        <w:t>°C</w:t>
      </w:r>
      <w:r>
        <w:rPr>
          <w:rFonts w:cs="Times New Roman"/>
        </w:rPr>
        <w:t xml:space="preserve"> </w:t>
      </w:r>
      <w:r w:rsidRPr="00235BD2">
        <w:rPr>
          <w:rFonts w:cs="Times New Roman"/>
        </w:rPr>
        <w:t>min</w:t>
      </w:r>
      <w:r w:rsidRPr="001E009B">
        <w:rPr>
          <w:rFonts w:cs="Times New Roman"/>
          <w:vertAlign w:val="superscript"/>
        </w:rPr>
        <w:t>-1</w:t>
      </w:r>
      <w:r>
        <w:t>.</w:t>
      </w:r>
      <w:r w:rsidRPr="00B97CF9">
        <w:rPr>
          <w:rFonts w:cs="Times New Roman"/>
        </w:rPr>
        <w:t xml:space="preserve"> The reaction was allowed to maintain for 1 h at 120</w:t>
      </w:r>
      <w:r>
        <w:rPr>
          <w:rFonts w:cs="Times New Roman"/>
        </w:rPr>
        <w:t xml:space="preserve"> </w:t>
      </w:r>
      <w:r w:rsidRPr="009D4037">
        <w:rPr>
          <w:rFonts w:cs="Times New Roman"/>
        </w:rPr>
        <w:t>°C</w:t>
      </w:r>
      <w:r w:rsidRPr="00B97CF9">
        <w:rPr>
          <w:rFonts w:cs="Times New Roman"/>
        </w:rPr>
        <w:t xml:space="preserve">. </w:t>
      </w:r>
      <w:r>
        <w:rPr>
          <w:rFonts w:cs="Times New Roman"/>
        </w:rPr>
        <w:t>At the end, the colloidal dispersion was cooled down to the room temperature in a water bath. With 500 ml acetone added in, the silver was separated from the solution by centrifugation at 15000 rpm for 30 min. The precipitates was washed with pure water for 3 times to remove the fragilely combined PVP on silver surface and separated by centrifugation at 15000 rpm for 30 min. The obtained silver was dispersed in 10 ml pure water for the subsequent treatment.</w:t>
      </w:r>
    </w:p>
    <w:p w:rsidR="00474DFF" w:rsidRDefault="00474DFF" w:rsidP="000C6426">
      <w:pPr>
        <w:spacing w:line="312" w:lineRule="auto"/>
        <w:rPr>
          <w:b/>
          <w:i/>
        </w:rPr>
      </w:pPr>
    </w:p>
    <w:p w:rsidR="0031417F" w:rsidRDefault="00A67EF2" w:rsidP="000C6426">
      <w:pPr>
        <w:spacing w:line="312" w:lineRule="auto"/>
        <w:rPr>
          <w:i/>
        </w:rPr>
      </w:pPr>
      <w:r w:rsidRPr="00F516A4">
        <w:rPr>
          <w:b/>
          <w:i/>
        </w:rPr>
        <w:t>NOMs treated nAg</w:t>
      </w:r>
    </w:p>
    <w:p w:rsidR="003D7EA4" w:rsidRDefault="003D7EA4" w:rsidP="000C6426">
      <w:pPr>
        <w:spacing w:line="312" w:lineRule="auto"/>
        <w:rPr>
          <w:color w:val="000000"/>
          <w:lang w:val="en-GB"/>
        </w:rPr>
      </w:pPr>
      <w:r>
        <w:t>Briefly, a certain volume of silver suspension were mixed with 50 ml solution</w:t>
      </w:r>
      <w:r w:rsidRPr="006F0BCF">
        <w:rPr>
          <w:lang w:val="en-GB"/>
        </w:rPr>
        <w:t xml:space="preserve"> </w:t>
      </w:r>
      <w:r>
        <w:rPr>
          <w:lang w:val="en-GB"/>
        </w:rPr>
        <w:t>with and without</w:t>
      </w:r>
      <w:r w:rsidRPr="000F55DB">
        <w:rPr>
          <w:lang w:val="en-GB"/>
        </w:rPr>
        <w:t xml:space="preserve"> </w:t>
      </w:r>
      <w:r>
        <w:rPr>
          <w:lang w:val="en-GB"/>
        </w:rPr>
        <w:t xml:space="preserve">NOMs in a conical flask stirring with magnetic for 2 days kept in the dark place to make the final concentration of 2 </w:t>
      </w:r>
      <w:r w:rsidRPr="006F0BCF">
        <w:rPr>
          <w:rFonts w:cs="Times New Roman"/>
          <w:lang w:val="en-GB"/>
        </w:rPr>
        <w:t>μ</w:t>
      </w:r>
      <w:r>
        <w:rPr>
          <w:rFonts w:hint="eastAsia"/>
          <w:lang w:val="en-GB"/>
        </w:rPr>
        <w:t>g</w:t>
      </w:r>
      <w:r>
        <w:rPr>
          <w:lang w:val="en-GB"/>
        </w:rPr>
        <w:t xml:space="preserve"> ml</w:t>
      </w:r>
      <w:r w:rsidRPr="006F0BCF">
        <w:rPr>
          <w:vertAlign w:val="superscript"/>
          <w:lang w:val="en-GB"/>
        </w:rPr>
        <w:t>-1</w:t>
      </w:r>
      <w:r>
        <w:rPr>
          <w:lang w:val="en-GB"/>
        </w:rPr>
        <w:t xml:space="preserve"> Ag. The suspensions were centrifuged with 8960 g for 10 minutes. </w:t>
      </w:r>
      <w:r w:rsidRPr="0066794F">
        <w:rPr>
          <w:lang w:val="en-GB"/>
        </w:rPr>
        <w:t>The precipitate</w:t>
      </w:r>
      <w:r>
        <w:rPr>
          <w:lang w:val="en-GB"/>
        </w:rPr>
        <w:t>s</w:t>
      </w:r>
      <w:r w:rsidRPr="0066794F">
        <w:rPr>
          <w:lang w:val="en-GB"/>
        </w:rPr>
        <w:t xml:space="preserve"> were freeze-dried, gr</w:t>
      </w:r>
      <w:r>
        <w:rPr>
          <w:lang w:val="en-GB"/>
        </w:rPr>
        <w:t>inded</w:t>
      </w:r>
      <w:r w:rsidRPr="0066794F">
        <w:rPr>
          <w:lang w:val="en-GB"/>
        </w:rPr>
        <w:t>, and stored for future experiments.</w:t>
      </w:r>
      <w:r>
        <w:rPr>
          <w:lang w:val="en-GB"/>
        </w:rPr>
        <w:t xml:space="preserve"> NOM solutions were obtained by dissolving solid FA, CA or TA in 30 mM NaNO</w:t>
      </w:r>
      <w:r w:rsidRPr="00490905">
        <w:rPr>
          <w:vertAlign w:val="subscript"/>
          <w:lang w:val="en-GB"/>
        </w:rPr>
        <w:t>3</w:t>
      </w:r>
      <w:r>
        <w:rPr>
          <w:lang w:val="en-GB"/>
        </w:rPr>
        <w:t xml:space="preserve"> solution and adjusting to pH 7. Concentrations of CA and TA in solution were set as 10 mM and FA were 200 mg l</w:t>
      </w:r>
      <w:r w:rsidRPr="00060938">
        <w:rPr>
          <w:vertAlign w:val="superscript"/>
          <w:lang w:val="en-GB"/>
        </w:rPr>
        <w:t>-1</w:t>
      </w:r>
      <w:r>
        <w:rPr>
          <w:lang w:val="en-GB"/>
        </w:rPr>
        <w:t>.</w:t>
      </w:r>
      <w:r w:rsidRPr="003D7EA4">
        <w:rPr>
          <w:lang w:val="en-GB"/>
        </w:rPr>
        <w:t xml:space="preserve"> </w:t>
      </w:r>
      <w:r>
        <w:rPr>
          <w:lang w:val="en-GB"/>
        </w:rPr>
        <w:t xml:space="preserve">The ultrapure water in this study were taken from </w:t>
      </w:r>
      <w:r w:rsidRPr="00DE61B0">
        <w:rPr>
          <w:color w:val="000000"/>
          <w:lang w:val="en-GB"/>
        </w:rPr>
        <w:t>Milli-Q Ultra Purified Water System</w:t>
      </w:r>
      <w:r>
        <w:rPr>
          <w:color w:val="000000"/>
          <w:lang w:val="en-GB"/>
        </w:rPr>
        <w:t>.</w:t>
      </w:r>
    </w:p>
    <w:p w:rsidR="00F516A4" w:rsidRDefault="00905353" w:rsidP="000C6426">
      <w:pPr>
        <w:spacing w:line="312" w:lineRule="auto"/>
        <w:rPr>
          <w:b/>
        </w:rPr>
      </w:pPr>
      <w:r w:rsidRPr="00905353">
        <w:rPr>
          <w:rFonts w:hint="eastAsia"/>
          <w:b/>
        </w:rPr>
        <w:t>C</w:t>
      </w:r>
      <w:r w:rsidRPr="00905353">
        <w:rPr>
          <w:b/>
        </w:rPr>
        <w:t>ell viability test of etchant</w:t>
      </w:r>
      <w:r w:rsidR="00F516A4">
        <w:rPr>
          <w:b/>
        </w:rPr>
        <w:t>.</w:t>
      </w:r>
    </w:p>
    <w:p w:rsidR="000061FC" w:rsidRDefault="00080C8B" w:rsidP="000C6426">
      <w:pPr>
        <w:spacing w:line="312" w:lineRule="auto"/>
      </w:pPr>
      <w:r>
        <w:t>A549 cells were seeded in 96 well-plate 24 h prior to exposure with etchant. Seeding density was 10</w:t>
      </w:r>
      <w:r w:rsidRPr="00033314">
        <w:rPr>
          <w:vertAlign w:val="superscript"/>
        </w:rPr>
        <w:t>4</w:t>
      </w:r>
      <w:r>
        <w:t xml:space="preserve"> cells per well in 200 </w:t>
      </w:r>
      <w:r w:rsidRPr="008C5DA1">
        <w:rPr>
          <w:rFonts w:cs="Times New Roman"/>
        </w:rPr>
        <w:t>μl</w:t>
      </w:r>
      <w:r>
        <w:t xml:space="preserve"> </w:t>
      </w:r>
      <w:r>
        <w:rPr>
          <w:rFonts w:hint="eastAsia"/>
        </w:rPr>
        <w:t>CM</w:t>
      </w:r>
      <w:r>
        <w:t xml:space="preserve">. At the following day, </w:t>
      </w:r>
      <w:r>
        <w:rPr>
          <w:rFonts w:hint="eastAsia"/>
        </w:rPr>
        <w:t>cell</w:t>
      </w:r>
      <w:r>
        <w:t xml:space="preserve">s were exposed to 100 </w:t>
      </w:r>
      <w:r w:rsidRPr="008C5DA1">
        <w:rPr>
          <w:rFonts w:cs="Times New Roman"/>
        </w:rPr>
        <w:t>μl</w:t>
      </w:r>
      <w:r>
        <w:t xml:space="preserve"> etchant supported with 1% FBS for 3, 5, 10, 20 and 30 min, and 100 </w:t>
      </w:r>
      <w:r w:rsidRPr="008C5DA1">
        <w:rPr>
          <w:rFonts w:cs="Times New Roman"/>
        </w:rPr>
        <w:t>μl</w:t>
      </w:r>
      <w:r>
        <w:t xml:space="preserve"> etchant without FBS for 20 min. After rinsing with PBS for three time, the plates were added in 100 </w:t>
      </w:r>
      <w:r w:rsidRPr="008C5DA1">
        <w:rPr>
          <w:rFonts w:cs="Times New Roman"/>
        </w:rPr>
        <w:t>μ</w:t>
      </w:r>
      <w:r>
        <w:rPr>
          <w:rFonts w:hint="eastAsia"/>
        </w:rPr>
        <w:t>l</w:t>
      </w:r>
      <w:r>
        <w:t xml:space="preserve"> PBS and 10 </w:t>
      </w:r>
      <w:r w:rsidRPr="008C5DA1">
        <w:rPr>
          <w:rFonts w:cs="Times New Roman"/>
        </w:rPr>
        <w:t>μ</w:t>
      </w:r>
      <w:r>
        <w:rPr>
          <w:rFonts w:hint="eastAsia"/>
        </w:rPr>
        <w:t>l</w:t>
      </w:r>
      <w:r>
        <w:t xml:space="preserve"> CCK-8 reagent </w:t>
      </w:r>
      <w:r>
        <w:rPr>
          <w:rFonts w:hint="eastAsia"/>
        </w:rPr>
        <w:t>per</w:t>
      </w:r>
      <w:r>
        <w:t xml:space="preserve"> </w:t>
      </w:r>
      <w:r>
        <w:rPr>
          <w:rFonts w:hint="eastAsia"/>
        </w:rPr>
        <w:t>well</w:t>
      </w:r>
      <w:r>
        <w:t xml:space="preserve"> and then incubated for 20 min. The absorbance was measured by spectrophotometry at 450 nm. These experiments were repeated on six occasions.</w:t>
      </w:r>
      <w:r w:rsidR="000061FC">
        <w:t xml:space="preserve"> </w:t>
      </w:r>
    </w:p>
    <w:p w:rsidR="00080C8B" w:rsidRDefault="000061FC" w:rsidP="000C6426">
      <w:pPr>
        <w:spacing w:line="312" w:lineRule="auto"/>
        <w:ind w:firstLineChars="200" w:firstLine="480"/>
      </w:pPr>
      <w:r>
        <w:rPr>
          <w:rFonts w:hint="eastAsia"/>
        </w:rPr>
        <w:t>The</w:t>
      </w:r>
      <w:r>
        <w:t xml:space="preserve"> results presented in </w:t>
      </w:r>
      <w:r w:rsidR="00C43C15">
        <w:t>Fig</w:t>
      </w:r>
      <w:r w:rsidR="000F2D48">
        <w:t>.</w:t>
      </w:r>
      <w:r w:rsidR="00C43C15">
        <w:t xml:space="preserve"> </w:t>
      </w:r>
      <w:r w:rsidR="00670384">
        <w:t>S</w:t>
      </w:r>
      <w:r w:rsidR="00492DD3">
        <w:t>3</w:t>
      </w:r>
      <w:r>
        <w:t xml:space="preserve">a. </w:t>
      </w:r>
      <w:r w:rsidR="006B1F84">
        <w:t>The results showed that t</w:t>
      </w:r>
      <w:r>
        <w:t>he A549 cell viability was still maintained over 80%</w:t>
      </w:r>
      <w:r w:rsidRPr="000061FC">
        <w:t xml:space="preserve"> </w:t>
      </w:r>
      <w:r>
        <w:t xml:space="preserve">as contacting etchant with 1% FBS up to 20 min. </w:t>
      </w:r>
      <w:r w:rsidR="005B78C6">
        <w:t xml:space="preserve">When contacted for 20 min, the A549 cell viability started to decrease significantly. If the contacted time over 30 min, cell viability dropped to 78%. A549 cell contacted with etchant without FBS for 20 min, the cell viability decreased to 74.7% and significantly lower than cell viability using etchant with 1% FBS. </w:t>
      </w:r>
    </w:p>
    <w:p w:rsidR="000061FC" w:rsidRDefault="005B78C6" w:rsidP="000C6426">
      <w:pPr>
        <w:spacing w:line="312" w:lineRule="auto"/>
        <w:ind w:firstLineChars="200" w:firstLine="480"/>
      </w:pPr>
      <w:r>
        <w:rPr>
          <w:rFonts w:hint="eastAsia"/>
        </w:rPr>
        <w:t>T</w:t>
      </w:r>
      <w:r>
        <w:t xml:space="preserve">he etchant used by </w:t>
      </w:r>
      <w:r w:rsidRPr="00B97018">
        <w:t>Gray B. Braun</w:t>
      </w:r>
      <w:r>
        <w:t xml:space="preserve"> was FBS free solution. Our experiment proved that the addition of 1% FBS would significantly decrease the cytotoxicity of </w:t>
      </w:r>
      <w:r w:rsidR="002B3686">
        <w:t xml:space="preserve">etchant, which could make the etchant more practical. Etchant supported with 1% FBS caused no influence to A549 cell viability in short time. We suggested that the contacting time should better be controlled </w:t>
      </w:r>
      <w:r w:rsidR="00BA4F8B">
        <w:t>below</w:t>
      </w:r>
      <w:r w:rsidR="002B3686">
        <w:t xml:space="preserve"> 10 min.</w:t>
      </w:r>
    </w:p>
    <w:p w:rsidR="005B78C6" w:rsidRPr="005B78C6" w:rsidRDefault="005B78C6" w:rsidP="000C6426">
      <w:pPr>
        <w:spacing w:line="312" w:lineRule="auto"/>
      </w:pPr>
    </w:p>
    <w:p w:rsidR="001A517C" w:rsidRDefault="001A517C" w:rsidP="000C6426">
      <w:pPr>
        <w:spacing w:line="312" w:lineRule="auto"/>
        <w:rPr>
          <w:b/>
        </w:rPr>
      </w:pPr>
      <w:r>
        <w:rPr>
          <w:b/>
        </w:rPr>
        <w:t>Improvement and e</w:t>
      </w:r>
      <w:r w:rsidRPr="00905353">
        <w:rPr>
          <w:b/>
        </w:rPr>
        <w:t xml:space="preserve">ffective of </w:t>
      </w:r>
      <w:r w:rsidR="00F516A4">
        <w:rPr>
          <w:b/>
        </w:rPr>
        <w:t>etching method.</w:t>
      </w:r>
      <w:r>
        <w:rPr>
          <w:b/>
        </w:rPr>
        <w:t xml:space="preserve"> </w:t>
      </w:r>
    </w:p>
    <w:p w:rsidR="001A517C" w:rsidRDefault="001A517C" w:rsidP="000C6426">
      <w:pPr>
        <w:spacing w:line="312" w:lineRule="auto"/>
        <w:rPr>
          <w:szCs w:val="24"/>
        </w:rPr>
      </w:pPr>
      <w:r w:rsidRPr="00F516A4">
        <w:rPr>
          <w:b/>
          <w:i/>
        </w:rPr>
        <w:t>Adherent etching process</w:t>
      </w:r>
      <w:r w:rsidR="00BA4F8B" w:rsidRPr="00F516A4">
        <w:rPr>
          <w:b/>
          <w:i/>
        </w:rPr>
        <w:t xml:space="preserve"> (AE)</w:t>
      </w:r>
      <w:r w:rsidRPr="00F516A4">
        <w:rPr>
          <w:b/>
          <w:i/>
        </w:rPr>
        <w:t xml:space="preserve">: </w:t>
      </w:r>
      <w:r>
        <w:rPr>
          <w:szCs w:val="24"/>
        </w:rPr>
        <w:t>The cells after incubated with AgNPs for 4 h were treated with 0.5 ml etchant (phosphate buffer saline (PBS) solution with 10 mM K</w:t>
      </w:r>
      <w:r w:rsidRPr="002F2E1B">
        <w:rPr>
          <w:szCs w:val="24"/>
          <w:vertAlign w:val="subscript"/>
        </w:rPr>
        <w:t>3</w:t>
      </w:r>
      <w:r>
        <w:rPr>
          <w:szCs w:val="24"/>
        </w:rPr>
        <w:t>Fe(CN)</w:t>
      </w:r>
      <w:r w:rsidRPr="002F2E1B">
        <w:rPr>
          <w:szCs w:val="24"/>
          <w:vertAlign w:val="subscript"/>
        </w:rPr>
        <w:t>6</w:t>
      </w:r>
      <w:r>
        <w:rPr>
          <w:szCs w:val="24"/>
        </w:rPr>
        <w:t xml:space="preserve"> and 10 mM Na</w:t>
      </w:r>
      <w:r w:rsidRPr="002F2E1B">
        <w:rPr>
          <w:szCs w:val="24"/>
          <w:vertAlign w:val="subscript"/>
        </w:rPr>
        <w:t>2</w:t>
      </w:r>
      <w:r>
        <w:rPr>
          <w:szCs w:val="24"/>
        </w:rPr>
        <w:t>S</w:t>
      </w:r>
      <w:r w:rsidRPr="002F2E1B">
        <w:rPr>
          <w:szCs w:val="24"/>
          <w:vertAlign w:val="subscript"/>
        </w:rPr>
        <w:t>2</w:t>
      </w:r>
      <w:r>
        <w:rPr>
          <w:szCs w:val="24"/>
        </w:rPr>
        <w:t>O</w:t>
      </w:r>
      <w:r w:rsidRPr="002F2E1B">
        <w:rPr>
          <w:szCs w:val="24"/>
          <w:vertAlign w:val="subscript"/>
        </w:rPr>
        <w:t>3</w:t>
      </w:r>
      <w:r>
        <w:rPr>
          <w:szCs w:val="24"/>
        </w:rPr>
        <w:t xml:space="preserve">, supported with 1% FBS) for 3 minutes, and repeated for twice. </w:t>
      </w:r>
    </w:p>
    <w:p w:rsidR="00FA58F2" w:rsidRDefault="001A517C" w:rsidP="000C6426">
      <w:pPr>
        <w:spacing w:line="312" w:lineRule="auto"/>
        <w:rPr>
          <w:szCs w:val="24"/>
        </w:rPr>
      </w:pPr>
      <w:r w:rsidRPr="00F516A4">
        <w:rPr>
          <w:b/>
          <w:i/>
        </w:rPr>
        <w:t>Suspension etching process</w:t>
      </w:r>
      <w:r w:rsidR="00BA4F8B" w:rsidRPr="00F516A4">
        <w:rPr>
          <w:b/>
          <w:i/>
        </w:rPr>
        <w:t xml:space="preserve"> (SE)</w:t>
      </w:r>
      <w:r w:rsidRPr="00F516A4">
        <w:rPr>
          <w:b/>
          <w:i/>
        </w:rPr>
        <w:t xml:space="preserve">: </w:t>
      </w:r>
      <w:r>
        <w:rPr>
          <w:szCs w:val="24"/>
        </w:rPr>
        <w:t>The cells after incubated with AgNPs for 1 or 4 h were treated with 0.5 ml etchant (phosphate buffer saline (PBS) solution with 10 mM K</w:t>
      </w:r>
      <w:r w:rsidRPr="002F2E1B">
        <w:rPr>
          <w:szCs w:val="24"/>
          <w:vertAlign w:val="subscript"/>
        </w:rPr>
        <w:t>3</w:t>
      </w:r>
      <w:r>
        <w:rPr>
          <w:szCs w:val="24"/>
        </w:rPr>
        <w:t>Fe(CN)</w:t>
      </w:r>
      <w:r w:rsidRPr="002F2E1B">
        <w:rPr>
          <w:szCs w:val="24"/>
          <w:vertAlign w:val="subscript"/>
        </w:rPr>
        <w:t>6</w:t>
      </w:r>
      <w:r>
        <w:rPr>
          <w:szCs w:val="24"/>
        </w:rPr>
        <w:t xml:space="preserve"> and 10 mM Na</w:t>
      </w:r>
      <w:r w:rsidRPr="002F2E1B">
        <w:rPr>
          <w:szCs w:val="24"/>
          <w:vertAlign w:val="subscript"/>
        </w:rPr>
        <w:t>2</w:t>
      </w:r>
      <w:r>
        <w:rPr>
          <w:szCs w:val="24"/>
        </w:rPr>
        <w:t>S</w:t>
      </w:r>
      <w:r w:rsidRPr="002F2E1B">
        <w:rPr>
          <w:szCs w:val="24"/>
          <w:vertAlign w:val="subscript"/>
        </w:rPr>
        <w:t>2</w:t>
      </w:r>
      <w:r>
        <w:rPr>
          <w:szCs w:val="24"/>
        </w:rPr>
        <w:t>O</w:t>
      </w:r>
      <w:r w:rsidRPr="002F2E1B">
        <w:rPr>
          <w:szCs w:val="24"/>
          <w:vertAlign w:val="subscript"/>
        </w:rPr>
        <w:t>3</w:t>
      </w:r>
      <w:r>
        <w:rPr>
          <w:szCs w:val="24"/>
        </w:rPr>
        <w:t xml:space="preserve">, supported with 1% FBS) for 3 minutes. Then, the adherent cells were washed twice with PBS and treated with 0.2 ml EDTA-trypsin solution (w, % = 2.5%). The cells were suspended with 0.5 ml etchant for 1 minutes, and then collected from removing the supernatant by centrifuging at 1000 rpm, 4 </w:t>
      </w:r>
      <w:r w:rsidRPr="009D4037">
        <w:rPr>
          <w:rFonts w:cs="Times New Roman"/>
        </w:rPr>
        <w:t>°C</w:t>
      </w:r>
      <w:r w:rsidR="00FA58F2">
        <w:rPr>
          <w:szCs w:val="24"/>
        </w:rPr>
        <w:t>. And repeat for once.</w:t>
      </w:r>
    </w:p>
    <w:p w:rsidR="000061FC" w:rsidRDefault="001A517C" w:rsidP="000C6426">
      <w:pPr>
        <w:spacing w:line="312" w:lineRule="auto"/>
        <w:ind w:firstLineChars="200" w:firstLine="480"/>
        <w:rPr>
          <w:rFonts w:cs="Times New Roman"/>
        </w:rPr>
      </w:pPr>
      <w:r>
        <w:rPr>
          <w:szCs w:val="24"/>
        </w:rPr>
        <w:t xml:space="preserve">The whole etching process were carried out at 4 </w:t>
      </w:r>
      <w:r w:rsidRPr="009D4037">
        <w:rPr>
          <w:rFonts w:cs="Times New Roman"/>
        </w:rPr>
        <w:t>°C</w:t>
      </w:r>
      <w:r>
        <w:rPr>
          <w:rFonts w:cs="Times New Roman"/>
        </w:rPr>
        <w:t xml:space="preserve"> to prevent cells from impairing. The etched solution were collected. Concentration of Ag were detected after sample treatment.</w:t>
      </w:r>
      <w:r w:rsidR="0013616D">
        <w:rPr>
          <w:rFonts w:cs="Times New Roman"/>
        </w:rPr>
        <w:t xml:space="preserve"> </w:t>
      </w:r>
    </w:p>
    <w:p w:rsidR="001A517C" w:rsidRDefault="000256E6" w:rsidP="000C6426">
      <w:pPr>
        <w:spacing w:line="312" w:lineRule="auto"/>
        <w:ind w:firstLineChars="200" w:firstLine="480"/>
        <w:rPr>
          <w:rFonts w:cs="Times New Roman"/>
        </w:rPr>
      </w:pPr>
      <w:r>
        <w:rPr>
          <w:rFonts w:cs="Times New Roman"/>
        </w:rPr>
        <w:t xml:space="preserve">The results were presented in </w:t>
      </w:r>
      <w:r w:rsidR="00C43C15">
        <w:rPr>
          <w:rFonts w:cs="Times New Roman"/>
        </w:rPr>
        <w:t>Fig</w:t>
      </w:r>
      <w:r w:rsidR="000F2D48">
        <w:rPr>
          <w:rFonts w:cs="Times New Roman"/>
        </w:rPr>
        <w:t>.</w:t>
      </w:r>
      <w:r w:rsidR="00C43C15">
        <w:rPr>
          <w:rFonts w:cs="Times New Roman"/>
        </w:rPr>
        <w:t xml:space="preserve"> </w:t>
      </w:r>
      <w:r>
        <w:rPr>
          <w:rFonts w:cs="Times New Roman"/>
        </w:rPr>
        <w:t>S</w:t>
      </w:r>
      <w:r w:rsidR="00492DD3">
        <w:rPr>
          <w:rFonts w:cs="Times New Roman"/>
        </w:rPr>
        <w:t>3</w:t>
      </w:r>
      <w:r>
        <w:rPr>
          <w:rFonts w:cs="Times New Roman"/>
        </w:rPr>
        <w:t>b</w:t>
      </w:r>
      <w:r w:rsidR="000061FC">
        <w:rPr>
          <w:rFonts w:cs="Times New Roman"/>
        </w:rPr>
        <w:t xml:space="preserve">. </w:t>
      </w:r>
      <w:r w:rsidR="00936F40">
        <w:rPr>
          <w:rFonts w:cs="Times New Roman"/>
        </w:rPr>
        <w:t xml:space="preserve">The results showed that </w:t>
      </w:r>
      <w:r w:rsidR="00BA4F8B">
        <w:rPr>
          <w:rFonts w:cs="Times New Roman"/>
        </w:rPr>
        <w:t>AE</w:t>
      </w:r>
      <w:r w:rsidR="00936F40">
        <w:rPr>
          <w:rFonts w:cs="Times New Roman"/>
        </w:rPr>
        <w:t xml:space="preserve"> for three time made AgNPs removing for 93.1, 6.1, and 0.8% </w:t>
      </w:r>
      <w:r w:rsidR="00BA4F8B">
        <w:rPr>
          <w:rFonts w:cs="Times New Roman"/>
        </w:rPr>
        <w:t>from the cells incubated with AgNPs for 4 h, respectively</w:t>
      </w:r>
      <w:r w:rsidR="00936F40">
        <w:rPr>
          <w:rFonts w:cs="Times New Roman"/>
        </w:rPr>
        <w:t xml:space="preserve">. The </w:t>
      </w:r>
      <w:r w:rsidR="00BA4F8B">
        <w:rPr>
          <w:rFonts w:cs="Times New Roman"/>
        </w:rPr>
        <w:t>SE</w:t>
      </w:r>
      <w:r w:rsidR="00936F40">
        <w:rPr>
          <w:rFonts w:cs="Times New Roman"/>
        </w:rPr>
        <w:t xml:space="preserve"> for three time made AgNPs removing for 73.8, 25.6 and 0.6%</w:t>
      </w:r>
      <w:r w:rsidR="00BA4F8B">
        <w:rPr>
          <w:rFonts w:cs="Times New Roman"/>
        </w:rPr>
        <w:t xml:space="preserve"> from the cells incubated with AgNPs for 4 h and removing for 90.6, 9.2 and 0.2% from the cells incubated with AgNPs for 1 h, respectively</w:t>
      </w:r>
      <w:r w:rsidR="00936F40">
        <w:rPr>
          <w:rFonts w:cs="Times New Roman"/>
        </w:rPr>
        <w:t>.</w:t>
      </w:r>
      <w:r w:rsidR="00BA4F8B">
        <w:rPr>
          <w:rFonts w:cs="Times New Roman"/>
        </w:rPr>
        <w:t xml:space="preserve"> </w:t>
      </w:r>
    </w:p>
    <w:p w:rsidR="00BA4F8B" w:rsidRDefault="00BA4F8B" w:rsidP="000C6426">
      <w:pPr>
        <w:spacing w:line="312" w:lineRule="auto"/>
        <w:ind w:firstLineChars="200" w:firstLine="480"/>
        <w:rPr>
          <w:rFonts w:cs="Times New Roman"/>
        </w:rPr>
      </w:pPr>
      <w:r>
        <w:rPr>
          <w:rFonts w:cs="Times New Roman"/>
        </w:rPr>
        <w:t>Considering the same first etching process of AE and SE but larger first etching ratio of AE</w:t>
      </w:r>
      <w:r w:rsidR="008238FE">
        <w:rPr>
          <w:rFonts w:cs="Times New Roman"/>
        </w:rPr>
        <w:t xml:space="preserve"> (R</w:t>
      </w:r>
      <w:r w:rsidR="008238FE" w:rsidRPr="008238FE">
        <w:rPr>
          <w:rFonts w:cs="Times New Roman"/>
          <w:vertAlign w:val="subscript"/>
        </w:rPr>
        <w:t>A1</w:t>
      </w:r>
      <w:r w:rsidR="008238FE">
        <w:rPr>
          <w:rFonts w:cs="Times New Roman"/>
        </w:rPr>
        <w:t>)</w:t>
      </w:r>
      <w:r>
        <w:rPr>
          <w:rFonts w:cs="Times New Roman"/>
        </w:rPr>
        <w:t xml:space="preserve"> than first etching ratio of SE</w:t>
      </w:r>
      <w:r w:rsidR="008238FE">
        <w:rPr>
          <w:rFonts w:cs="Times New Roman"/>
        </w:rPr>
        <w:t xml:space="preserve"> (R</w:t>
      </w:r>
      <w:r w:rsidR="008238FE" w:rsidRPr="008238FE">
        <w:rPr>
          <w:rFonts w:cs="Times New Roman"/>
          <w:vertAlign w:val="subscript"/>
        </w:rPr>
        <w:t>S1</w:t>
      </w:r>
      <w:r w:rsidR="008238FE">
        <w:rPr>
          <w:rFonts w:cs="Times New Roman"/>
        </w:rPr>
        <w:t>)</w:t>
      </w:r>
      <w:r>
        <w:rPr>
          <w:rFonts w:cs="Times New Roman"/>
        </w:rPr>
        <w:t>, the total etching mass of SE (SE</w:t>
      </w:r>
      <w:r w:rsidRPr="00BA4F8B">
        <w:rPr>
          <w:rFonts w:cs="Times New Roman"/>
          <w:vertAlign w:val="subscript"/>
        </w:rPr>
        <w:t>total</w:t>
      </w:r>
      <w:r>
        <w:rPr>
          <w:rFonts w:cs="Times New Roman"/>
        </w:rPr>
        <w:t>) was 1.3 fold to the total etching mass of AE (AE</w:t>
      </w:r>
      <w:r w:rsidRPr="00BA4F8B">
        <w:rPr>
          <w:rFonts w:cs="Times New Roman"/>
          <w:vertAlign w:val="subscript"/>
        </w:rPr>
        <w:t>total</w:t>
      </w:r>
      <w:r>
        <w:rPr>
          <w:rFonts w:cs="Times New Roman"/>
        </w:rPr>
        <w:t>)</w:t>
      </w:r>
      <w:r w:rsidR="008238FE">
        <w:rPr>
          <w:rFonts w:cs="Times New Roman"/>
        </w:rPr>
        <w:t xml:space="preserve"> based on the same first etching mass (AE</w:t>
      </w:r>
      <w:r w:rsidR="008238FE" w:rsidRPr="00B26A30">
        <w:rPr>
          <w:rFonts w:cs="Times New Roman"/>
          <w:vertAlign w:val="subscript"/>
        </w:rPr>
        <w:t>tota</w:t>
      </w:r>
      <w:r w:rsidR="008238FE" w:rsidRPr="008238FE">
        <w:rPr>
          <w:rFonts w:cs="Times New Roman"/>
          <w:vertAlign w:val="subscript"/>
        </w:rPr>
        <w:t>l</w:t>
      </w:r>
      <w:r w:rsidR="008238FE" w:rsidRPr="008238FE">
        <w:rPr>
          <w:rFonts w:cs="Times New Roman"/>
        </w:rPr>
        <w:t xml:space="preserve"> × </w:t>
      </w:r>
      <w:r w:rsidR="008238FE" w:rsidRPr="00B26A30">
        <w:rPr>
          <w:rFonts w:cs="Times New Roman"/>
        </w:rPr>
        <w:t>R</w:t>
      </w:r>
      <w:r w:rsidR="008238FE" w:rsidRPr="00B26A30">
        <w:rPr>
          <w:rFonts w:cs="Times New Roman"/>
          <w:vertAlign w:val="subscript"/>
        </w:rPr>
        <w:t>A1</w:t>
      </w:r>
      <w:r w:rsidR="008238FE" w:rsidRPr="00B26A30">
        <w:rPr>
          <w:rFonts w:cs="Times New Roman"/>
        </w:rPr>
        <w:t>=</w:t>
      </w:r>
      <w:r w:rsidR="008238FE">
        <w:rPr>
          <w:rFonts w:cs="Times New Roman"/>
        </w:rPr>
        <w:t>SE</w:t>
      </w:r>
      <w:r w:rsidR="008238FE" w:rsidRPr="00B26A30">
        <w:rPr>
          <w:rFonts w:cs="Times New Roman"/>
          <w:vertAlign w:val="subscript"/>
        </w:rPr>
        <w:t>Total</w:t>
      </w:r>
      <w:r w:rsidR="008238FE" w:rsidRPr="008238FE">
        <w:rPr>
          <w:rFonts w:cs="Times New Roman"/>
        </w:rPr>
        <w:t xml:space="preserve"> × </w:t>
      </w:r>
      <w:r w:rsidR="008238FE" w:rsidRPr="00B26A30">
        <w:rPr>
          <w:rFonts w:cs="Times New Roman"/>
        </w:rPr>
        <w:t>R</w:t>
      </w:r>
      <w:r w:rsidR="008238FE" w:rsidRPr="00B26A30">
        <w:rPr>
          <w:rFonts w:cs="Times New Roman"/>
          <w:vertAlign w:val="subscript"/>
        </w:rPr>
        <w:t>S1</w:t>
      </w:r>
      <w:r w:rsidR="008238FE">
        <w:rPr>
          <w:rFonts w:cs="Times New Roman"/>
        </w:rPr>
        <w:t>)</w:t>
      </w:r>
      <w:r>
        <w:rPr>
          <w:rFonts w:cs="Times New Roman"/>
        </w:rPr>
        <w:t xml:space="preserve">. </w:t>
      </w:r>
      <w:r w:rsidR="00F04E9C">
        <w:rPr>
          <w:rFonts w:cs="Times New Roman"/>
        </w:rPr>
        <w:t xml:space="preserve">It proved that SE was more effective than AE of removing AgNPs from cell surface. </w:t>
      </w:r>
      <w:r w:rsidR="009E5B93">
        <w:rPr>
          <w:rFonts w:cs="Times New Roman"/>
        </w:rPr>
        <w:t>And the increase of etching mass mainly came from the second etching process of SE which was the first suspending etching process</w:t>
      </w:r>
      <w:r w:rsidR="00AE6DCC">
        <w:rPr>
          <w:rFonts w:cs="Times New Roman"/>
        </w:rPr>
        <w:t>, since suspending cells exposed to etchant with the bottom side that attached to plate and hard to contact with etchant.</w:t>
      </w:r>
      <w:r w:rsidR="009E5B93">
        <w:rPr>
          <w:rFonts w:cs="Times New Roman"/>
        </w:rPr>
        <w:t xml:space="preserve"> </w:t>
      </w:r>
      <w:r w:rsidR="00AE6DCC">
        <w:rPr>
          <w:rFonts w:cs="Times New Roman"/>
        </w:rPr>
        <w:t xml:space="preserve">AgNPs associated with the bottom side resulted from the fluidity of cell membrane. </w:t>
      </w:r>
      <w:r w:rsidR="00C40015">
        <w:rPr>
          <w:rFonts w:cs="Times New Roman"/>
        </w:rPr>
        <w:t>The second etching ratio of SE for 4 h cells (R</w:t>
      </w:r>
      <w:r w:rsidR="00C40015" w:rsidRPr="00C40015">
        <w:rPr>
          <w:rFonts w:cs="Times New Roman"/>
          <w:vertAlign w:val="subscript"/>
        </w:rPr>
        <w:t>S2-4</w:t>
      </w:r>
      <w:r w:rsidR="00C40015">
        <w:rPr>
          <w:rFonts w:cs="Times New Roman"/>
        </w:rPr>
        <w:t>) was larger than the second etching ratio of SE for 1 h cells (R</w:t>
      </w:r>
      <w:r w:rsidR="00C40015" w:rsidRPr="00C40015">
        <w:rPr>
          <w:rFonts w:cs="Times New Roman"/>
          <w:vertAlign w:val="subscript"/>
        </w:rPr>
        <w:t>S</w:t>
      </w:r>
      <w:r w:rsidR="00C40015">
        <w:rPr>
          <w:rFonts w:cs="Times New Roman"/>
          <w:vertAlign w:val="subscript"/>
        </w:rPr>
        <w:t>2</w:t>
      </w:r>
      <w:r w:rsidR="00C40015" w:rsidRPr="00C40015">
        <w:rPr>
          <w:rFonts w:cs="Times New Roman"/>
          <w:vertAlign w:val="subscript"/>
        </w:rPr>
        <w:t>-</w:t>
      </w:r>
      <w:r w:rsidR="00C40015">
        <w:rPr>
          <w:rFonts w:cs="Times New Roman"/>
          <w:vertAlign w:val="subscript"/>
        </w:rPr>
        <w:t>1</w:t>
      </w:r>
      <w:r w:rsidR="00C40015">
        <w:rPr>
          <w:rFonts w:cs="Times New Roman"/>
        </w:rPr>
        <w:t>)</w:t>
      </w:r>
      <w:r w:rsidR="00436783">
        <w:rPr>
          <w:rFonts w:cs="Times New Roman"/>
        </w:rPr>
        <w:t xml:space="preserve">. It implied that </w:t>
      </w:r>
      <w:r w:rsidR="006470C7">
        <w:rPr>
          <w:rFonts w:cs="Times New Roman"/>
        </w:rPr>
        <w:t xml:space="preserve">AgNPs associated with </w:t>
      </w:r>
      <w:r w:rsidR="00436783">
        <w:rPr>
          <w:rFonts w:cs="Times New Roman"/>
        </w:rPr>
        <w:t xml:space="preserve">the bottom side </w:t>
      </w:r>
      <w:r w:rsidR="006470C7">
        <w:rPr>
          <w:rFonts w:cs="Times New Roman"/>
        </w:rPr>
        <w:t>would increase as</w:t>
      </w:r>
      <w:r w:rsidR="00436783">
        <w:rPr>
          <w:rFonts w:cs="Times New Roman"/>
        </w:rPr>
        <w:t xml:space="preserve"> the incubation time</w:t>
      </w:r>
      <w:r w:rsidR="006470C7">
        <w:rPr>
          <w:rFonts w:cs="Times New Roman"/>
        </w:rPr>
        <w:t>.</w:t>
      </w:r>
      <w:r w:rsidR="004E1167">
        <w:rPr>
          <w:rFonts w:cs="Times New Roman"/>
        </w:rPr>
        <w:t xml:space="preserve"> </w:t>
      </w:r>
      <w:r w:rsidR="0071441F">
        <w:rPr>
          <w:rFonts w:cs="Times New Roman"/>
        </w:rPr>
        <w:t xml:space="preserve">The third etching ratio of SE was extremely low, which suggested that the associated AgNPs on cell surface was mostly removed after the second etching process of SE. </w:t>
      </w:r>
      <w:r w:rsidR="004E1167">
        <w:rPr>
          <w:rFonts w:cs="Times New Roman"/>
        </w:rPr>
        <w:t>We recommended to remove AgNPs attached on adherent cells with SE</w:t>
      </w:r>
      <w:r w:rsidR="0071441F">
        <w:rPr>
          <w:rFonts w:cs="Times New Roman"/>
        </w:rPr>
        <w:t xml:space="preserve"> (the third process could be cancelled to decrease impair</w:t>
      </w:r>
      <w:r w:rsidR="00444D35">
        <w:rPr>
          <w:rFonts w:cs="Times New Roman"/>
        </w:rPr>
        <w:t>ing</w:t>
      </w:r>
      <w:r w:rsidR="0071441F">
        <w:rPr>
          <w:rFonts w:cs="Times New Roman"/>
        </w:rPr>
        <w:t xml:space="preserve"> </w:t>
      </w:r>
      <w:r w:rsidR="00444D35">
        <w:rPr>
          <w:rFonts w:cs="Times New Roman"/>
        </w:rPr>
        <w:t xml:space="preserve">degree </w:t>
      </w:r>
      <w:r w:rsidR="0071441F">
        <w:rPr>
          <w:rFonts w:cs="Times New Roman"/>
        </w:rPr>
        <w:t>to cells)</w:t>
      </w:r>
      <w:r w:rsidR="004E1167">
        <w:rPr>
          <w:rFonts w:cs="Times New Roman"/>
        </w:rPr>
        <w:t>, especially as incubation for a long time.</w:t>
      </w:r>
      <w:r w:rsidR="0071441F">
        <w:rPr>
          <w:rFonts w:cs="Times New Roman"/>
        </w:rPr>
        <w:t xml:space="preserve"> </w:t>
      </w:r>
    </w:p>
    <w:p w:rsidR="00F516A4" w:rsidRDefault="00F516A4" w:rsidP="000C6426">
      <w:pPr>
        <w:spacing w:line="312" w:lineRule="auto"/>
        <w:rPr>
          <w:rFonts w:cs="Times New Roman"/>
        </w:rPr>
      </w:pPr>
      <w:r w:rsidRPr="00F516A4">
        <w:rPr>
          <w:b/>
          <w:i/>
          <w:szCs w:val="24"/>
        </w:rPr>
        <w:t>Improved etching method:</w:t>
      </w:r>
      <w:r>
        <w:rPr>
          <w:szCs w:val="24"/>
        </w:rPr>
        <w:t xml:space="preserve"> The cells after incubated with AgNPs were treated with 0.5 ml etchant (phosphate buffer saline (PBS, Hyclone) solution with 10 mM K</w:t>
      </w:r>
      <w:r>
        <w:rPr>
          <w:szCs w:val="24"/>
          <w:vertAlign w:val="subscript"/>
        </w:rPr>
        <w:t>3</w:t>
      </w:r>
      <w:r>
        <w:rPr>
          <w:szCs w:val="24"/>
        </w:rPr>
        <w:t>Fe(CN)</w:t>
      </w:r>
      <w:r>
        <w:rPr>
          <w:szCs w:val="24"/>
          <w:vertAlign w:val="subscript"/>
        </w:rPr>
        <w:t>6</w:t>
      </w:r>
      <w:r>
        <w:rPr>
          <w:szCs w:val="24"/>
        </w:rPr>
        <w:t xml:space="preserve"> and 10 mM Na</w:t>
      </w:r>
      <w:r>
        <w:rPr>
          <w:szCs w:val="24"/>
          <w:vertAlign w:val="subscript"/>
        </w:rPr>
        <w:t>2</w:t>
      </w:r>
      <w:r>
        <w:rPr>
          <w:szCs w:val="24"/>
        </w:rPr>
        <w:t>S</w:t>
      </w:r>
      <w:r>
        <w:rPr>
          <w:szCs w:val="24"/>
          <w:vertAlign w:val="subscript"/>
        </w:rPr>
        <w:t>2</w:t>
      </w:r>
      <w:r>
        <w:rPr>
          <w:szCs w:val="24"/>
        </w:rPr>
        <w:t>O</w:t>
      </w:r>
      <w:r>
        <w:rPr>
          <w:szCs w:val="24"/>
          <w:vertAlign w:val="subscript"/>
        </w:rPr>
        <w:t>3</w:t>
      </w:r>
      <w:r>
        <w:rPr>
          <w:szCs w:val="24"/>
        </w:rPr>
        <w:t xml:space="preserve">, supported with 1% FBS) for 3 minutes. Then, the adherent cells were washed twice with PBS and treated with 0.2 ml EDTA-trypsin solution (w, % = 2.5%, Sigma). The cells were suspended with 0.5 ml etchant for 1 minutes, and then collected from removing the supernatant by centrifuging at 1000 rpm, 4 </w:t>
      </w:r>
      <w:r>
        <w:rPr>
          <w:rFonts w:cs="Times New Roman"/>
        </w:rPr>
        <w:t>°C</w:t>
      </w:r>
      <w:r>
        <w:rPr>
          <w:szCs w:val="24"/>
        </w:rPr>
        <w:t xml:space="preserve">. The collected cells were washed twice with PBS and separated at the same centrifuging condition. The whole etching process were carried out at 4 </w:t>
      </w:r>
      <w:r>
        <w:rPr>
          <w:rFonts w:cs="Times New Roman"/>
        </w:rPr>
        <w:t>°C to prevent cells from impairing. Cell viability test was carried out after etching within 30 min to evaluate the cytotoxicity of etchants to A549 cell. Details were described in SI. AgNPs suspension was prepared in CM supported with 1% FBS in this study.</w:t>
      </w:r>
    </w:p>
    <w:p w:rsidR="000256E6" w:rsidRPr="00E270AA" w:rsidRDefault="000256E6" w:rsidP="000C6426">
      <w:pPr>
        <w:spacing w:line="312" w:lineRule="auto"/>
        <w:rPr>
          <w:b/>
        </w:rPr>
      </w:pPr>
      <w:r w:rsidRPr="00E270AA">
        <w:rPr>
          <w:rFonts w:hint="eastAsia"/>
          <w:b/>
        </w:rPr>
        <w:t>F</w:t>
      </w:r>
      <w:r w:rsidR="00F516A4">
        <w:rPr>
          <w:b/>
        </w:rPr>
        <w:t>irst order removal model.</w:t>
      </w:r>
      <w:r w:rsidRPr="00E270AA">
        <w:rPr>
          <w:b/>
        </w:rPr>
        <w:t xml:space="preserve"> </w:t>
      </w:r>
    </w:p>
    <w:p w:rsidR="000256E6" w:rsidRDefault="000256E6" w:rsidP="000C6426">
      <w:pPr>
        <w:pStyle w:val="MTDisplayEquation"/>
        <w:spacing w:line="312" w:lineRule="auto"/>
      </w:pPr>
      <w:r>
        <w:tab/>
      </w:r>
      <w:r w:rsidRPr="001E29D7">
        <w:rPr>
          <w:position w:val="-30"/>
        </w:rPr>
        <w:object w:dxaOrig="27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4pt;height:36.2pt" o:ole="">
            <v:imagedata r:id="rId6" o:title=""/>
          </v:shape>
          <o:OLEObject Type="Embed" ProgID="Equation.DSMT4" ShapeID="_x0000_i1025" DrawAspect="Content" ObjectID="_1669612780" r:id="rId7"/>
        </w:object>
      </w:r>
      <w:r>
        <w:t xml:space="preserve"> </w:t>
      </w:r>
      <w:r>
        <w:tab/>
        <w:t>(S1)</w:t>
      </w:r>
    </w:p>
    <w:p w:rsidR="000256E6" w:rsidRDefault="000256E6" w:rsidP="000C6426">
      <w:pPr>
        <w:spacing w:line="312" w:lineRule="auto"/>
      </w:pPr>
      <w:r>
        <w:rPr>
          <w:rFonts w:hint="eastAsia"/>
        </w:rPr>
        <w:t>W</w:t>
      </w:r>
      <w:r>
        <w:t>here Vs is apparent sedimentation factor, cm min</w:t>
      </w:r>
      <w:r w:rsidRPr="00E270AA">
        <w:rPr>
          <w:vertAlign w:val="superscript"/>
        </w:rPr>
        <w:t>-1</w:t>
      </w:r>
      <w:r>
        <w:t xml:space="preserve">; h is the sediment distance, 2 cm in this study (in a </w:t>
      </w:r>
      <w:r w:rsidRPr="00B26A30">
        <w:rPr>
          <w:rFonts w:cs="Times New Roman"/>
        </w:rPr>
        <w:t>1.25</w:t>
      </w:r>
      <w:r>
        <w:rPr>
          <w:rFonts w:cs="Times New Roman"/>
        </w:rPr>
        <w:t xml:space="preserve"> </w:t>
      </w:r>
      <w:r w:rsidRPr="00B26A30">
        <w:rPr>
          <w:rFonts w:cs="Times New Roman"/>
        </w:rPr>
        <w:t>×</w:t>
      </w:r>
      <w:r>
        <w:rPr>
          <w:rFonts w:cs="Times New Roman"/>
        </w:rPr>
        <w:t xml:space="preserve"> </w:t>
      </w:r>
      <w:r w:rsidRPr="00B26A30">
        <w:rPr>
          <w:rFonts w:cs="Times New Roman"/>
        </w:rPr>
        <w:t>1.25</w:t>
      </w:r>
      <w:r>
        <w:rPr>
          <w:rFonts w:cs="Times New Roman"/>
        </w:rPr>
        <w:t xml:space="preserve"> </w:t>
      </w:r>
      <w:r w:rsidRPr="00B26A30">
        <w:rPr>
          <w:rFonts w:cs="Times New Roman"/>
        </w:rPr>
        <w:t>×</w:t>
      </w:r>
      <w:r>
        <w:rPr>
          <w:rFonts w:cs="Times New Roman"/>
        </w:rPr>
        <w:t xml:space="preserve"> </w:t>
      </w:r>
      <w:r w:rsidRPr="00B26A30">
        <w:rPr>
          <w:rFonts w:cs="Times New Roman"/>
        </w:rPr>
        <w:t>4.5 cm</w:t>
      </w:r>
      <w:r w:rsidRPr="00B26A30">
        <w:rPr>
          <w:rFonts w:cs="Times New Roman"/>
          <w:vertAlign w:val="superscript"/>
        </w:rPr>
        <w:t>3</w:t>
      </w:r>
      <w:r>
        <w:rPr>
          <w:rFonts w:cs="Times New Roman"/>
        </w:rPr>
        <w:t xml:space="preserve"> cuvette</w:t>
      </w:r>
      <w:r>
        <w:t>); k</w:t>
      </w:r>
      <w:r w:rsidRPr="00206862">
        <w:rPr>
          <w:vertAlign w:val="subscript"/>
        </w:rPr>
        <w:t>dis</w:t>
      </w:r>
      <w:r>
        <w:t xml:space="preserve"> is dissolution factor, min</w:t>
      </w:r>
      <w:r w:rsidRPr="007E6116">
        <w:rPr>
          <w:vertAlign w:val="superscript"/>
        </w:rPr>
        <w:t>-1</w:t>
      </w:r>
      <w:r>
        <w:t>, considering of poor dissolution of AgNPs in C</w:t>
      </w:r>
      <w:r>
        <w:rPr>
          <w:rFonts w:hint="eastAsia"/>
        </w:rPr>
        <w:t>M</w:t>
      </w:r>
      <w:r>
        <w:t>, k</w:t>
      </w:r>
      <w:r w:rsidRPr="00206862">
        <w:rPr>
          <w:vertAlign w:val="subscript"/>
        </w:rPr>
        <w:t>dis</w:t>
      </w:r>
      <w:r>
        <w:t xml:space="preserve"> is 0 min</w:t>
      </w:r>
      <w:r w:rsidRPr="00206862">
        <w:rPr>
          <w:vertAlign w:val="superscript"/>
        </w:rPr>
        <w:t>-1</w:t>
      </w:r>
      <w:r>
        <w:t xml:space="preserve"> in this study; t is time, min; A is the absorbance of suspension at t; A</w:t>
      </w:r>
      <w:r w:rsidRPr="00206862">
        <w:rPr>
          <w:vertAlign w:val="subscript"/>
        </w:rPr>
        <w:t>0</w:t>
      </w:r>
      <w:r>
        <w:t xml:space="preserve"> and A</w:t>
      </w:r>
      <w:r w:rsidRPr="00206862">
        <w:rPr>
          <w:vertAlign w:val="subscript"/>
        </w:rPr>
        <w:t>ns</w:t>
      </w:r>
      <w:r>
        <w:t xml:space="preserve"> is the initial absorbance and absorbance of residual suspension which suspension is forward to reach. </w:t>
      </w:r>
    </w:p>
    <w:p w:rsidR="000256E6" w:rsidRPr="00206862" w:rsidRDefault="000256E6" w:rsidP="000C6426">
      <w:pPr>
        <w:spacing w:line="360" w:lineRule="auto"/>
      </w:pPr>
    </w:p>
    <w:p w:rsidR="000256E6" w:rsidRDefault="0031417F" w:rsidP="000C6426">
      <w:pPr>
        <w:spacing w:line="360" w:lineRule="auto"/>
      </w:pPr>
      <w:r w:rsidRPr="007E1265">
        <w:rPr>
          <w:rFonts w:hint="eastAsia"/>
          <w:b/>
        </w:rPr>
        <w:t>T</w:t>
      </w:r>
      <w:r w:rsidRPr="007E1265">
        <w:rPr>
          <w:b/>
        </w:rPr>
        <w:t>able S1.</w:t>
      </w:r>
      <w:r>
        <w:t xml:space="preserve"> Fitting parameters of first order removal model.</w:t>
      </w:r>
    </w:p>
    <w:tbl>
      <w:tblPr>
        <w:tblStyle w:val="TableGridLight"/>
        <w:tblW w:w="5000" w:type="pct"/>
        <w:tblLook w:val="04A0" w:firstRow="1" w:lastRow="0" w:firstColumn="1" w:lastColumn="0" w:noHBand="0" w:noVBand="1"/>
      </w:tblPr>
      <w:tblGrid>
        <w:gridCol w:w="2056"/>
        <w:gridCol w:w="1352"/>
        <w:gridCol w:w="2212"/>
        <w:gridCol w:w="1352"/>
        <w:gridCol w:w="2212"/>
      </w:tblGrid>
      <w:tr w:rsidR="000256E6" w:rsidRPr="007073FF" w:rsidTr="007E1265">
        <w:trPr>
          <w:cnfStyle w:val="100000000000" w:firstRow="1" w:lastRow="0" w:firstColumn="0" w:lastColumn="0" w:oddVBand="0" w:evenVBand="0" w:oddHBand="0" w:evenHBand="0" w:firstRowFirstColumn="0" w:firstRowLastColumn="0" w:lastRowFirstColumn="0" w:lastRowLastColumn="0"/>
        </w:trPr>
        <w:tc>
          <w:tcPr>
            <w:tcW w:w="1119" w:type="pct"/>
            <w:tcBorders>
              <w:top w:val="single" w:sz="12" w:space="0" w:color="auto"/>
            </w:tcBorders>
          </w:tcPr>
          <w:p w:rsidR="000256E6" w:rsidRPr="007073FF" w:rsidRDefault="000256E6" w:rsidP="00215217">
            <w:pPr>
              <w:spacing w:line="240" w:lineRule="auto"/>
              <w:jc w:val="center"/>
              <w:rPr>
                <w:rFonts w:cs="Times New Roman"/>
                <w:szCs w:val="24"/>
              </w:rPr>
            </w:pPr>
          </w:p>
        </w:tc>
        <w:tc>
          <w:tcPr>
            <w:tcW w:w="736" w:type="pct"/>
            <w:tcBorders>
              <w:top w:val="single" w:sz="12" w:space="0" w:color="auto"/>
            </w:tcBorders>
          </w:tcPr>
          <w:p w:rsidR="000256E6" w:rsidRPr="007073FF" w:rsidRDefault="000256E6" w:rsidP="002110C9">
            <w:pPr>
              <w:spacing w:line="240" w:lineRule="auto"/>
              <w:jc w:val="center"/>
              <w:rPr>
                <w:rFonts w:cs="Times New Roman"/>
                <w:szCs w:val="24"/>
              </w:rPr>
            </w:pPr>
            <w:r w:rsidRPr="007073FF">
              <w:rPr>
                <w:rFonts w:cs="Times New Roman"/>
                <w:szCs w:val="24"/>
              </w:rPr>
              <w:t>R</w:t>
            </w:r>
            <w:r w:rsidRPr="007073FF">
              <w:rPr>
                <w:rFonts w:cs="Times New Roman"/>
                <w:szCs w:val="24"/>
                <w:vertAlign w:val="superscript"/>
              </w:rPr>
              <w:t>2</w:t>
            </w:r>
            <w:r w:rsidR="002110C9">
              <w:rPr>
                <w:rFonts w:cs="Times New Roman"/>
                <w:szCs w:val="24"/>
                <w:vertAlign w:val="superscript"/>
              </w:rPr>
              <w:t xml:space="preserve"> *</w:t>
            </w:r>
          </w:p>
        </w:tc>
        <w:tc>
          <w:tcPr>
            <w:tcW w:w="1204" w:type="pct"/>
            <w:tcBorders>
              <w:top w:val="single" w:sz="12" w:space="0" w:color="auto"/>
            </w:tcBorders>
          </w:tcPr>
          <w:p w:rsidR="000256E6" w:rsidRPr="007073FF" w:rsidRDefault="000256E6" w:rsidP="00215217">
            <w:pPr>
              <w:spacing w:line="240" w:lineRule="auto"/>
              <w:jc w:val="center"/>
              <w:rPr>
                <w:rFonts w:cs="Times New Roman"/>
                <w:szCs w:val="24"/>
              </w:rPr>
            </w:pPr>
            <w:r w:rsidRPr="007073FF">
              <w:rPr>
                <w:rFonts w:cs="Times New Roman"/>
                <w:szCs w:val="24"/>
              </w:rPr>
              <w:t>V</w:t>
            </w:r>
            <w:r w:rsidRPr="007073FF">
              <w:rPr>
                <w:rFonts w:cs="Times New Roman"/>
                <w:szCs w:val="24"/>
                <w:vertAlign w:val="subscript"/>
              </w:rPr>
              <w:t>s</w:t>
            </w:r>
            <w:r w:rsidR="002110C9">
              <w:rPr>
                <w:rFonts w:cs="Times New Roman"/>
                <w:szCs w:val="24"/>
                <w:vertAlign w:val="subscript"/>
              </w:rPr>
              <w:t xml:space="preserve"> </w:t>
            </w:r>
            <w:r w:rsidR="002110C9">
              <w:rPr>
                <w:rFonts w:cs="Times New Roman"/>
                <w:szCs w:val="24"/>
                <w:vertAlign w:val="superscript"/>
              </w:rPr>
              <w:t>*</w:t>
            </w:r>
          </w:p>
          <w:p w:rsidR="000256E6" w:rsidRPr="007073FF" w:rsidRDefault="000256E6" w:rsidP="00215217">
            <w:pPr>
              <w:spacing w:line="240" w:lineRule="auto"/>
              <w:jc w:val="center"/>
              <w:rPr>
                <w:rFonts w:cs="Times New Roman"/>
                <w:szCs w:val="24"/>
              </w:rPr>
            </w:pPr>
            <w:r w:rsidRPr="007073FF">
              <w:rPr>
                <w:rFonts w:cs="Times New Roman"/>
                <w:szCs w:val="24"/>
              </w:rPr>
              <w:t>(cm min</w:t>
            </w:r>
            <w:r w:rsidRPr="007073FF">
              <w:rPr>
                <w:rFonts w:cs="Times New Roman"/>
                <w:szCs w:val="24"/>
                <w:vertAlign w:val="superscript"/>
              </w:rPr>
              <w:t>-1</w:t>
            </w:r>
            <w:r w:rsidRPr="007073FF">
              <w:rPr>
                <w:rFonts w:cs="Times New Roman"/>
                <w:szCs w:val="24"/>
              </w:rPr>
              <w:t>)</w:t>
            </w:r>
          </w:p>
        </w:tc>
        <w:tc>
          <w:tcPr>
            <w:tcW w:w="736" w:type="pct"/>
            <w:tcBorders>
              <w:top w:val="single" w:sz="12" w:space="0" w:color="auto"/>
            </w:tcBorders>
          </w:tcPr>
          <w:p w:rsidR="000256E6" w:rsidRPr="002110C9" w:rsidRDefault="000256E6" w:rsidP="00215217">
            <w:pPr>
              <w:spacing w:line="240" w:lineRule="auto"/>
              <w:jc w:val="center"/>
              <w:rPr>
                <w:rFonts w:cs="Times New Roman"/>
                <w:szCs w:val="24"/>
              </w:rPr>
            </w:pPr>
            <w:r w:rsidRPr="007073FF">
              <w:rPr>
                <w:rFonts w:cs="Times New Roman"/>
                <w:szCs w:val="24"/>
              </w:rPr>
              <w:t>C</w:t>
            </w:r>
            <w:r w:rsidRPr="007073FF">
              <w:rPr>
                <w:rFonts w:cs="Times New Roman"/>
                <w:szCs w:val="24"/>
                <w:vertAlign w:val="subscript"/>
              </w:rPr>
              <w:t>ns</w:t>
            </w:r>
            <w:r w:rsidR="002110C9">
              <w:rPr>
                <w:rFonts w:cs="Times New Roman"/>
                <w:szCs w:val="24"/>
                <w:vertAlign w:val="superscript"/>
              </w:rPr>
              <w:t>*</w:t>
            </w:r>
          </w:p>
        </w:tc>
        <w:tc>
          <w:tcPr>
            <w:tcW w:w="1204" w:type="pct"/>
            <w:tcBorders>
              <w:top w:val="single" w:sz="12" w:space="0" w:color="auto"/>
            </w:tcBorders>
          </w:tcPr>
          <w:p w:rsidR="000256E6" w:rsidRPr="002110C9" w:rsidRDefault="000256E6" w:rsidP="00215217">
            <w:pPr>
              <w:spacing w:line="240" w:lineRule="auto"/>
              <w:jc w:val="center"/>
              <w:rPr>
                <w:rFonts w:cs="Times New Roman"/>
                <w:szCs w:val="24"/>
              </w:rPr>
            </w:pPr>
            <w:r>
              <w:rPr>
                <w:rFonts w:cs="Times New Roman" w:hint="eastAsia"/>
                <w:szCs w:val="24"/>
              </w:rPr>
              <w:t>V</w:t>
            </w:r>
            <w:r w:rsidRPr="009E6208">
              <w:rPr>
                <w:rFonts w:cs="Times New Roman"/>
                <w:szCs w:val="24"/>
                <w:vertAlign w:val="subscript"/>
              </w:rPr>
              <w:t>s</w:t>
            </w:r>
            <w:r>
              <w:rPr>
                <w:rFonts w:cs="Times New Roman"/>
                <w:szCs w:val="24"/>
                <w:vertAlign w:val="subscript"/>
              </w:rPr>
              <w:t>h</w:t>
            </w:r>
            <w:r w:rsidR="002110C9">
              <w:rPr>
                <w:rFonts w:cs="Times New Roman"/>
                <w:szCs w:val="24"/>
                <w:vertAlign w:val="superscript"/>
              </w:rPr>
              <w:t>**</w:t>
            </w:r>
          </w:p>
          <w:p w:rsidR="000256E6" w:rsidRPr="009E6208" w:rsidRDefault="000256E6" w:rsidP="00215217">
            <w:pPr>
              <w:spacing w:line="240" w:lineRule="auto"/>
              <w:jc w:val="center"/>
              <w:rPr>
                <w:rFonts w:cs="Times New Roman"/>
                <w:szCs w:val="24"/>
              </w:rPr>
            </w:pPr>
            <w:r>
              <w:rPr>
                <w:rFonts w:cs="Times New Roman"/>
                <w:szCs w:val="24"/>
              </w:rPr>
              <w:t>(</w:t>
            </w:r>
            <w:r w:rsidRPr="007073FF">
              <w:rPr>
                <w:rFonts w:cs="Times New Roman"/>
                <w:szCs w:val="24"/>
              </w:rPr>
              <w:t>cm min</w:t>
            </w:r>
            <w:r w:rsidRPr="007073FF">
              <w:rPr>
                <w:rFonts w:cs="Times New Roman"/>
                <w:szCs w:val="24"/>
                <w:vertAlign w:val="superscript"/>
              </w:rPr>
              <w:t>-1</w:t>
            </w:r>
            <w:r>
              <w:rPr>
                <w:rFonts w:cs="Times New Roman"/>
                <w:szCs w:val="24"/>
              </w:rPr>
              <w:t>)</w:t>
            </w:r>
          </w:p>
        </w:tc>
      </w:tr>
      <w:tr w:rsidR="000256E6" w:rsidRPr="007073FF" w:rsidTr="007E1265">
        <w:tc>
          <w:tcPr>
            <w:tcW w:w="1119" w:type="pct"/>
            <w:tcBorders>
              <w:top w:val="single" w:sz="4" w:space="0" w:color="auto"/>
            </w:tcBorders>
          </w:tcPr>
          <w:p w:rsidR="000256E6" w:rsidRPr="007073FF" w:rsidRDefault="000256E6" w:rsidP="00215217">
            <w:pPr>
              <w:spacing w:line="240" w:lineRule="auto"/>
              <w:jc w:val="center"/>
              <w:rPr>
                <w:rFonts w:cs="Times New Roman"/>
                <w:szCs w:val="24"/>
              </w:rPr>
            </w:pPr>
            <w:r w:rsidRPr="007073FF">
              <w:rPr>
                <w:rFonts w:cs="Times New Roman"/>
                <w:szCs w:val="24"/>
              </w:rPr>
              <w:t>nAg</w:t>
            </w:r>
            <w:r w:rsidR="00FB45E5" w:rsidRPr="00FB45E5">
              <w:rPr>
                <w:rFonts w:cs="Times New Roman" w:hint="eastAsia"/>
                <w:szCs w:val="24"/>
                <w:vertAlign w:val="subscript"/>
              </w:rPr>
              <w:t>control</w:t>
            </w:r>
          </w:p>
        </w:tc>
        <w:tc>
          <w:tcPr>
            <w:tcW w:w="736" w:type="pct"/>
            <w:tcBorders>
              <w:top w:val="single" w:sz="4" w:space="0" w:color="auto"/>
            </w:tcBorders>
          </w:tcPr>
          <w:p w:rsidR="000256E6" w:rsidRPr="007073FF" w:rsidRDefault="000256E6" w:rsidP="00215217">
            <w:pPr>
              <w:pStyle w:val="NormalWeb"/>
              <w:spacing w:before="0" w:beforeAutospacing="0" w:after="0" w:afterAutospacing="0"/>
              <w:jc w:val="center"/>
              <w:textAlignment w:val="center"/>
              <w:rPr>
                <w:rFonts w:ascii="Arial" w:hAnsi="Arial" w:cs="Arial"/>
              </w:rPr>
            </w:pPr>
            <w:r w:rsidRPr="007073FF">
              <w:rPr>
                <w:rFonts w:ascii="Times New Roman" w:hAnsi="Times New Roman" w:cs="Times New Roman"/>
                <w:color w:val="000000"/>
                <w:kern w:val="24"/>
              </w:rPr>
              <w:t>0.991</w:t>
            </w:r>
          </w:p>
        </w:tc>
        <w:tc>
          <w:tcPr>
            <w:tcW w:w="1204" w:type="pct"/>
            <w:tcBorders>
              <w:top w:val="single" w:sz="4" w:space="0" w:color="auto"/>
            </w:tcBorders>
          </w:tcPr>
          <w:p w:rsidR="000256E6" w:rsidRPr="007073FF" w:rsidRDefault="000256E6" w:rsidP="00215217">
            <w:pPr>
              <w:pStyle w:val="NormalWeb"/>
              <w:spacing w:before="0" w:beforeAutospacing="0" w:after="0" w:afterAutospacing="0"/>
              <w:jc w:val="center"/>
              <w:textAlignment w:val="center"/>
              <w:rPr>
                <w:rFonts w:ascii="Arial" w:hAnsi="Arial" w:cs="Arial"/>
              </w:rPr>
            </w:pPr>
            <w:r w:rsidRPr="007073FF">
              <w:rPr>
                <w:rFonts w:ascii="Times New Roman" w:hAnsi="Times New Roman" w:cs="Times New Roman"/>
                <w:color w:val="000000"/>
                <w:kern w:val="24"/>
              </w:rPr>
              <w:t>0.0359</w:t>
            </w:r>
          </w:p>
        </w:tc>
        <w:tc>
          <w:tcPr>
            <w:tcW w:w="736" w:type="pct"/>
            <w:tcBorders>
              <w:top w:val="single" w:sz="4" w:space="0" w:color="auto"/>
            </w:tcBorders>
          </w:tcPr>
          <w:p w:rsidR="000256E6" w:rsidRPr="007073FF" w:rsidRDefault="000256E6" w:rsidP="00215217">
            <w:pPr>
              <w:spacing w:line="240" w:lineRule="auto"/>
              <w:jc w:val="center"/>
              <w:rPr>
                <w:szCs w:val="24"/>
              </w:rPr>
            </w:pPr>
            <w:r w:rsidRPr="007073FF">
              <w:rPr>
                <w:szCs w:val="24"/>
              </w:rPr>
              <w:t>16.52</w:t>
            </w:r>
          </w:p>
        </w:tc>
        <w:tc>
          <w:tcPr>
            <w:tcW w:w="1204" w:type="pct"/>
            <w:tcBorders>
              <w:top w:val="single" w:sz="4" w:space="0" w:color="auto"/>
            </w:tcBorders>
          </w:tcPr>
          <w:p w:rsidR="000256E6" w:rsidRPr="009E6208" w:rsidRDefault="000256E6" w:rsidP="00215217">
            <w:pPr>
              <w:widowControl/>
              <w:spacing w:line="240" w:lineRule="auto"/>
              <w:jc w:val="center"/>
              <w:rPr>
                <w:rFonts w:eastAsia="DengXian" w:cs="Times New Roman"/>
                <w:color w:val="000000"/>
                <w:szCs w:val="24"/>
              </w:rPr>
            </w:pPr>
            <w:r>
              <w:rPr>
                <w:rFonts w:eastAsia="DengXian" w:cs="Times New Roman"/>
                <w:color w:val="000000"/>
                <w:szCs w:val="24"/>
              </w:rPr>
              <w:t>0.0079</w:t>
            </w:r>
          </w:p>
        </w:tc>
      </w:tr>
      <w:tr w:rsidR="000256E6" w:rsidRPr="007073FF" w:rsidTr="007E1265">
        <w:tc>
          <w:tcPr>
            <w:tcW w:w="1119" w:type="pct"/>
          </w:tcPr>
          <w:p w:rsidR="000256E6" w:rsidRPr="007073FF" w:rsidRDefault="000256E6" w:rsidP="00215217">
            <w:pPr>
              <w:spacing w:line="240" w:lineRule="auto"/>
              <w:jc w:val="center"/>
              <w:rPr>
                <w:rFonts w:cs="Times New Roman"/>
                <w:szCs w:val="24"/>
              </w:rPr>
            </w:pPr>
            <w:r w:rsidRPr="007073FF">
              <w:rPr>
                <w:rFonts w:cs="Times New Roman"/>
                <w:szCs w:val="24"/>
              </w:rPr>
              <w:t>CA-nAg</w:t>
            </w:r>
          </w:p>
        </w:tc>
        <w:tc>
          <w:tcPr>
            <w:tcW w:w="736" w:type="pct"/>
          </w:tcPr>
          <w:p w:rsidR="000256E6" w:rsidRPr="007073FF" w:rsidRDefault="000256E6" w:rsidP="00215217">
            <w:pPr>
              <w:pStyle w:val="NormalWeb"/>
              <w:spacing w:before="0" w:beforeAutospacing="0" w:after="0" w:afterAutospacing="0"/>
              <w:jc w:val="center"/>
              <w:textAlignment w:val="center"/>
              <w:rPr>
                <w:rFonts w:ascii="Arial" w:hAnsi="Arial" w:cs="Arial"/>
              </w:rPr>
            </w:pPr>
            <w:r w:rsidRPr="007073FF">
              <w:rPr>
                <w:rFonts w:ascii="Times New Roman" w:hAnsi="Times New Roman" w:cs="Times New Roman"/>
                <w:color w:val="000000"/>
                <w:kern w:val="24"/>
              </w:rPr>
              <w:t>0.973</w:t>
            </w:r>
          </w:p>
        </w:tc>
        <w:tc>
          <w:tcPr>
            <w:tcW w:w="1204" w:type="pct"/>
          </w:tcPr>
          <w:p w:rsidR="000256E6" w:rsidRPr="007073FF" w:rsidRDefault="000256E6" w:rsidP="00215217">
            <w:pPr>
              <w:pStyle w:val="NormalWeb"/>
              <w:spacing w:before="0" w:beforeAutospacing="0" w:after="0" w:afterAutospacing="0"/>
              <w:jc w:val="center"/>
              <w:textAlignment w:val="center"/>
              <w:rPr>
                <w:rFonts w:ascii="Arial" w:hAnsi="Arial" w:cs="Arial"/>
              </w:rPr>
            </w:pPr>
            <w:r w:rsidRPr="007073FF">
              <w:rPr>
                <w:rFonts w:ascii="Times New Roman" w:hAnsi="Times New Roman" w:cs="Times New Roman"/>
                <w:color w:val="000000"/>
                <w:kern w:val="24"/>
              </w:rPr>
              <w:t>0.0304</w:t>
            </w:r>
          </w:p>
        </w:tc>
        <w:tc>
          <w:tcPr>
            <w:tcW w:w="736" w:type="pct"/>
          </w:tcPr>
          <w:p w:rsidR="000256E6" w:rsidRPr="007073FF" w:rsidRDefault="000256E6" w:rsidP="00215217">
            <w:pPr>
              <w:spacing w:line="240" w:lineRule="auto"/>
              <w:jc w:val="center"/>
              <w:rPr>
                <w:szCs w:val="24"/>
              </w:rPr>
            </w:pPr>
            <w:r w:rsidRPr="007073FF">
              <w:rPr>
                <w:szCs w:val="24"/>
              </w:rPr>
              <w:t>18.04</w:t>
            </w:r>
          </w:p>
        </w:tc>
        <w:tc>
          <w:tcPr>
            <w:tcW w:w="1204" w:type="pct"/>
          </w:tcPr>
          <w:p w:rsidR="000256E6" w:rsidRPr="009E6208" w:rsidRDefault="000256E6" w:rsidP="00215217">
            <w:pPr>
              <w:spacing w:line="240" w:lineRule="auto"/>
              <w:jc w:val="center"/>
              <w:rPr>
                <w:rFonts w:eastAsia="DengXian" w:cs="Times New Roman"/>
                <w:color w:val="000000"/>
                <w:szCs w:val="24"/>
              </w:rPr>
            </w:pPr>
            <w:r w:rsidRPr="009E6208">
              <w:rPr>
                <w:rFonts w:eastAsia="DengXian" w:cs="Times New Roman"/>
                <w:color w:val="000000"/>
                <w:szCs w:val="24"/>
              </w:rPr>
              <w:t>0.001</w:t>
            </w:r>
            <w:r>
              <w:rPr>
                <w:rFonts w:eastAsia="DengXian" w:cs="Times New Roman"/>
                <w:color w:val="000000"/>
                <w:szCs w:val="24"/>
              </w:rPr>
              <w:t>6</w:t>
            </w:r>
          </w:p>
        </w:tc>
      </w:tr>
      <w:tr w:rsidR="000256E6" w:rsidRPr="007073FF" w:rsidTr="007E1265">
        <w:tc>
          <w:tcPr>
            <w:tcW w:w="1119" w:type="pct"/>
          </w:tcPr>
          <w:p w:rsidR="000256E6" w:rsidRPr="007073FF" w:rsidRDefault="000256E6" w:rsidP="00215217">
            <w:pPr>
              <w:spacing w:line="240" w:lineRule="auto"/>
              <w:jc w:val="center"/>
              <w:rPr>
                <w:rFonts w:cs="Times New Roman"/>
                <w:szCs w:val="24"/>
              </w:rPr>
            </w:pPr>
            <w:r w:rsidRPr="007073FF">
              <w:rPr>
                <w:rFonts w:cs="Times New Roman"/>
                <w:szCs w:val="24"/>
              </w:rPr>
              <w:t>FA-nAg</w:t>
            </w:r>
          </w:p>
        </w:tc>
        <w:tc>
          <w:tcPr>
            <w:tcW w:w="736" w:type="pct"/>
          </w:tcPr>
          <w:p w:rsidR="000256E6" w:rsidRPr="007073FF" w:rsidRDefault="000256E6" w:rsidP="00215217">
            <w:pPr>
              <w:pStyle w:val="NormalWeb"/>
              <w:spacing w:before="0" w:beforeAutospacing="0" w:after="0" w:afterAutospacing="0"/>
              <w:jc w:val="center"/>
              <w:textAlignment w:val="center"/>
              <w:rPr>
                <w:rFonts w:ascii="Arial" w:hAnsi="Arial" w:cs="Arial"/>
              </w:rPr>
            </w:pPr>
            <w:r w:rsidRPr="007073FF">
              <w:rPr>
                <w:rFonts w:ascii="Times New Roman" w:hAnsi="Times New Roman" w:cs="Times New Roman"/>
                <w:color w:val="000000"/>
                <w:kern w:val="24"/>
              </w:rPr>
              <w:t>0.993</w:t>
            </w:r>
          </w:p>
        </w:tc>
        <w:tc>
          <w:tcPr>
            <w:tcW w:w="1204" w:type="pct"/>
          </w:tcPr>
          <w:p w:rsidR="000256E6" w:rsidRPr="007073FF" w:rsidRDefault="000256E6" w:rsidP="00215217">
            <w:pPr>
              <w:pStyle w:val="NormalWeb"/>
              <w:spacing w:before="0" w:beforeAutospacing="0" w:after="0" w:afterAutospacing="0"/>
              <w:jc w:val="center"/>
              <w:textAlignment w:val="center"/>
              <w:rPr>
                <w:rFonts w:ascii="Arial" w:hAnsi="Arial" w:cs="Arial"/>
              </w:rPr>
            </w:pPr>
            <w:r w:rsidRPr="007073FF">
              <w:rPr>
                <w:rFonts w:ascii="Times New Roman" w:hAnsi="Times New Roman" w:cs="Times New Roman"/>
                <w:color w:val="000000"/>
                <w:kern w:val="24"/>
              </w:rPr>
              <w:t>0.0326</w:t>
            </w:r>
          </w:p>
        </w:tc>
        <w:tc>
          <w:tcPr>
            <w:tcW w:w="736" w:type="pct"/>
          </w:tcPr>
          <w:p w:rsidR="000256E6" w:rsidRPr="007073FF" w:rsidRDefault="000256E6" w:rsidP="00215217">
            <w:pPr>
              <w:spacing w:line="240" w:lineRule="auto"/>
              <w:jc w:val="center"/>
              <w:rPr>
                <w:szCs w:val="24"/>
              </w:rPr>
            </w:pPr>
            <w:r w:rsidRPr="007073FF">
              <w:rPr>
                <w:szCs w:val="24"/>
              </w:rPr>
              <w:t>18.48</w:t>
            </w:r>
          </w:p>
        </w:tc>
        <w:tc>
          <w:tcPr>
            <w:tcW w:w="1204" w:type="pct"/>
          </w:tcPr>
          <w:p w:rsidR="000256E6" w:rsidRPr="009E6208" w:rsidRDefault="000256E6" w:rsidP="00215217">
            <w:pPr>
              <w:spacing w:line="240" w:lineRule="auto"/>
              <w:jc w:val="center"/>
              <w:rPr>
                <w:rFonts w:eastAsia="DengXian" w:cs="Times New Roman"/>
                <w:color w:val="000000"/>
                <w:szCs w:val="24"/>
              </w:rPr>
            </w:pPr>
            <w:r w:rsidRPr="009E6208">
              <w:rPr>
                <w:rFonts w:eastAsia="DengXian" w:cs="Times New Roman"/>
                <w:color w:val="000000"/>
                <w:szCs w:val="24"/>
              </w:rPr>
              <w:t>0.001</w:t>
            </w:r>
            <w:r>
              <w:rPr>
                <w:rFonts w:eastAsia="DengXian" w:cs="Times New Roman"/>
                <w:color w:val="000000"/>
                <w:szCs w:val="24"/>
              </w:rPr>
              <w:t>5</w:t>
            </w:r>
          </w:p>
        </w:tc>
      </w:tr>
      <w:tr w:rsidR="000256E6" w:rsidRPr="007073FF" w:rsidTr="007E1265">
        <w:tc>
          <w:tcPr>
            <w:tcW w:w="1119" w:type="pct"/>
            <w:tcBorders>
              <w:bottom w:val="single" w:sz="12" w:space="0" w:color="auto"/>
            </w:tcBorders>
          </w:tcPr>
          <w:p w:rsidR="000256E6" w:rsidRPr="007073FF" w:rsidRDefault="000256E6" w:rsidP="00215217">
            <w:pPr>
              <w:spacing w:line="240" w:lineRule="auto"/>
              <w:jc w:val="center"/>
              <w:rPr>
                <w:rFonts w:cs="Times New Roman"/>
                <w:szCs w:val="24"/>
              </w:rPr>
            </w:pPr>
            <w:r w:rsidRPr="007073FF">
              <w:rPr>
                <w:rFonts w:cs="Times New Roman"/>
                <w:szCs w:val="24"/>
              </w:rPr>
              <w:t>TA-nAg</w:t>
            </w:r>
          </w:p>
        </w:tc>
        <w:tc>
          <w:tcPr>
            <w:tcW w:w="736" w:type="pct"/>
            <w:tcBorders>
              <w:bottom w:val="single" w:sz="12" w:space="0" w:color="auto"/>
            </w:tcBorders>
          </w:tcPr>
          <w:p w:rsidR="000256E6" w:rsidRPr="007073FF" w:rsidRDefault="000256E6" w:rsidP="00215217">
            <w:pPr>
              <w:pStyle w:val="NormalWeb"/>
              <w:spacing w:before="0" w:beforeAutospacing="0" w:after="0" w:afterAutospacing="0"/>
              <w:jc w:val="center"/>
              <w:textAlignment w:val="center"/>
              <w:rPr>
                <w:rFonts w:ascii="Arial" w:hAnsi="Arial" w:cs="Arial"/>
              </w:rPr>
            </w:pPr>
            <w:r w:rsidRPr="007073FF">
              <w:rPr>
                <w:rFonts w:ascii="Times New Roman" w:hAnsi="Times New Roman" w:cs="Times New Roman"/>
                <w:color w:val="000000"/>
                <w:kern w:val="24"/>
              </w:rPr>
              <w:t>0.998</w:t>
            </w:r>
          </w:p>
        </w:tc>
        <w:tc>
          <w:tcPr>
            <w:tcW w:w="1204" w:type="pct"/>
            <w:tcBorders>
              <w:bottom w:val="single" w:sz="12" w:space="0" w:color="auto"/>
            </w:tcBorders>
          </w:tcPr>
          <w:p w:rsidR="000256E6" w:rsidRPr="007073FF" w:rsidRDefault="000256E6" w:rsidP="00215217">
            <w:pPr>
              <w:pStyle w:val="NormalWeb"/>
              <w:spacing w:before="0" w:beforeAutospacing="0" w:after="0" w:afterAutospacing="0"/>
              <w:jc w:val="center"/>
              <w:textAlignment w:val="center"/>
              <w:rPr>
                <w:rFonts w:ascii="Arial" w:hAnsi="Arial" w:cs="Arial"/>
              </w:rPr>
            </w:pPr>
            <w:r w:rsidRPr="007073FF">
              <w:rPr>
                <w:rFonts w:ascii="Times New Roman" w:hAnsi="Times New Roman" w:cs="Times New Roman"/>
                <w:color w:val="000000"/>
                <w:kern w:val="24"/>
              </w:rPr>
              <w:t>0.0284</w:t>
            </w:r>
          </w:p>
        </w:tc>
        <w:tc>
          <w:tcPr>
            <w:tcW w:w="736" w:type="pct"/>
            <w:tcBorders>
              <w:bottom w:val="single" w:sz="12" w:space="0" w:color="auto"/>
            </w:tcBorders>
          </w:tcPr>
          <w:p w:rsidR="000256E6" w:rsidRPr="007073FF" w:rsidRDefault="000256E6" w:rsidP="00215217">
            <w:pPr>
              <w:spacing w:line="240" w:lineRule="auto"/>
              <w:jc w:val="center"/>
              <w:rPr>
                <w:szCs w:val="24"/>
              </w:rPr>
            </w:pPr>
            <w:r w:rsidRPr="007073FF">
              <w:rPr>
                <w:szCs w:val="24"/>
              </w:rPr>
              <w:t>18.32</w:t>
            </w:r>
          </w:p>
        </w:tc>
        <w:tc>
          <w:tcPr>
            <w:tcW w:w="1204" w:type="pct"/>
            <w:tcBorders>
              <w:bottom w:val="single" w:sz="12" w:space="0" w:color="auto"/>
            </w:tcBorders>
          </w:tcPr>
          <w:p w:rsidR="000256E6" w:rsidRPr="009E6208" w:rsidRDefault="000256E6" w:rsidP="00215217">
            <w:pPr>
              <w:spacing w:line="240" w:lineRule="auto"/>
              <w:jc w:val="center"/>
              <w:rPr>
                <w:rFonts w:eastAsia="DengXian" w:cs="Times New Roman"/>
                <w:color w:val="000000"/>
                <w:szCs w:val="24"/>
              </w:rPr>
            </w:pPr>
            <w:r w:rsidRPr="009E6208">
              <w:rPr>
                <w:rFonts w:eastAsia="DengXian" w:cs="Times New Roman"/>
                <w:color w:val="000000"/>
                <w:szCs w:val="24"/>
              </w:rPr>
              <w:t>0.0009</w:t>
            </w:r>
          </w:p>
        </w:tc>
      </w:tr>
    </w:tbl>
    <w:p w:rsidR="000256E6" w:rsidRDefault="002110C9" w:rsidP="0031417F">
      <w:pPr>
        <w:spacing w:line="240" w:lineRule="auto"/>
      </w:pPr>
      <w:r>
        <w:rPr>
          <w:rFonts w:cs="Times New Roman"/>
          <w:szCs w:val="24"/>
          <w:vertAlign w:val="superscript"/>
        </w:rPr>
        <w:t>*</w:t>
      </w:r>
      <w:r w:rsidRPr="002110C9">
        <w:rPr>
          <w:rFonts w:cs="Times New Roman"/>
          <w:szCs w:val="24"/>
        </w:rPr>
        <w:t>:</w:t>
      </w:r>
      <w:r w:rsidR="000256E6">
        <w:t xml:space="preserve"> the sedimentation of 20 </w:t>
      </w:r>
      <w:r w:rsidR="000256E6" w:rsidRPr="00B11B04">
        <w:rPr>
          <w:rFonts w:cs="Times New Roman"/>
        </w:rPr>
        <w:t>μg ml</w:t>
      </w:r>
      <w:r w:rsidR="000256E6" w:rsidRPr="00B11B04">
        <w:rPr>
          <w:rFonts w:hint="eastAsia"/>
          <w:vertAlign w:val="superscript"/>
        </w:rPr>
        <w:t>-1</w:t>
      </w:r>
      <w:r w:rsidR="000256E6">
        <w:t xml:space="preserve"> AgNPs in a 1.25</w:t>
      </w:r>
      <w:r w:rsidR="000256E6" w:rsidRPr="00B11B04">
        <w:rPr>
          <w:rFonts w:cs="Times New Roman"/>
        </w:rPr>
        <w:t>×</w:t>
      </w:r>
      <w:r w:rsidR="000256E6">
        <w:rPr>
          <w:rFonts w:hint="eastAsia"/>
        </w:rPr>
        <w:t>1</w:t>
      </w:r>
      <w:r w:rsidR="000256E6">
        <w:t>.25</w:t>
      </w:r>
      <w:r w:rsidR="000256E6" w:rsidRPr="00B11B04">
        <w:rPr>
          <w:rFonts w:cs="Times New Roman"/>
        </w:rPr>
        <w:t>×</w:t>
      </w:r>
      <w:r w:rsidR="000256E6">
        <w:rPr>
          <w:rFonts w:hint="eastAsia"/>
        </w:rPr>
        <w:t>4.5</w:t>
      </w:r>
      <w:r w:rsidR="000256E6">
        <w:t xml:space="preserve"> </w:t>
      </w:r>
      <w:r w:rsidR="000256E6">
        <w:rPr>
          <w:rFonts w:hint="eastAsia"/>
        </w:rPr>
        <w:t>cm</w:t>
      </w:r>
      <w:r w:rsidR="000256E6">
        <w:rPr>
          <w:vertAlign w:val="superscript"/>
        </w:rPr>
        <w:t>3</w:t>
      </w:r>
      <w:r w:rsidR="000256E6">
        <w:t xml:space="preserve"> cuvette</w:t>
      </w:r>
      <w:r w:rsidR="000A4C4E">
        <w:t xml:space="preserve">; 2 cm for </w:t>
      </w:r>
      <w:r w:rsidR="000256E6">
        <w:t xml:space="preserve">h </w:t>
      </w:r>
      <w:r w:rsidR="000A4C4E">
        <w:t>(half of the liquid height)</w:t>
      </w:r>
      <w:r w:rsidR="000256E6">
        <w:t>.</w:t>
      </w:r>
      <w:r w:rsidRPr="000A4C4E">
        <w:rPr>
          <w:rFonts w:cs="Times New Roman"/>
          <w:szCs w:val="24"/>
        </w:rPr>
        <w:t xml:space="preserve"> </w:t>
      </w:r>
      <w:r>
        <w:rPr>
          <w:rFonts w:cs="Times New Roman"/>
          <w:szCs w:val="24"/>
          <w:vertAlign w:val="superscript"/>
        </w:rPr>
        <w:t>**</w:t>
      </w:r>
      <w:r w:rsidRPr="002110C9">
        <w:rPr>
          <w:rFonts w:cs="Times New Roman"/>
          <w:szCs w:val="24"/>
        </w:rPr>
        <w:t>:</w:t>
      </w:r>
      <w:r w:rsidR="000256E6">
        <w:t xml:space="preserve"> the linear part of</w:t>
      </w:r>
      <w:r w:rsidR="000A4C4E">
        <w:t xml:space="preserve"> M from the total mass of AgNPs;</w:t>
      </w:r>
      <w:r w:rsidR="000256E6">
        <w:t xml:space="preserve"> </w:t>
      </w:r>
      <w:r w:rsidR="000A4C4E">
        <w:t xml:space="preserve">0.11 cm for </w:t>
      </w:r>
      <w:r w:rsidR="000256E6">
        <w:t>h.</w:t>
      </w:r>
    </w:p>
    <w:p w:rsidR="000256E6" w:rsidRDefault="000256E6" w:rsidP="000C6426">
      <w:pPr>
        <w:spacing w:line="312" w:lineRule="auto"/>
      </w:pPr>
    </w:p>
    <w:p w:rsidR="00F516A4" w:rsidRDefault="00F516A4" w:rsidP="000C6426">
      <w:pPr>
        <w:spacing w:line="312" w:lineRule="auto"/>
      </w:pPr>
      <w:bookmarkStart w:id="12" w:name="OLE_LINK3"/>
      <w:r>
        <w:rPr>
          <w:b/>
        </w:rPr>
        <w:t>CCK-8 cell viability assay</w:t>
      </w:r>
      <w:bookmarkEnd w:id="12"/>
      <w:r>
        <w:rPr>
          <w:b/>
        </w:rPr>
        <w:t>.</w:t>
      </w:r>
      <w:r>
        <w:t xml:space="preserve"> </w:t>
      </w:r>
    </w:p>
    <w:p w:rsidR="00F516A4" w:rsidRDefault="00F516A4" w:rsidP="000C6426">
      <w:pPr>
        <w:spacing w:line="312" w:lineRule="auto"/>
      </w:pPr>
      <w:r>
        <w:t xml:space="preserve">A549 cells were seeded in 96 well-plate for 24 h prior to exposure with AgNPs. Seeding density was </w:t>
      </w:r>
      <w:bookmarkStart w:id="13" w:name="OLE_LINK10"/>
      <w:r>
        <w:t>10</w:t>
      </w:r>
      <w:r>
        <w:rPr>
          <w:vertAlign w:val="superscript"/>
        </w:rPr>
        <w:t>4</w:t>
      </w:r>
      <w:r>
        <w:t xml:space="preserve"> cells per well </w:t>
      </w:r>
      <w:bookmarkEnd w:id="13"/>
      <w:r>
        <w:t xml:space="preserve">in 200 </w:t>
      </w:r>
      <w:r>
        <w:rPr>
          <w:rFonts w:cs="Times New Roman"/>
        </w:rPr>
        <w:t>μl</w:t>
      </w:r>
      <w:r>
        <w:t xml:space="preserve"> </w:t>
      </w:r>
      <w:r>
        <w:rPr>
          <w:rFonts w:hint="eastAsia"/>
        </w:rPr>
        <w:t>CM</w:t>
      </w:r>
      <w:r>
        <w:t xml:space="preserve"> with 10% FBS. At the following day, </w:t>
      </w:r>
      <w:r>
        <w:rPr>
          <w:rFonts w:hint="eastAsia"/>
        </w:rPr>
        <w:t>cell</w:t>
      </w:r>
      <w:r>
        <w:t xml:space="preserve">s were exposed to 100 </w:t>
      </w:r>
      <w:r>
        <w:rPr>
          <w:rFonts w:cs="Times New Roman"/>
        </w:rPr>
        <w:t>μl</w:t>
      </w:r>
      <w:r>
        <w:t xml:space="preserve"> AgNPs suspension for 24 h. The plates were added in 10 </w:t>
      </w:r>
      <w:r>
        <w:rPr>
          <w:rFonts w:cs="Times New Roman"/>
        </w:rPr>
        <w:t>μ</w:t>
      </w:r>
      <w:r>
        <w:rPr>
          <w:rFonts w:hint="eastAsia"/>
        </w:rPr>
        <w:t>l</w:t>
      </w:r>
      <w:r>
        <w:t xml:space="preserve"> CCK-8 reagent (Shanghai, Beyotime) </w:t>
      </w:r>
      <w:r>
        <w:rPr>
          <w:rFonts w:hint="eastAsia"/>
        </w:rPr>
        <w:t>per</w:t>
      </w:r>
      <w:r>
        <w:t xml:space="preserve"> </w:t>
      </w:r>
      <w:r>
        <w:rPr>
          <w:rFonts w:hint="eastAsia"/>
        </w:rPr>
        <w:t>well</w:t>
      </w:r>
      <w:r>
        <w:t xml:space="preserve"> and then incubated for 20 min. The absorbance was measured by UV-Vis spectrophotometry at 450 nm. To subtract the interference from the absorbance of AgNPs at 450 nm, the absorbance before the addition of CCK-8 reagent was also measured. The concentration of AgNPs </w:t>
      </w:r>
      <w:r>
        <w:rPr>
          <w:rFonts w:hint="eastAsia"/>
        </w:rPr>
        <w:t>were</w:t>
      </w:r>
      <w:r>
        <w:rPr>
          <w:rFonts w:cs="Times New Roman"/>
        </w:rPr>
        <w:t xml:space="preserve"> 0 - 100 μg</w:t>
      </w:r>
      <w:r>
        <w:t xml:space="preserve"> </w:t>
      </w:r>
      <w:r>
        <w:rPr>
          <w:rFonts w:hint="eastAsia"/>
        </w:rPr>
        <w:t>ml</w:t>
      </w:r>
      <w:r>
        <w:rPr>
          <w:rFonts w:hint="eastAsia"/>
          <w:vertAlign w:val="superscript"/>
        </w:rPr>
        <w:t>-1</w:t>
      </w:r>
      <w:r>
        <w:t>. Six groups were carried out to use in the parallel examination.</w:t>
      </w:r>
    </w:p>
    <w:p w:rsidR="00F516A4" w:rsidRDefault="00F516A4" w:rsidP="000C6426">
      <w:pPr>
        <w:spacing w:line="312" w:lineRule="auto"/>
      </w:pPr>
    </w:p>
    <w:p w:rsidR="0024421F" w:rsidRDefault="0024421F">
      <w:pPr>
        <w:widowControl/>
        <w:spacing w:line="240" w:lineRule="auto"/>
        <w:jc w:val="left"/>
      </w:pPr>
      <w:r>
        <w:br w:type="page"/>
      </w:r>
    </w:p>
    <w:p w:rsidR="00492DD3" w:rsidRDefault="00492DD3" w:rsidP="00492DD3">
      <w:pPr>
        <w:spacing w:line="480" w:lineRule="auto"/>
        <w:jc w:val="center"/>
      </w:pPr>
      <w:r>
        <w:rPr>
          <w:noProof/>
          <w:lang w:eastAsia="en-US"/>
        </w:rPr>
        <w:drawing>
          <wp:inline distT="0" distB="0" distL="0" distR="0" wp14:anchorId="52545922" wp14:editId="08EC51C2">
            <wp:extent cx="5105400" cy="3161291"/>
            <wp:effectExtent l="0" t="0" r="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wo-step-kinetic-model_03.png"/>
                    <pic:cNvPicPr/>
                  </pic:nvPicPr>
                  <pic:blipFill>
                    <a:blip r:embed="rId8">
                      <a:extLst>
                        <a:ext uri="{28A0092B-C50C-407E-A947-70E740481C1C}">
                          <a14:useLocalDpi xmlns:a14="http://schemas.microsoft.com/office/drawing/2010/main" val="0"/>
                        </a:ext>
                      </a:extLst>
                    </a:blip>
                    <a:stretch>
                      <a:fillRect/>
                    </a:stretch>
                  </pic:blipFill>
                  <pic:spPr>
                    <a:xfrm>
                      <a:off x="0" y="0"/>
                      <a:ext cx="5109157" cy="3163617"/>
                    </a:xfrm>
                    <a:prstGeom prst="rect">
                      <a:avLst/>
                    </a:prstGeom>
                  </pic:spPr>
                </pic:pic>
              </a:graphicData>
            </a:graphic>
          </wp:inline>
        </w:drawing>
      </w:r>
    </w:p>
    <w:p w:rsidR="00492DD3" w:rsidRDefault="00492DD3" w:rsidP="00492DD3">
      <w:pPr>
        <w:spacing w:line="480" w:lineRule="auto"/>
        <w:rPr>
          <w:color w:val="000000" w:themeColor="text1"/>
        </w:rPr>
      </w:pPr>
      <w:r w:rsidRPr="00A57B2F">
        <w:rPr>
          <w:rFonts w:hint="eastAsia"/>
          <w:b/>
        </w:rPr>
        <w:t>F</w:t>
      </w:r>
      <w:r w:rsidRPr="00A57B2F">
        <w:rPr>
          <w:b/>
        </w:rPr>
        <w:t>ig</w:t>
      </w:r>
      <w:r>
        <w:rPr>
          <w:b/>
        </w:rPr>
        <w:t>.</w:t>
      </w:r>
      <w:r w:rsidRPr="00A57B2F">
        <w:rPr>
          <w:b/>
        </w:rPr>
        <w:t xml:space="preserve"> S1.</w:t>
      </w:r>
      <w:r>
        <w:t xml:space="preserve"> The </w:t>
      </w:r>
      <w:r>
        <w:rPr>
          <w:color w:val="000000" w:themeColor="text1"/>
        </w:rPr>
        <w:t xml:space="preserve">schematic image of two process </w:t>
      </w:r>
      <w:r w:rsidR="007C37D2">
        <w:rPr>
          <w:color w:val="000000" w:themeColor="text1"/>
        </w:rPr>
        <w:t xml:space="preserve">of </w:t>
      </w:r>
      <w:r>
        <w:rPr>
          <w:color w:val="000000" w:themeColor="text1"/>
        </w:rPr>
        <w:t>kinetic mechanism of</w:t>
      </w:r>
      <w:r w:rsidRPr="00A57B2F">
        <w:rPr>
          <w:color w:val="000000" w:themeColor="text1"/>
        </w:rPr>
        <w:t xml:space="preserve"> </w:t>
      </w:r>
      <w:r>
        <w:rPr>
          <w:color w:val="000000" w:themeColor="text1"/>
        </w:rPr>
        <w:t>AgNPs internalization into A549 cells.</w:t>
      </w:r>
    </w:p>
    <w:p w:rsidR="00492DD3" w:rsidRPr="00492DD3" w:rsidRDefault="00492DD3" w:rsidP="00492DD3">
      <w:pPr>
        <w:spacing w:line="480" w:lineRule="auto"/>
      </w:pPr>
    </w:p>
    <w:p w:rsidR="00492DD3" w:rsidRDefault="00492DD3" w:rsidP="00492DD3">
      <w:pPr>
        <w:spacing w:line="480" w:lineRule="auto"/>
        <w:jc w:val="center"/>
      </w:pPr>
      <w:r>
        <w:rPr>
          <w:noProof/>
          <w:lang w:eastAsia="en-US"/>
        </w:rPr>
        <w:drawing>
          <wp:inline distT="0" distB="0" distL="0" distR="0" wp14:anchorId="2EB4C8DB" wp14:editId="688A539F">
            <wp:extent cx="4548146" cy="1887531"/>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综合.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51199" cy="1888798"/>
                    </a:xfrm>
                    <a:prstGeom prst="rect">
                      <a:avLst/>
                    </a:prstGeom>
                  </pic:spPr>
                </pic:pic>
              </a:graphicData>
            </a:graphic>
          </wp:inline>
        </w:drawing>
      </w:r>
    </w:p>
    <w:p w:rsidR="00492DD3" w:rsidRDefault="00492DD3" w:rsidP="00492DD3">
      <w:pPr>
        <w:spacing w:line="480" w:lineRule="auto"/>
      </w:pPr>
      <w:r w:rsidRPr="007E1265">
        <w:rPr>
          <w:rFonts w:hint="eastAsia"/>
          <w:b/>
        </w:rPr>
        <w:t>Fig</w:t>
      </w:r>
      <w:r>
        <w:rPr>
          <w:b/>
        </w:rPr>
        <w:t>.</w:t>
      </w:r>
      <w:r w:rsidRPr="007E1265">
        <w:rPr>
          <w:rFonts w:hint="eastAsia"/>
          <w:b/>
        </w:rPr>
        <w:t xml:space="preserve"> </w:t>
      </w:r>
      <w:r w:rsidRPr="007E1265">
        <w:rPr>
          <w:b/>
        </w:rPr>
        <w:t>S</w:t>
      </w:r>
      <w:r>
        <w:rPr>
          <w:b/>
        </w:rPr>
        <w:t>2</w:t>
      </w:r>
      <w:r w:rsidRPr="007E1265">
        <w:rPr>
          <w:b/>
        </w:rPr>
        <w:t>.</w:t>
      </w:r>
      <w:r>
        <w:t xml:space="preserve"> (a) </w:t>
      </w:r>
      <w:r>
        <w:rPr>
          <w:rFonts w:hint="eastAsia"/>
        </w:rPr>
        <w:t>Stability</w:t>
      </w:r>
      <w:r>
        <w:t xml:space="preserve"> </w:t>
      </w:r>
      <w:r>
        <w:rPr>
          <w:rFonts w:hint="eastAsia"/>
        </w:rPr>
        <w:t>of</w:t>
      </w:r>
      <w:r>
        <w:t xml:space="preserve"> the </w:t>
      </w:r>
      <w:r>
        <w:rPr>
          <w:rFonts w:hint="eastAsia"/>
        </w:rPr>
        <w:t>AgNPs</w:t>
      </w:r>
      <w:r>
        <w:t xml:space="preserve"> suspension in culture medium supported with 1% FBS were less impaired by inhibitors incubated over 1 h at 37 </w:t>
      </w:r>
      <w:r w:rsidRPr="000428A2">
        <w:rPr>
          <w:rFonts w:cs="Times New Roman"/>
        </w:rPr>
        <w:t>°C</w:t>
      </w:r>
      <w:r>
        <w:rPr>
          <w:rFonts w:cs="Times New Roman"/>
        </w:rPr>
        <w:t xml:space="preserve"> according to the </w:t>
      </w:r>
      <w:r>
        <w:rPr>
          <w:rFonts w:cs="Times New Roman" w:hint="eastAsia"/>
        </w:rPr>
        <w:t>value</w:t>
      </w:r>
      <w:r>
        <w:rPr>
          <w:rFonts w:cs="Times New Roman"/>
        </w:rPr>
        <w:t xml:space="preserve"> of the mass of Ag in CM with inhibitors divide to the mass of Ag in CM without inhibitor</w:t>
      </w:r>
      <w:r>
        <w:t xml:space="preserve">. (b) A549 cell number counted by flow cytometry after incubated with inhibitor for 1 hour. Concentration of these inhibitors were 5 </w:t>
      </w:r>
      <w:r w:rsidRPr="002C0A52">
        <w:rPr>
          <w:rFonts w:cs="Times New Roman"/>
        </w:rPr>
        <w:t>μM</w:t>
      </w:r>
      <w:r>
        <w:t xml:space="preserve"> for cytochalasin D, 5 </w:t>
      </w:r>
      <w:r w:rsidRPr="002C0A52">
        <w:rPr>
          <w:rFonts w:cs="Times New Roman"/>
        </w:rPr>
        <w:t>μM</w:t>
      </w:r>
      <w:r>
        <w:t xml:space="preserve"> for EIPA, 30 </w:t>
      </w:r>
      <w:r w:rsidRPr="002C0A52">
        <w:rPr>
          <w:rFonts w:cs="Times New Roman"/>
        </w:rPr>
        <w:t>μM</w:t>
      </w:r>
      <w:r>
        <w:t xml:space="preserve"> for chlorpromazine and 0.5 </w:t>
      </w:r>
      <w:r w:rsidRPr="002C0A52">
        <w:rPr>
          <w:rFonts w:cs="Times New Roman"/>
        </w:rPr>
        <w:t>μ</w:t>
      </w:r>
      <w:r>
        <w:t>g ml</w:t>
      </w:r>
      <w:r w:rsidRPr="000B3FDC">
        <w:rPr>
          <w:vertAlign w:val="superscript"/>
        </w:rPr>
        <w:t>-1</w:t>
      </w:r>
      <w:r>
        <w:t xml:space="preserve"> for filipin. </w:t>
      </w:r>
    </w:p>
    <w:p w:rsidR="00492DD3" w:rsidRDefault="00492DD3" w:rsidP="00492DD3">
      <w:pPr>
        <w:spacing w:line="480" w:lineRule="auto"/>
      </w:pPr>
    </w:p>
    <w:p w:rsidR="00492DD3" w:rsidRDefault="00492DD3" w:rsidP="00492DD3">
      <w:pPr>
        <w:spacing w:line="480" w:lineRule="auto"/>
      </w:pPr>
    </w:p>
    <w:p w:rsidR="00492DD3" w:rsidRDefault="00492DD3" w:rsidP="00492DD3">
      <w:pPr>
        <w:spacing w:line="480" w:lineRule="auto"/>
        <w:jc w:val="center"/>
      </w:pPr>
      <w:r>
        <w:rPr>
          <w:noProof/>
          <w:lang w:eastAsia="en-US"/>
        </w:rPr>
        <w:drawing>
          <wp:inline distT="0" distB="0" distL="0" distR="0" wp14:anchorId="7AC92ABE" wp14:editId="1279B310">
            <wp:extent cx="4891262" cy="1914522"/>
            <wp:effectExtent l="0" t="0" r="508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刻蚀方法汇总.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91262" cy="1914522"/>
                    </a:xfrm>
                    <a:prstGeom prst="rect">
                      <a:avLst/>
                    </a:prstGeom>
                  </pic:spPr>
                </pic:pic>
              </a:graphicData>
            </a:graphic>
          </wp:inline>
        </w:drawing>
      </w:r>
    </w:p>
    <w:p w:rsidR="00492DD3" w:rsidRDefault="00492DD3" w:rsidP="00492DD3">
      <w:pPr>
        <w:spacing w:line="480" w:lineRule="auto"/>
      </w:pPr>
      <w:r w:rsidRPr="007E1265">
        <w:rPr>
          <w:rFonts w:hint="eastAsia"/>
          <w:b/>
        </w:rPr>
        <w:t>Fig</w:t>
      </w:r>
      <w:r>
        <w:rPr>
          <w:b/>
        </w:rPr>
        <w:t>.</w:t>
      </w:r>
      <w:r>
        <w:rPr>
          <w:rFonts w:hint="eastAsia"/>
          <w:b/>
        </w:rPr>
        <w:t xml:space="preserve"> S</w:t>
      </w:r>
      <w:r>
        <w:rPr>
          <w:b/>
        </w:rPr>
        <w:t>3</w:t>
      </w:r>
      <w:r w:rsidRPr="007E1265">
        <w:rPr>
          <w:b/>
        </w:rPr>
        <w:t>.</w:t>
      </w:r>
      <w:r>
        <w:rPr>
          <w:rFonts w:hint="eastAsia"/>
        </w:rPr>
        <w:t xml:space="preserve"> </w:t>
      </w:r>
      <w:r>
        <w:t xml:space="preserve">The low cytotoxicity to A549 cell and high efficient to remove AgNPs from cell surface of 10 mM etchants supported with 1% FBS. (a) A549 cell viability (cell number: 20000) in 96 well-plate after contacted with 10 mM etchants at 4 </w:t>
      </w:r>
      <w:r w:rsidRPr="000A4272">
        <w:rPr>
          <w:rFonts w:cs="Times New Roman"/>
        </w:rPr>
        <w:t>°C</w:t>
      </w:r>
      <w:r>
        <w:t xml:space="preserve"> with 1% FBS</w:t>
      </w:r>
      <w:r>
        <w:rPr>
          <w:rFonts w:cs="Times New Roman"/>
        </w:rPr>
        <w:t xml:space="preserve"> </w:t>
      </w:r>
      <w:r>
        <w:t xml:space="preserve">for 3, 5, 10, 20 and 30 min, or without FBS for 30 min (**, p &lt; 0.01). (b) Etching ratios of AgNPs for adherent cells </w:t>
      </w:r>
      <w:r>
        <w:rPr>
          <w:rFonts w:hint="eastAsia"/>
        </w:rPr>
        <w:t>aft</w:t>
      </w:r>
      <w:r>
        <w:t>er exposure over 4 h to nAg</w:t>
      </w:r>
      <w:r w:rsidRPr="00FB45E5">
        <w:rPr>
          <w:vertAlign w:val="subscript"/>
        </w:rPr>
        <w:t>control</w:t>
      </w:r>
      <w:r>
        <w:t xml:space="preserve"> washed with 10 mM etchants supported with 1% FBS for 3 times (once for 3 min) comparing to the ratios for cells after exposure over 1 h or 4 h to </w:t>
      </w:r>
      <w:r>
        <w:rPr>
          <w:rFonts w:hint="eastAsia"/>
        </w:rPr>
        <w:t>10</w:t>
      </w:r>
      <w:r>
        <w:t xml:space="preserve"> </w:t>
      </w:r>
      <w:r>
        <w:rPr>
          <w:rFonts w:hint="eastAsia"/>
        </w:rPr>
        <w:t>mg</w:t>
      </w:r>
      <w:r>
        <w:t xml:space="preserve"> </w:t>
      </w:r>
      <w:r>
        <w:rPr>
          <w:rFonts w:hint="eastAsia"/>
        </w:rPr>
        <w:t>l</w:t>
      </w:r>
      <w:r w:rsidRPr="001A6CCC">
        <w:rPr>
          <w:rFonts w:hint="eastAsia"/>
          <w:vertAlign w:val="superscript"/>
        </w:rPr>
        <w:t>-1</w:t>
      </w:r>
      <w:r>
        <w:t xml:space="preserve"> nAg</w:t>
      </w:r>
      <w:r w:rsidRPr="00FB45E5">
        <w:rPr>
          <w:vertAlign w:val="subscript"/>
        </w:rPr>
        <w:t>control</w:t>
      </w:r>
      <w:r>
        <w:t xml:space="preserve"> with the 1st time washing adherent and followed with 2 times washing suspended.</w:t>
      </w:r>
    </w:p>
    <w:p w:rsidR="00492DD3" w:rsidRPr="00492DD3" w:rsidRDefault="00492DD3" w:rsidP="00492DD3">
      <w:pPr>
        <w:spacing w:line="480" w:lineRule="auto"/>
      </w:pPr>
    </w:p>
    <w:p w:rsidR="00317940" w:rsidRDefault="001156D1" w:rsidP="001156D1">
      <w:pPr>
        <w:spacing w:line="480" w:lineRule="auto"/>
        <w:jc w:val="center"/>
        <w:rPr>
          <w:lang w:val="en-GB"/>
        </w:rPr>
      </w:pPr>
      <w:r>
        <w:rPr>
          <w:noProof/>
          <w:lang w:eastAsia="en-US"/>
        </w:rPr>
        <w:drawing>
          <wp:inline distT="0" distB="0" distL="0" distR="0">
            <wp:extent cx="2902226" cy="221158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V.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18679" cy="2224123"/>
                    </a:xfrm>
                    <a:prstGeom prst="rect">
                      <a:avLst/>
                    </a:prstGeom>
                  </pic:spPr>
                </pic:pic>
              </a:graphicData>
            </a:graphic>
          </wp:inline>
        </w:drawing>
      </w:r>
    </w:p>
    <w:p w:rsidR="001156D1" w:rsidRDefault="001156D1" w:rsidP="00FC3C6C">
      <w:pPr>
        <w:spacing w:line="480" w:lineRule="auto"/>
      </w:pPr>
      <w:r w:rsidRPr="007E1265">
        <w:rPr>
          <w:rFonts w:hint="eastAsia"/>
          <w:b/>
          <w:lang w:val="en-GB"/>
        </w:rPr>
        <w:t>F</w:t>
      </w:r>
      <w:r w:rsidRPr="007E1265">
        <w:rPr>
          <w:b/>
          <w:lang w:val="en-GB"/>
        </w:rPr>
        <w:t>ig</w:t>
      </w:r>
      <w:r w:rsidR="00492DD3">
        <w:rPr>
          <w:b/>
          <w:lang w:val="en-GB"/>
        </w:rPr>
        <w:t>. S4</w:t>
      </w:r>
      <w:r w:rsidR="007E1265" w:rsidRPr="007E1265">
        <w:rPr>
          <w:b/>
          <w:lang w:val="en-GB"/>
        </w:rPr>
        <w:t>.</w:t>
      </w:r>
      <w:r>
        <w:rPr>
          <w:lang w:val="en-GB"/>
        </w:rPr>
        <w:t xml:space="preserve"> </w:t>
      </w:r>
      <w:r w:rsidRPr="00C47FB2">
        <w:t xml:space="preserve">Cell viability to A549 cell after </w:t>
      </w:r>
      <w:r>
        <w:t>incubated</w:t>
      </w:r>
      <w:r w:rsidRPr="00C47FB2">
        <w:t xml:space="preserve"> with pristine nAg, CA-nAg, FA-nAg and TA-nAg for 24 h</w:t>
      </w:r>
      <w:r w:rsidRPr="001156D1">
        <w:t xml:space="preserve"> </w:t>
      </w:r>
      <w:r>
        <w:t xml:space="preserve">at </w:t>
      </w:r>
      <w:r w:rsidRPr="00C47FB2">
        <w:t>different concentration.</w:t>
      </w:r>
    </w:p>
    <w:sectPr w:rsidR="001156D1" w:rsidSect="00625A00">
      <w:pgSz w:w="11906" w:h="16838" w:code="9"/>
      <w:pgMar w:top="1361" w:right="1361" w:bottom="1361" w:left="1361" w:header="851" w:footer="992" w:gutter="0"/>
      <w:cols w:space="425"/>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09C" w:rsidRDefault="000D409C" w:rsidP="00317940">
      <w:pPr>
        <w:spacing w:line="240" w:lineRule="auto"/>
      </w:pPr>
      <w:r>
        <w:separator/>
      </w:r>
    </w:p>
  </w:endnote>
  <w:endnote w:type="continuationSeparator" w:id="0">
    <w:p w:rsidR="000D409C" w:rsidRDefault="000D409C" w:rsidP="003179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09C" w:rsidRDefault="000D409C" w:rsidP="00317940">
      <w:pPr>
        <w:spacing w:line="240" w:lineRule="auto"/>
      </w:pPr>
      <w:r>
        <w:separator/>
      </w:r>
    </w:p>
  </w:footnote>
  <w:footnote w:type="continuationSeparator" w:id="0">
    <w:p w:rsidR="000D409C" w:rsidRDefault="000D409C" w:rsidP="0031794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B2B"/>
    <w:rsid w:val="000061FC"/>
    <w:rsid w:val="000256E6"/>
    <w:rsid w:val="00053A36"/>
    <w:rsid w:val="00067BFE"/>
    <w:rsid w:val="000742BA"/>
    <w:rsid w:val="00080C8B"/>
    <w:rsid w:val="000832BF"/>
    <w:rsid w:val="000A4C4E"/>
    <w:rsid w:val="000C6426"/>
    <w:rsid w:val="000D409C"/>
    <w:rsid w:val="000F2D48"/>
    <w:rsid w:val="001156D1"/>
    <w:rsid w:val="00135AE3"/>
    <w:rsid w:val="0013616D"/>
    <w:rsid w:val="001729D0"/>
    <w:rsid w:val="001A517C"/>
    <w:rsid w:val="001A6CCC"/>
    <w:rsid w:val="001E29D7"/>
    <w:rsid w:val="00206862"/>
    <w:rsid w:val="002110C9"/>
    <w:rsid w:val="0021667E"/>
    <w:rsid w:val="0024421F"/>
    <w:rsid w:val="00245A1B"/>
    <w:rsid w:val="002676AB"/>
    <w:rsid w:val="00287A6F"/>
    <w:rsid w:val="002B3686"/>
    <w:rsid w:val="002E6B2B"/>
    <w:rsid w:val="0031417F"/>
    <w:rsid w:val="00317940"/>
    <w:rsid w:val="00320340"/>
    <w:rsid w:val="00377A71"/>
    <w:rsid w:val="00392C11"/>
    <w:rsid w:val="003948AD"/>
    <w:rsid w:val="003B05C2"/>
    <w:rsid w:val="003D7EA4"/>
    <w:rsid w:val="00436783"/>
    <w:rsid w:val="004408CB"/>
    <w:rsid w:val="00444D35"/>
    <w:rsid w:val="00474DFF"/>
    <w:rsid w:val="00492DD3"/>
    <w:rsid w:val="004B2DB8"/>
    <w:rsid w:val="004C72BD"/>
    <w:rsid w:val="004D43F1"/>
    <w:rsid w:val="004E1167"/>
    <w:rsid w:val="005010E5"/>
    <w:rsid w:val="0052059A"/>
    <w:rsid w:val="00523EC0"/>
    <w:rsid w:val="00593A12"/>
    <w:rsid w:val="005B3C8E"/>
    <w:rsid w:val="005B78C6"/>
    <w:rsid w:val="00625A00"/>
    <w:rsid w:val="00627ABF"/>
    <w:rsid w:val="006304D9"/>
    <w:rsid w:val="00642D5D"/>
    <w:rsid w:val="006470C7"/>
    <w:rsid w:val="006553AB"/>
    <w:rsid w:val="00670384"/>
    <w:rsid w:val="00676DDC"/>
    <w:rsid w:val="006A055B"/>
    <w:rsid w:val="006B1F84"/>
    <w:rsid w:val="00702A07"/>
    <w:rsid w:val="007073FF"/>
    <w:rsid w:val="0071441F"/>
    <w:rsid w:val="00716F7D"/>
    <w:rsid w:val="00732440"/>
    <w:rsid w:val="007413C7"/>
    <w:rsid w:val="007C27DE"/>
    <w:rsid w:val="007C37D2"/>
    <w:rsid w:val="007E1265"/>
    <w:rsid w:val="007E6116"/>
    <w:rsid w:val="008238FE"/>
    <w:rsid w:val="00856A00"/>
    <w:rsid w:val="008651F2"/>
    <w:rsid w:val="00884498"/>
    <w:rsid w:val="00905353"/>
    <w:rsid w:val="00921399"/>
    <w:rsid w:val="00936F40"/>
    <w:rsid w:val="00990D46"/>
    <w:rsid w:val="009E5B93"/>
    <w:rsid w:val="009E6208"/>
    <w:rsid w:val="00A57B2F"/>
    <w:rsid w:val="00A67EF2"/>
    <w:rsid w:val="00A75C55"/>
    <w:rsid w:val="00A807D3"/>
    <w:rsid w:val="00AA07B4"/>
    <w:rsid w:val="00AD4AF9"/>
    <w:rsid w:val="00AD5BE8"/>
    <w:rsid w:val="00AE6DCC"/>
    <w:rsid w:val="00B11B04"/>
    <w:rsid w:val="00B16015"/>
    <w:rsid w:val="00B6292E"/>
    <w:rsid w:val="00B6746F"/>
    <w:rsid w:val="00B96494"/>
    <w:rsid w:val="00BA4F8B"/>
    <w:rsid w:val="00BC725C"/>
    <w:rsid w:val="00BD012E"/>
    <w:rsid w:val="00BE6034"/>
    <w:rsid w:val="00C0038F"/>
    <w:rsid w:val="00C40015"/>
    <w:rsid w:val="00C416A1"/>
    <w:rsid w:val="00C43C15"/>
    <w:rsid w:val="00C74974"/>
    <w:rsid w:val="00D1020D"/>
    <w:rsid w:val="00D37031"/>
    <w:rsid w:val="00D45793"/>
    <w:rsid w:val="00D60E39"/>
    <w:rsid w:val="00D75B94"/>
    <w:rsid w:val="00DC1415"/>
    <w:rsid w:val="00DF7023"/>
    <w:rsid w:val="00E270AA"/>
    <w:rsid w:val="00E96AA8"/>
    <w:rsid w:val="00EC2EBA"/>
    <w:rsid w:val="00ED2709"/>
    <w:rsid w:val="00F04E9C"/>
    <w:rsid w:val="00F10E00"/>
    <w:rsid w:val="00F20416"/>
    <w:rsid w:val="00F26051"/>
    <w:rsid w:val="00F516A4"/>
    <w:rsid w:val="00FA58F2"/>
    <w:rsid w:val="00FB45E5"/>
    <w:rsid w:val="00FC3C6C"/>
    <w:rsid w:val="00FF5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AAFC6BC-EF96-4AFE-BD7C-BA43226F5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imSun" w:eastAsia="SimSun" w:hAnsi="SimSun"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940"/>
    <w:pPr>
      <w:widowControl w:val="0"/>
      <w:spacing w:line="288" w:lineRule="auto"/>
      <w:jc w:val="both"/>
    </w:pPr>
    <w:rPr>
      <w:rFonts w:ascii="Times New Roman" w:hAnsi="Times New Roman"/>
      <w:sz w:val="24"/>
    </w:rPr>
  </w:style>
  <w:style w:type="paragraph" w:styleId="Heading1">
    <w:name w:val="heading 1"/>
    <w:basedOn w:val="Normal"/>
    <w:next w:val="Normal"/>
    <w:link w:val="Heading1Char"/>
    <w:uiPriority w:val="9"/>
    <w:qFormat/>
    <w:rsid w:val="00D45793"/>
    <w:pPr>
      <w:keepNext/>
      <w:keepLines/>
      <w:outlineLvl w:val="0"/>
    </w:pPr>
    <w:rPr>
      <w:b/>
      <w:bCs/>
      <w:kern w:val="44"/>
      <w:sz w:val="32"/>
      <w:szCs w:val="44"/>
    </w:rPr>
  </w:style>
  <w:style w:type="paragraph" w:styleId="Heading2">
    <w:name w:val="heading 2"/>
    <w:basedOn w:val="Normal"/>
    <w:next w:val="Normal"/>
    <w:link w:val="Heading2Char"/>
    <w:uiPriority w:val="9"/>
    <w:unhideWhenUsed/>
    <w:qFormat/>
    <w:rsid w:val="00627ABF"/>
    <w:pPr>
      <w:keepNext/>
      <w:keepLines/>
      <w:spacing w:line="480" w:lineRule="auto"/>
      <w:outlineLvl w:val="1"/>
    </w:pPr>
    <w:rPr>
      <w:rFonts w:cstheme="majorBidi"/>
      <w:b/>
      <w:bC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793"/>
    <w:rPr>
      <w:rFonts w:ascii="Times New Roman" w:hAnsi="Times New Roman"/>
      <w:b/>
      <w:bCs/>
      <w:kern w:val="44"/>
      <w:sz w:val="32"/>
      <w:szCs w:val="44"/>
    </w:rPr>
  </w:style>
  <w:style w:type="character" w:customStyle="1" w:styleId="Heading2Char">
    <w:name w:val="Heading 2 Char"/>
    <w:basedOn w:val="DefaultParagraphFont"/>
    <w:link w:val="Heading2"/>
    <w:uiPriority w:val="9"/>
    <w:rsid w:val="00627ABF"/>
    <w:rPr>
      <w:rFonts w:ascii="Times New Roman" w:hAnsi="Times New Roman" w:cstheme="majorBidi"/>
      <w:b/>
      <w:bCs/>
      <w:sz w:val="24"/>
      <w:szCs w:val="32"/>
    </w:rPr>
  </w:style>
  <w:style w:type="table" w:styleId="TableGridLight">
    <w:name w:val="Grid Table Light"/>
    <w:aliases w:val="三线表"/>
    <w:basedOn w:val="TableNormal"/>
    <w:uiPriority w:val="40"/>
    <w:rsid w:val="000832BF"/>
    <w:pPr>
      <w:jc w:val="center"/>
    </w:pPr>
    <w:tblPr>
      <w:tblBorders>
        <w:top w:val="single" w:sz="12" w:space="0" w:color="auto"/>
        <w:bottom w:val="single" w:sz="12" w:space="0" w:color="auto"/>
      </w:tblBorders>
    </w:tblPr>
    <w:tcPr>
      <w:vAlign w:val="center"/>
    </w:tcPr>
    <w:tblStylePr w:type="firstRow">
      <w:tblPr/>
      <w:tcPr>
        <w:tcBorders>
          <w:bottom w:val="single" w:sz="4" w:space="0" w:color="auto"/>
        </w:tcBorders>
      </w:tcPr>
    </w:tblStylePr>
  </w:style>
  <w:style w:type="paragraph" w:styleId="Header">
    <w:name w:val="header"/>
    <w:basedOn w:val="Normal"/>
    <w:link w:val="HeaderChar"/>
    <w:uiPriority w:val="99"/>
    <w:unhideWhenUsed/>
    <w:rsid w:val="00317940"/>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317940"/>
    <w:rPr>
      <w:rFonts w:ascii="Times New Roman" w:hAnsi="Times New Roman"/>
      <w:sz w:val="18"/>
      <w:szCs w:val="18"/>
    </w:rPr>
  </w:style>
  <w:style w:type="paragraph" w:styleId="Footer">
    <w:name w:val="footer"/>
    <w:basedOn w:val="Normal"/>
    <w:link w:val="FooterChar"/>
    <w:uiPriority w:val="99"/>
    <w:unhideWhenUsed/>
    <w:rsid w:val="00317940"/>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317940"/>
    <w:rPr>
      <w:rFonts w:ascii="Times New Roman" w:hAnsi="Times New Roman"/>
      <w:sz w:val="18"/>
      <w:szCs w:val="18"/>
    </w:rPr>
  </w:style>
  <w:style w:type="paragraph" w:styleId="NormalWeb">
    <w:name w:val="Normal (Web)"/>
    <w:basedOn w:val="Normal"/>
    <w:uiPriority w:val="99"/>
    <w:semiHidden/>
    <w:unhideWhenUsed/>
    <w:rsid w:val="00884498"/>
    <w:pPr>
      <w:widowControl/>
      <w:spacing w:before="100" w:beforeAutospacing="1" w:after="100" w:afterAutospacing="1" w:line="240" w:lineRule="auto"/>
      <w:jc w:val="left"/>
    </w:pPr>
    <w:rPr>
      <w:rFonts w:ascii="SimSun" w:hAnsi="SimSun" w:cs="SimSun"/>
      <w:kern w:val="0"/>
      <w:szCs w:val="24"/>
    </w:rPr>
  </w:style>
  <w:style w:type="character" w:customStyle="1" w:styleId="MTEquationSection">
    <w:name w:val="MTEquationSection"/>
    <w:basedOn w:val="DefaultParagraphFont"/>
    <w:rsid w:val="001E29D7"/>
    <w:rPr>
      <w:vanish/>
      <w:color w:val="FF0000"/>
    </w:rPr>
  </w:style>
  <w:style w:type="paragraph" w:customStyle="1" w:styleId="MTDisplayEquation">
    <w:name w:val="MTDisplayEquation"/>
    <w:basedOn w:val="Normal"/>
    <w:next w:val="Normal"/>
    <w:link w:val="MTDisplayEquation0"/>
    <w:rsid w:val="001E29D7"/>
    <w:pPr>
      <w:tabs>
        <w:tab w:val="center" w:pos="4160"/>
        <w:tab w:val="right" w:pos="8320"/>
      </w:tabs>
      <w:spacing w:line="480" w:lineRule="auto"/>
    </w:pPr>
    <w:rPr>
      <w:rFonts w:cs="Times New Roman"/>
    </w:rPr>
  </w:style>
  <w:style w:type="character" w:customStyle="1" w:styleId="MTDisplayEquation0">
    <w:name w:val="MTDisplayEquation 字符"/>
    <w:basedOn w:val="DefaultParagraphFont"/>
    <w:link w:val="MTDisplayEquation"/>
    <w:rsid w:val="001E29D7"/>
    <w:rPr>
      <w:rFonts w:ascii="Times New Roman" w:hAnsi="Times New Roman" w:cs="Times New Roman"/>
      <w:sz w:val="24"/>
    </w:rPr>
  </w:style>
  <w:style w:type="paragraph" w:styleId="BalloonText">
    <w:name w:val="Balloon Text"/>
    <w:basedOn w:val="Normal"/>
    <w:link w:val="BalloonTextChar"/>
    <w:uiPriority w:val="99"/>
    <w:semiHidden/>
    <w:unhideWhenUsed/>
    <w:rsid w:val="00732440"/>
    <w:pPr>
      <w:spacing w:line="240" w:lineRule="auto"/>
    </w:pPr>
    <w:rPr>
      <w:sz w:val="18"/>
      <w:szCs w:val="18"/>
    </w:rPr>
  </w:style>
  <w:style w:type="character" w:customStyle="1" w:styleId="BalloonTextChar">
    <w:name w:val="Balloon Text Char"/>
    <w:basedOn w:val="DefaultParagraphFont"/>
    <w:link w:val="BalloonText"/>
    <w:uiPriority w:val="99"/>
    <w:semiHidden/>
    <w:rsid w:val="00732440"/>
    <w:rPr>
      <w:rFonts w:ascii="Times New Roman" w:hAnsi="Times New Roman"/>
      <w:sz w:val="18"/>
      <w:szCs w:val="18"/>
    </w:rPr>
  </w:style>
  <w:style w:type="paragraph" w:customStyle="1" w:styleId="Articletitle">
    <w:name w:val="Article title"/>
    <w:basedOn w:val="Normal"/>
    <w:next w:val="Normal"/>
    <w:qFormat/>
    <w:rsid w:val="00377A71"/>
    <w:pPr>
      <w:widowControl/>
      <w:spacing w:after="120" w:line="360" w:lineRule="auto"/>
      <w:jc w:val="left"/>
    </w:pPr>
    <w:rPr>
      <w:rFonts w:eastAsiaTheme="minorEastAsia" w:cs="Times New Roman"/>
      <w:b/>
      <w:kern w:val="0"/>
      <w:sz w:val="28"/>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6</Pages>
  <Words>1541</Words>
  <Characters>8790</Characters>
  <Application>Microsoft Office Word</Application>
  <DocSecurity>0</DocSecurity>
  <Lines>73</Lines>
  <Paragraphs>20</Paragraphs>
  <ScaleCrop>false</ScaleCrop>
  <Company>MicroWin10.com</Company>
  <LinksUpToDate>false</LinksUpToDate>
  <CharactersWithSpaces>10311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zhong laijin</dc:creator>
  <cp:keywords/>
  <dc:description/>
  <cp:lastModifiedBy>Ramya G</cp:lastModifiedBy>
  <cp:revision>45</cp:revision>
  <dcterms:created xsi:type="dcterms:W3CDTF">2019-08-28T07:58:00Z</dcterms:created>
  <dcterms:modified xsi:type="dcterms:W3CDTF">2020-12-16T03:03:00Z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ies>
</file>