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FCA" w:rsidRPr="005D2468" w:rsidRDefault="00E73FCA" w:rsidP="00BA5F24">
      <w:pPr>
        <w:adjustRightInd w:val="0"/>
        <w:snapToGrid w:val="0"/>
        <w:spacing w:line="480" w:lineRule="auto"/>
        <w:rPr>
          <w:rFonts w:cs="Arial"/>
          <w:b/>
          <w:szCs w:val="22"/>
        </w:rPr>
      </w:pPr>
      <w:r w:rsidRPr="005D2468">
        <w:rPr>
          <w:rFonts w:cs="Arial"/>
          <w:b/>
          <w:szCs w:val="22"/>
        </w:rPr>
        <w:t xml:space="preserve">Title: S100A8/A9 mediate the reprograming of normal mammary epithelial cells </w:t>
      </w:r>
      <w:bookmarkStart w:id="0" w:name="_GoBack"/>
      <w:bookmarkEnd w:id="0"/>
      <w:r w:rsidRPr="005D2468">
        <w:rPr>
          <w:rFonts w:cs="Arial"/>
          <w:b/>
          <w:szCs w:val="22"/>
        </w:rPr>
        <w:t>induced by dynamic cell-cell interactions with adjacent breast cancer cells.</w:t>
      </w:r>
    </w:p>
    <w:p w:rsidR="00E73FCA" w:rsidRPr="005D2468" w:rsidRDefault="00E73FCA" w:rsidP="00BA5F24">
      <w:pPr>
        <w:adjustRightInd w:val="0"/>
        <w:snapToGrid w:val="0"/>
        <w:spacing w:line="480" w:lineRule="auto"/>
        <w:rPr>
          <w:rFonts w:cs="Arial"/>
          <w:szCs w:val="22"/>
        </w:rPr>
      </w:pPr>
    </w:p>
    <w:p w:rsidR="00E73FCA" w:rsidRPr="005D2468" w:rsidRDefault="00E73FCA" w:rsidP="00BA5F24">
      <w:pPr>
        <w:adjustRightInd w:val="0"/>
        <w:snapToGrid w:val="0"/>
        <w:spacing w:line="480" w:lineRule="auto"/>
        <w:rPr>
          <w:rFonts w:cs="Arial"/>
          <w:szCs w:val="22"/>
        </w:rPr>
      </w:pPr>
      <w:r w:rsidRPr="005D2468">
        <w:rPr>
          <w:rFonts w:cs="Arial" w:hint="eastAsia"/>
          <w:szCs w:val="22"/>
        </w:rPr>
        <w:t>Running title</w:t>
      </w:r>
      <w:r w:rsidRPr="005D2468">
        <w:rPr>
          <w:rFonts w:cs="Arial"/>
          <w:szCs w:val="22"/>
        </w:rPr>
        <w:t>: Cancers induce phenotypic changes in normal cells</w:t>
      </w:r>
    </w:p>
    <w:p w:rsidR="00E73FCA" w:rsidRPr="005D2468" w:rsidRDefault="00E73FCA" w:rsidP="00BA5F24">
      <w:pPr>
        <w:adjustRightInd w:val="0"/>
        <w:snapToGrid w:val="0"/>
        <w:spacing w:line="480" w:lineRule="auto"/>
        <w:rPr>
          <w:rFonts w:cs="Arial"/>
          <w:szCs w:val="22"/>
        </w:rPr>
      </w:pPr>
    </w:p>
    <w:p w:rsidR="00E73FCA" w:rsidRPr="005D2468" w:rsidRDefault="00E73FCA" w:rsidP="00BA5F24">
      <w:pPr>
        <w:adjustRightInd w:val="0"/>
        <w:snapToGrid w:val="0"/>
        <w:spacing w:line="480" w:lineRule="auto"/>
        <w:rPr>
          <w:rFonts w:cs="Arial"/>
          <w:szCs w:val="22"/>
        </w:rPr>
      </w:pPr>
    </w:p>
    <w:p w:rsidR="00E73FCA" w:rsidRPr="005D2468" w:rsidRDefault="00E73FCA" w:rsidP="00BA5F24">
      <w:pPr>
        <w:adjustRightInd w:val="0"/>
        <w:snapToGrid w:val="0"/>
        <w:spacing w:line="480" w:lineRule="auto"/>
        <w:rPr>
          <w:rFonts w:eastAsia="Calibri" w:cs="Arial"/>
          <w:szCs w:val="22"/>
        </w:rPr>
      </w:pPr>
      <w:proofErr w:type="spellStart"/>
      <w:r w:rsidRPr="005D2468">
        <w:rPr>
          <w:rFonts w:eastAsia="Calibri" w:cs="Arial"/>
          <w:szCs w:val="22"/>
        </w:rPr>
        <w:t>Seol</w:t>
      </w:r>
      <w:proofErr w:type="spellEnd"/>
      <w:r w:rsidRPr="005D2468">
        <w:rPr>
          <w:rFonts w:eastAsia="Calibri" w:cs="Arial"/>
          <w:szCs w:val="22"/>
        </w:rPr>
        <w:t xml:space="preserve"> Hwa</w:t>
      </w:r>
      <w:r w:rsidRPr="005D2468">
        <w:rPr>
          <w:rFonts w:cs="Arial"/>
          <w:szCs w:val="22"/>
        </w:rPr>
        <w:t xml:space="preserve"> </w:t>
      </w:r>
      <w:r w:rsidRPr="005D2468">
        <w:rPr>
          <w:rFonts w:eastAsia="Calibri" w:cs="Arial"/>
          <w:szCs w:val="22"/>
        </w:rPr>
        <w:t>Jo</w:t>
      </w:r>
      <w:r w:rsidRPr="005D2468">
        <w:rPr>
          <w:rFonts w:eastAsia="Calibri" w:cs="Arial"/>
          <w:szCs w:val="22"/>
          <w:vertAlign w:val="superscript"/>
        </w:rPr>
        <w:t>1*</w:t>
      </w:r>
      <w:r w:rsidRPr="005D2468">
        <w:rPr>
          <w:rFonts w:eastAsia="Calibri" w:cs="Arial"/>
          <w:szCs w:val="22"/>
        </w:rPr>
        <w:t>, Woo Hang Heo</w:t>
      </w:r>
      <w:r w:rsidRPr="005D2468">
        <w:rPr>
          <w:rFonts w:eastAsia="Calibri" w:cs="Arial"/>
          <w:szCs w:val="22"/>
          <w:vertAlign w:val="superscript"/>
        </w:rPr>
        <w:t>1*</w:t>
      </w:r>
      <w:r w:rsidRPr="005D2468">
        <w:rPr>
          <w:rFonts w:eastAsia="Calibri" w:cs="Arial"/>
          <w:szCs w:val="22"/>
        </w:rPr>
        <w:t xml:space="preserve">, </w:t>
      </w:r>
      <w:proofErr w:type="spellStart"/>
      <w:r w:rsidRPr="005D2468">
        <w:rPr>
          <w:rFonts w:eastAsia="맑은 고딕" w:cs="Arial"/>
          <w:szCs w:val="22"/>
        </w:rPr>
        <w:t>Hye-Youn</w:t>
      </w:r>
      <w:proofErr w:type="spellEnd"/>
      <w:r w:rsidRPr="005D2468">
        <w:rPr>
          <w:rFonts w:eastAsia="맑은 고딕" w:cs="Arial"/>
          <w:szCs w:val="22"/>
        </w:rPr>
        <w:t xml:space="preserve"> Son</w:t>
      </w:r>
      <w:r w:rsidRPr="005D2468">
        <w:rPr>
          <w:rFonts w:eastAsia="맑은 고딕" w:cs="Arial"/>
          <w:szCs w:val="22"/>
          <w:vertAlign w:val="superscript"/>
        </w:rPr>
        <w:t>2*</w:t>
      </w:r>
      <w:r w:rsidRPr="005D2468">
        <w:rPr>
          <w:rFonts w:eastAsia="맑은 고딕" w:cs="Arial"/>
          <w:szCs w:val="22"/>
        </w:rPr>
        <w:t>,</w:t>
      </w:r>
      <w:r w:rsidRPr="005D2468">
        <w:rPr>
          <w:rFonts w:ascii="맑은 고딕" w:eastAsia="맑은 고딕" w:hAnsi="맑은 고딕" w:cs="맑은 고딕"/>
          <w:szCs w:val="22"/>
        </w:rPr>
        <w:t xml:space="preserve"> </w:t>
      </w:r>
      <w:proofErr w:type="spellStart"/>
      <w:r w:rsidRPr="005D2468">
        <w:rPr>
          <w:rFonts w:eastAsia="Calibri" w:cs="Arial"/>
          <w:szCs w:val="22"/>
        </w:rPr>
        <w:t>Mingji</w:t>
      </w:r>
      <w:proofErr w:type="spellEnd"/>
      <w:r w:rsidRPr="005D2468">
        <w:rPr>
          <w:rFonts w:eastAsia="Calibri" w:cs="Arial"/>
          <w:szCs w:val="22"/>
        </w:rPr>
        <w:t xml:space="preserve"> Quan</w:t>
      </w:r>
      <w:r w:rsidRPr="005D2468">
        <w:rPr>
          <w:rFonts w:eastAsia="Calibri" w:cs="Arial"/>
          <w:szCs w:val="22"/>
          <w:vertAlign w:val="superscript"/>
        </w:rPr>
        <w:t>1</w:t>
      </w:r>
      <w:r w:rsidRPr="005D2468">
        <w:rPr>
          <w:rFonts w:eastAsia="Calibri" w:cs="Arial"/>
          <w:szCs w:val="22"/>
        </w:rPr>
        <w:t xml:space="preserve">, Bok </w:t>
      </w:r>
      <w:proofErr w:type="spellStart"/>
      <w:r w:rsidRPr="005D2468">
        <w:rPr>
          <w:rFonts w:eastAsia="Calibri" w:cs="Arial"/>
          <w:szCs w:val="22"/>
        </w:rPr>
        <w:t>Sil</w:t>
      </w:r>
      <w:proofErr w:type="spellEnd"/>
      <w:r w:rsidRPr="005D2468">
        <w:rPr>
          <w:rFonts w:eastAsia="Calibri" w:cs="Arial"/>
          <w:szCs w:val="22"/>
        </w:rPr>
        <w:t xml:space="preserve"> Hong</w:t>
      </w:r>
      <w:bookmarkStart w:id="1" w:name="_Hlk48223088"/>
      <w:r w:rsidRPr="005D2468">
        <w:rPr>
          <w:rFonts w:eastAsia="Calibri" w:cs="Arial"/>
          <w:szCs w:val="22"/>
          <w:vertAlign w:val="superscript"/>
        </w:rPr>
        <w:t>2</w:t>
      </w:r>
      <w:bookmarkEnd w:id="1"/>
      <w:r w:rsidRPr="005D2468">
        <w:rPr>
          <w:rFonts w:eastAsia="Calibri" w:cs="Arial"/>
          <w:szCs w:val="22"/>
        </w:rPr>
        <w:t xml:space="preserve">, </w:t>
      </w:r>
      <w:proofErr w:type="spellStart"/>
      <w:r w:rsidRPr="005D2468">
        <w:rPr>
          <w:rFonts w:eastAsia="Calibri" w:cs="Arial"/>
          <w:szCs w:val="22"/>
        </w:rPr>
        <w:t>Ju</w:t>
      </w:r>
      <w:proofErr w:type="spellEnd"/>
      <w:r w:rsidRPr="005D2468">
        <w:rPr>
          <w:rFonts w:eastAsia="Calibri" w:cs="Arial"/>
          <w:szCs w:val="22"/>
        </w:rPr>
        <w:t xml:space="preserve"> </w:t>
      </w:r>
      <w:proofErr w:type="spellStart"/>
      <w:r w:rsidRPr="005D2468">
        <w:rPr>
          <w:rFonts w:eastAsia="Calibri" w:cs="Arial"/>
          <w:szCs w:val="22"/>
        </w:rPr>
        <w:t>Hee</w:t>
      </w:r>
      <w:proofErr w:type="spellEnd"/>
      <w:r w:rsidRPr="005D2468">
        <w:rPr>
          <w:rFonts w:eastAsia="Calibri" w:cs="Arial"/>
          <w:szCs w:val="22"/>
        </w:rPr>
        <w:t xml:space="preserve"> Kim</w:t>
      </w:r>
      <w:r w:rsidRPr="005D2468">
        <w:rPr>
          <w:rFonts w:eastAsia="Calibri" w:cs="Arial"/>
          <w:szCs w:val="22"/>
          <w:vertAlign w:val="superscript"/>
        </w:rPr>
        <w:t>2</w:t>
      </w:r>
      <w:r w:rsidRPr="005D2468">
        <w:rPr>
          <w:rFonts w:eastAsia="Calibri" w:cs="Arial"/>
          <w:szCs w:val="22"/>
        </w:rPr>
        <w:t>, Han-</w:t>
      </w:r>
      <w:proofErr w:type="spellStart"/>
      <w:r w:rsidRPr="005D2468">
        <w:rPr>
          <w:rFonts w:eastAsia="Calibri" w:cs="Arial"/>
          <w:szCs w:val="22"/>
        </w:rPr>
        <w:t>Byoel</w:t>
      </w:r>
      <w:proofErr w:type="spellEnd"/>
      <w:r w:rsidRPr="005D2468">
        <w:rPr>
          <w:rFonts w:eastAsia="Calibri" w:cs="Arial"/>
          <w:szCs w:val="22"/>
        </w:rPr>
        <w:t xml:space="preserve"> Lee</w:t>
      </w:r>
      <w:r w:rsidRPr="005D2468">
        <w:rPr>
          <w:rFonts w:eastAsia="Calibri" w:cs="Arial"/>
          <w:szCs w:val="22"/>
          <w:vertAlign w:val="superscript"/>
        </w:rPr>
        <w:t>3</w:t>
      </w:r>
      <w:r w:rsidRPr="005D2468">
        <w:rPr>
          <w:rFonts w:eastAsia="Calibri" w:cs="Arial"/>
          <w:szCs w:val="22"/>
        </w:rPr>
        <w:t xml:space="preserve">, </w:t>
      </w:r>
      <w:proofErr w:type="spellStart"/>
      <w:r w:rsidRPr="005D2468">
        <w:rPr>
          <w:rFonts w:eastAsia="Calibri" w:cs="Arial"/>
          <w:szCs w:val="22"/>
        </w:rPr>
        <w:t>Wonshik</w:t>
      </w:r>
      <w:proofErr w:type="spellEnd"/>
      <w:r w:rsidRPr="005D2468">
        <w:rPr>
          <w:rFonts w:eastAsia="Calibri" w:cs="Arial"/>
          <w:szCs w:val="22"/>
        </w:rPr>
        <w:t xml:space="preserve"> Han</w:t>
      </w:r>
      <w:r w:rsidRPr="005D2468">
        <w:rPr>
          <w:rFonts w:eastAsia="Calibri" w:cs="Arial"/>
          <w:szCs w:val="22"/>
          <w:vertAlign w:val="superscript"/>
        </w:rPr>
        <w:t>2,3,4</w:t>
      </w:r>
      <w:r w:rsidRPr="005D2468">
        <w:rPr>
          <w:rFonts w:eastAsia="Calibri" w:cs="Arial"/>
          <w:szCs w:val="22"/>
        </w:rPr>
        <w:t xml:space="preserve">, </w:t>
      </w:r>
      <w:proofErr w:type="spellStart"/>
      <w:r w:rsidRPr="005D2468">
        <w:rPr>
          <w:rFonts w:eastAsia="Calibri" w:cs="Arial"/>
          <w:szCs w:val="22"/>
        </w:rPr>
        <w:t>Yeonju</w:t>
      </w:r>
      <w:proofErr w:type="spellEnd"/>
      <w:r w:rsidRPr="005D2468">
        <w:rPr>
          <w:rFonts w:eastAsia="Calibri" w:cs="Arial"/>
          <w:szCs w:val="22"/>
        </w:rPr>
        <w:t xml:space="preserve"> Park</w:t>
      </w:r>
      <w:r w:rsidRPr="005D2468">
        <w:rPr>
          <w:rFonts w:eastAsia="Calibri" w:cs="Arial"/>
          <w:szCs w:val="22"/>
          <w:vertAlign w:val="superscript"/>
        </w:rPr>
        <w:t>5</w:t>
      </w:r>
      <w:r w:rsidRPr="005D2468">
        <w:rPr>
          <w:rFonts w:eastAsia="Calibri" w:cs="Arial"/>
          <w:szCs w:val="22"/>
        </w:rPr>
        <w:t>, Dong-Sup Lee</w:t>
      </w:r>
      <w:r w:rsidRPr="005D2468">
        <w:rPr>
          <w:rFonts w:eastAsia="Calibri" w:cs="Arial"/>
          <w:szCs w:val="22"/>
          <w:vertAlign w:val="superscript"/>
        </w:rPr>
        <w:t>5</w:t>
      </w:r>
      <w:r w:rsidRPr="005D2468">
        <w:rPr>
          <w:rFonts w:eastAsia="Calibri" w:cs="Arial"/>
          <w:szCs w:val="22"/>
        </w:rPr>
        <w:t xml:space="preserve">, Nam </w:t>
      </w:r>
      <w:proofErr w:type="spellStart"/>
      <w:r w:rsidRPr="005D2468">
        <w:rPr>
          <w:rFonts w:eastAsia="Calibri" w:cs="Arial"/>
          <w:szCs w:val="22"/>
        </w:rPr>
        <w:t>Hoon</w:t>
      </w:r>
      <w:proofErr w:type="spellEnd"/>
      <w:r w:rsidRPr="005D2468">
        <w:rPr>
          <w:rFonts w:eastAsia="Calibri" w:cs="Arial"/>
          <w:szCs w:val="22"/>
        </w:rPr>
        <w:t xml:space="preserve"> Kwon</w:t>
      </w:r>
      <w:r w:rsidRPr="005D2468">
        <w:rPr>
          <w:rFonts w:eastAsia="Calibri" w:cs="Arial"/>
          <w:szCs w:val="22"/>
          <w:vertAlign w:val="superscript"/>
        </w:rPr>
        <w:t>6</w:t>
      </w:r>
      <w:r w:rsidRPr="005D2468">
        <w:rPr>
          <w:rFonts w:eastAsia="Calibri" w:cs="Arial"/>
          <w:szCs w:val="22"/>
        </w:rPr>
        <w:t xml:space="preserve">, Min </w:t>
      </w:r>
      <w:proofErr w:type="spellStart"/>
      <w:r w:rsidRPr="005D2468">
        <w:rPr>
          <w:rFonts w:eastAsia="Calibri" w:cs="Arial"/>
          <w:szCs w:val="22"/>
        </w:rPr>
        <w:t>Chul</w:t>
      </w:r>
      <w:proofErr w:type="spellEnd"/>
      <w:r w:rsidRPr="005D2468">
        <w:rPr>
          <w:rFonts w:eastAsia="Calibri" w:cs="Arial"/>
          <w:szCs w:val="22"/>
        </w:rPr>
        <w:t xml:space="preserve"> Park</w:t>
      </w:r>
      <w:r w:rsidRPr="005D2468">
        <w:rPr>
          <w:rFonts w:eastAsia="Calibri" w:cs="Arial"/>
          <w:szCs w:val="22"/>
          <w:vertAlign w:val="superscript"/>
        </w:rPr>
        <w:t>6</w:t>
      </w:r>
      <w:r w:rsidRPr="005D2468">
        <w:rPr>
          <w:rFonts w:eastAsia="Calibri" w:cs="Arial"/>
          <w:szCs w:val="22"/>
        </w:rPr>
        <w:t xml:space="preserve">, </w:t>
      </w:r>
      <w:proofErr w:type="spellStart"/>
      <w:r w:rsidRPr="005D2468">
        <w:rPr>
          <w:rFonts w:eastAsia="Calibri" w:cs="Arial"/>
          <w:szCs w:val="22"/>
        </w:rPr>
        <w:t>Jeesoo</w:t>
      </w:r>
      <w:proofErr w:type="spellEnd"/>
      <w:r w:rsidRPr="005D2468">
        <w:rPr>
          <w:rFonts w:eastAsia="Calibri" w:cs="Arial"/>
          <w:szCs w:val="22"/>
        </w:rPr>
        <w:t xml:space="preserve"> Chae</w:t>
      </w:r>
      <w:r w:rsidRPr="005D2468">
        <w:rPr>
          <w:rFonts w:eastAsia="Calibri" w:cs="Arial"/>
          <w:szCs w:val="22"/>
          <w:vertAlign w:val="superscript"/>
        </w:rPr>
        <w:t>4,7</w:t>
      </w:r>
      <w:r w:rsidRPr="005D2468">
        <w:rPr>
          <w:rFonts w:eastAsia="Calibri" w:cs="Arial"/>
          <w:szCs w:val="22"/>
        </w:rPr>
        <w:t xml:space="preserve">, </w:t>
      </w:r>
      <w:r w:rsidRPr="005D2468">
        <w:rPr>
          <w:rFonts w:cs="Arial"/>
          <w:szCs w:val="22"/>
        </w:rPr>
        <w:t>Jong-Il Kim</w:t>
      </w:r>
      <w:r w:rsidRPr="005D2468">
        <w:rPr>
          <w:rFonts w:eastAsia="Calibri" w:cs="Arial"/>
          <w:szCs w:val="22"/>
          <w:vertAlign w:val="superscript"/>
        </w:rPr>
        <w:t>4,7</w:t>
      </w:r>
      <w:r w:rsidRPr="005D2468">
        <w:rPr>
          <w:rFonts w:cs="Arial"/>
          <w:szCs w:val="22"/>
        </w:rPr>
        <w:t>,</w:t>
      </w:r>
      <w:r w:rsidRPr="005D2468">
        <w:rPr>
          <w:rFonts w:eastAsia="Calibri" w:cs="Arial"/>
          <w:szCs w:val="22"/>
        </w:rPr>
        <w:t xml:space="preserve"> Dong-Young Noh</w:t>
      </w:r>
      <w:r w:rsidRPr="005D2468">
        <w:rPr>
          <w:rFonts w:eastAsia="Calibri" w:cs="Arial"/>
          <w:szCs w:val="22"/>
          <w:vertAlign w:val="superscript"/>
        </w:rPr>
        <w:t>3,4,8</w:t>
      </w:r>
      <w:r w:rsidRPr="005D2468">
        <w:rPr>
          <w:rFonts w:eastAsia="Calibri" w:cs="Arial"/>
          <w:szCs w:val="22"/>
        </w:rPr>
        <w:t xml:space="preserve">, </w:t>
      </w:r>
      <w:proofErr w:type="spellStart"/>
      <w:r w:rsidRPr="005D2468">
        <w:rPr>
          <w:rFonts w:eastAsia="Calibri" w:cs="Arial"/>
          <w:szCs w:val="22"/>
        </w:rPr>
        <w:t>Hyeong-Gon</w:t>
      </w:r>
      <w:proofErr w:type="spellEnd"/>
      <w:r w:rsidRPr="005D2468">
        <w:rPr>
          <w:rFonts w:eastAsia="Calibri" w:cs="Arial"/>
          <w:szCs w:val="22"/>
        </w:rPr>
        <w:t xml:space="preserve"> Moon </w:t>
      </w:r>
      <w:r w:rsidRPr="005D2468">
        <w:rPr>
          <w:rFonts w:eastAsia="Calibri" w:cs="Arial"/>
          <w:szCs w:val="22"/>
          <w:vertAlign w:val="superscript"/>
        </w:rPr>
        <w:t>2,3,4</w:t>
      </w:r>
      <w:r w:rsidRPr="005D2468">
        <w:rPr>
          <w:rFonts w:eastAsia="Calibri" w:cs="Arial"/>
          <w:szCs w:val="22"/>
        </w:rPr>
        <w:t>.</w:t>
      </w:r>
    </w:p>
    <w:p w:rsidR="00E73FCA" w:rsidRPr="005D2468" w:rsidRDefault="00E73FCA" w:rsidP="00BA5F24">
      <w:pPr>
        <w:adjustRightInd w:val="0"/>
        <w:snapToGrid w:val="0"/>
        <w:spacing w:line="480" w:lineRule="auto"/>
        <w:rPr>
          <w:rFonts w:eastAsia="Calibri" w:cs="Arial"/>
          <w:szCs w:val="22"/>
        </w:rPr>
      </w:pPr>
    </w:p>
    <w:p w:rsidR="00E73FCA" w:rsidRPr="005D2468" w:rsidRDefault="00E73FCA" w:rsidP="00BA5F24">
      <w:pPr>
        <w:adjustRightInd w:val="0"/>
        <w:snapToGrid w:val="0"/>
        <w:spacing w:line="480" w:lineRule="auto"/>
        <w:rPr>
          <w:rFonts w:cs="Arial"/>
          <w:szCs w:val="22"/>
        </w:rPr>
      </w:pPr>
      <w:r w:rsidRPr="005D2468">
        <w:rPr>
          <w:rFonts w:eastAsia="Calibri" w:cs="Arial"/>
          <w:szCs w:val="22"/>
          <w:vertAlign w:val="superscript"/>
        </w:rPr>
        <w:t>1</w:t>
      </w:r>
      <w:r w:rsidRPr="005D2468">
        <w:rPr>
          <w:rFonts w:cs="Arial"/>
          <w:szCs w:val="22"/>
        </w:rPr>
        <w:t>Interdisciplinary Graduate Program in Cancer Biology, Seoul National University College of Medicine, Seoul, Korea,</w:t>
      </w:r>
    </w:p>
    <w:p w:rsidR="00E73FCA" w:rsidRPr="005D2468" w:rsidRDefault="00E73FCA" w:rsidP="00BA5F24">
      <w:pPr>
        <w:adjustRightInd w:val="0"/>
        <w:snapToGrid w:val="0"/>
        <w:spacing w:line="480" w:lineRule="auto"/>
        <w:rPr>
          <w:rFonts w:cs="Arial"/>
          <w:szCs w:val="22"/>
        </w:rPr>
      </w:pPr>
      <w:r w:rsidRPr="005D2468">
        <w:rPr>
          <w:rFonts w:eastAsia="Calibri" w:cs="Arial"/>
          <w:szCs w:val="22"/>
          <w:vertAlign w:val="superscript"/>
        </w:rPr>
        <w:t>2</w:t>
      </w:r>
      <w:r w:rsidRPr="005D2468">
        <w:rPr>
          <w:rFonts w:cs="Arial"/>
          <w:szCs w:val="22"/>
        </w:rPr>
        <w:t>Center for Medical Innovation, Biomedical Research Institute, Seoul National University Hospital, Seoul, Korea,</w:t>
      </w:r>
    </w:p>
    <w:p w:rsidR="00E73FCA" w:rsidRPr="005D2468" w:rsidRDefault="00E73FCA" w:rsidP="00BA5F24">
      <w:pPr>
        <w:adjustRightInd w:val="0"/>
        <w:snapToGrid w:val="0"/>
        <w:spacing w:line="480" w:lineRule="auto"/>
        <w:rPr>
          <w:rFonts w:cs="Arial"/>
          <w:szCs w:val="22"/>
        </w:rPr>
      </w:pPr>
      <w:r w:rsidRPr="005D2468">
        <w:rPr>
          <w:rFonts w:eastAsia="Calibri" w:cs="Arial"/>
          <w:szCs w:val="22"/>
          <w:vertAlign w:val="superscript"/>
        </w:rPr>
        <w:t>3</w:t>
      </w:r>
      <w:r w:rsidRPr="005D2468">
        <w:rPr>
          <w:rFonts w:cs="Arial"/>
          <w:szCs w:val="22"/>
        </w:rPr>
        <w:t>Department of Surgery, Seoul National University College of Medicine, Seoul, Korea,</w:t>
      </w:r>
    </w:p>
    <w:p w:rsidR="00E73FCA" w:rsidRPr="005D2468" w:rsidRDefault="00E73FCA" w:rsidP="00BA5F24">
      <w:pPr>
        <w:adjustRightInd w:val="0"/>
        <w:snapToGrid w:val="0"/>
        <w:spacing w:line="480" w:lineRule="auto"/>
        <w:rPr>
          <w:rFonts w:cs="Arial"/>
          <w:szCs w:val="22"/>
        </w:rPr>
      </w:pPr>
      <w:r w:rsidRPr="005D2468">
        <w:rPr>
          <w:rFonts w:eastAsia="Calibri" w:cs="Arial"/>
          <w:szCs w:val="22"/>
          <w:vertAlign w:val="superscript"/>
        </w:rPr>
        <w:t>4</w:t>
      </w:r>
      <w:r w:rsidRPr="005D2468">
        <w:rPr>
          <w:rFonts w:cs="Arial"/>
          <w:szCs w:val="22"/>
        </w:rPr>
        <w:t>Genomic Medicine Institute, Medical Research Center, Seoul National University College of Medicine, Seoul, Korea,</w:t>
      </w:r>
    </w:p>
    <w:p w:rsidR="00BA5F24" w:rsidRPr="005D2468" w:rsidRDefault="00BA5F24" w:rsidP="00BA5F24">
      <w:pPr>
        <w:adjustRightInd w:val="0"/>
        <w:snapToGrid w:val="0"/>
        <w:spacing w:line="480" w:lineRule="auto"/>
        <w:rPr>
          <w:rFonts w:cs="Arial"/>
          <w:szCs w:val="22"/>
        </w:rPr>
      </w:pPr>
    </w:p>
    <w:p w:rsidR="00BA5F24" w:rsidRPr="005D2468" w:rsidRDefault="00BA5F24" w:rsidP="00BA5F24">
      <w:pPr>
        <w:adjustRightInd w:val="0"/>
        <w:snapToGrid w:val="0"/>
        <w:spacing w:line="480" w:lineRule="auto"/>
        <w:rPr>
          <w:rFonts w:cs="Arial"/>
          <w:szCs w:val="22"/>
        </w:rPr>
      </w:pPr>
    </w:p>
    <w:p w:rsidR="00BA5F24" w:rsidRPr="005D2468" w:rsidRDefault="00BA5F24" w:rsidP="00BA5F24">
      <w:pPr>
        <w:adjustRightInd w:val="0"/>
        <w:snapToGrid w:val="0"/>
        <w:spacing w:line="480" w:lineRule="auto"/>
        <w:rPr>
          <w:rFonts w:cs="Arial"/>
          <w:szCs w:val="22"/>
        </w:rPr>
      </w:pPr>
    </w:p>
    <w:p w:rsidR="00BA5F24" w:rsidRPr="005D2468" w:rsidRDefault="00BA5F24" w:rsidP="00BA5F24">
      <w:pPr>
        <w:adjustRightInd w:val="0"/>
        <w:snapToGrid w:val="0"/>
        <w:spacing w:line="480" w:lineRule="auto"/>
        <w:rPr>
          <w:rFonts w:cs="Arial"/>
          <w:szCs w:val="22"/>
        </w:rPr>
      </w:pPr>
    </w:p>
    <w:p w:rsidR="00BA5F24" w:rsidRPr="005D2468" w:rsidRDefault="00BA5F24" w:rsidP="00BA5F24">
      <w:pPr>
        <w:adjustRightInd w:val="0"/>
        <w:snapToGrid w:val="0"/>
        <w:spacing w:line="480" w:lineRule="auto"/>
        <w:rPr>
          <w:rFonts w:cs="Arial"/>
          <w:szCs w:val="22"/>
        </w:rPr>
      </w:pPr>
    </w:p>
    <w:p w:rsidR="00BA5F24" w:rsidRPr="005D2468" w:rsidRDefault="00BA5F24" w:rsidP="00BA5F24">
      <w:pPr>
        <w:adjustRightInd w:val="0"/>
        <w:snapToGrid w:val="0"/>
        <w:spacing w:line="480" w:lineRule="auto"/>
        <w:rPr>
          <w:rFonts w:cs="Arial"/>
          <w:szCs w:val="22"/>
        </w:rPr>
      </w:pPr>
    </w:p>
    <w:p w:rsidR="00BA5F24" w:rsidRPr="005D2468" w:rsidRDefault="00BA5F24" w:rsidP="00BA5F24">
      <w:pPr>
        <w:adjustRightInd w:val="0"/>
        <w:snapToGrid w:val="0"/>
        <w:spacing w:line="480" w:lineRule="auto"/>
        <w:rPr>
          <w:rFonts w:cs="Arial"/>
          <w:szCs w:val="22"/>
        </w:rPr>
      </w:pPr>
    </w:p>
    <w:p w:rsidR="00BA5F24" w:rsidRPr="005D2468" w:rsidRDefault="00BA5F24" w:rsidP="00BA5F24">
      <w:pPr>
        <w:adjustRightInd w:val="0"/>
        <w:snapToGrid w:val="0"/>
        <w:spacing w:line="480" w:lineRule="auto"/>
        <w:rPr>
          <w:rFonts w:cs="Arial"/>
          <w:szCs w:val="22"/>
        </w:rPr>
      </w:pPr>
    </w:p>
    <w:p w:rsidR="00BA5F24" w:rsidRPr="005D2468" w:rsidRDefault="00BA5F24" w:rsidP="00BA5F24">
      <w:pPr>
        <w:spacing w:line="360" w:lineRule="auto"/>
        <w:rPr>
          <w:b/>
          <w:sz w:val="24"/>
          <w:szCs w:val="16"/>
        </w:rPr>
      </w:pPr>
      <w:r w:rsidRPr="005D2468">
        <w:rPr>
          <w:b/>
          <w:sz w:val="24"/>
          <w:szCs w:val="16"/>
        </w:rPr>
        <w:lastRenderedPageBreak/>
        <w:t>Supplementary information</w:t>
      </w:r>
    </w:p>
    <w:p w:rsidR="00BA5F24" w:rsidRPr="005D2468" w:rsidRDefault="00BA5F24" w:rsidP="00BA5F24">
      <w:pPr>
        <w:spacing w:line="360" w:lineRule="auto"/>
        <w:rPr>
          <w:b/>
          <w:sz w:val="24"/>
          <w:szCs w:val="16"/>
        </w:rPr>
      </w:pPr>
    </w:p>
    <w:p w:rsidR="00BA5F24" w:rsidRPr="005D2468" w:rsidRDefault="00BA5F24" w:rsidP="00BA5F24">
      <w:pPr>
        <w:spacing w:line="360" w:lineRule="auto"/>
        <w:rPr>
          <w:rFonts w:cs="Arial"/>
          <w:bCs/>
          <w:szCs w:val="20"/>
        </w:rPr>
      </w:pPr>
      <w:r w:rsidRPr="005D2468">
        <w:rPr>
          <w:rFonts w:cs="Arial" w:hint="eastAsia"/>
          <w:bCs/>
          <w:szCs w:val="20"/>
        </w:rPr>
        <w:t>S</w:t>
      </w:r>
      <w:r w:rsidRPr="005D2468">
        <w:rPr>
          <w:rFonts w:cs="Arial"/>
          <w:bCs/>
          <w:szCs w:val="20"/>
        </w:rPr>
        <w:t>upplementary Figure S1</w:t>
      </w:r>
      <w:r w:rsidR="0089307B">
        <w:rPr>
          <w:rFonts w:cs="Arial"/>
          <w:bCs/>
          <w:szCs w:val="20"/>
        </w:rPr>
        <w:t>-8</w:t>
      </w:r>
      <w:r w:rsidRPr="005D2468">
        <w:rPr>
          <w:rFonts w:cs="Arial"/>
          <w:bCs/>
          <w:szCs w:val="20"/>
        </w:rPr>
        <w:t xml:space="preserve">. </w:t>
      </w:r>
    </w:p>
    <w:p w:rsidR="00BA5F24" w:rsidRPr="005D2468" w:rsidRDefault="00BA5F24" w:rsidP="00BA5F24">
      <w:pPr>
        <w:spacing w:line="360" w:lineRule="auto"/>
        <w:rPr>
          <w:rFonts w:cs="Arial"/>
          <w:bCs/>
          <w:szCs w:val="20"/>
        </w:rPr>
      </w:pPr>
      <w:r w:rsidRPr="005D2468">
        <w:rPr>
          <w:rFonts w:cs="Arial" w:hint="eastAsia"/>
          <w:bCs/>
          <w:szCs w:val="20"/>
        </w:rPr>
        <w:t>S</w:t>
      </w:r>
      <w:r w:rsidRPr="005D2468">
        <w:rPr>
          <w:rFonts w:cs="Arial"/>
          <w:bCs/>
          <w:szCs w:val="20"/>
        </w:rPr>
        <w:t xml:space="preserve">upplementary Figure S2. </w:t>
      </w:r>
    </w:p>
    <w:p w:rsidR="00BA5F24" w:rsidRPr="005D2468" w:rsidRDefault="00BA5F24" w:rsidP="00BA5F24">
      <w:pPr>
        <w:spacing w:line="360" w:lineRule="auto"/>
        <w:rPr>
          <w:rFonts w:cs="Arial"/>
          <w:bCs/>
          <w:szCs w:val="20"/>
        </w:rPr>
      </w:pPr>
      <w:r w:rsidRPr="005D2468">
        <w:rPr>
          <w:rFonts w:cs="Arial" w:hint="eastAsia"/>
          <w:bCs/>
          <w:szCs w:val="20"/>
        </w:rPr>
        <w:t>S</w:t>
      </w:r>
      <w:r w:rsidRPr="005D2468">
        <w:rPr>
          <w:rFonts w:cs="Arial"/>
          <w:bCs/>
          <w:szCs w:val="20"/>
        </w:rPr>
        <w:t xml:space="preserve">upplementary Figure S3. </w:t>
      </w:r>
    </w:p>
    <w:p w:rsidR="00BA5F24" w:rsidRPr="005D2468" w:rsidRDefault="00BA5F24" w:rsidP="00BA5F24">
      <w:pPr>
        <w:spacing w:line="360" w:lineRule="auto"/>
        <w:rPr>
          <w:rFonts w:cs="Arial"/>
          <w:bCs/>
          <w:szCs w:val="20"/>
        </w:rPr>
      </w:pPr>
      <w:r w:rsidRPr="005D2468">
        <w:rPr>
          <w:rFonts w:cs="Arial" w:hint="eastAsia"/>
          <w:bCs/>
          <w:szCs w:val="20"/>
        </w:rPr>
        <w:t>S</w:t>
      </w:r>
      <w:r w:rsidRPr="005D2468">
        <w:rPr>
          <w:rFonts w:cs="Arial"/>
          <w:bCs/>
          <w:szCs w:val="20"/>
        </w:rPr>
        <w:t xml:space="preserve">upplementary Figure S4. </w:t>
      </w:r>
    </w:p>
    <w:p w:rsidR="00BA5F24" w:rsidRPr="005D2468" w:rsidRDefault="00BA5F24" w:rsidP="00BA5F24">
      <w:pPr>
        <w:spacing w:line="360" w:lineRule="auto"/>
        <w:rPr>
          <w:rFonts w:cs="Arial"/>
          <w:bCs/>
          <w:szCs w:val="20"/>
        </w:rPr>
      </w:pPr>
      <w:r w:rsidRPr="005D2468">
        <w:rPr>
          <w:rFonts w:cs="Arial" w:hint="eastAsia"/>
          <w:bCs/>
          <w:szCs w:val="20"/>
        </w:rPr>
        <w:t>S</w:t>
      </w:r>
      <w:r w:rsidRPr="005D2468">
        <w:rPr>
          <w:rFonts w:cs="Arial"/>
          <w:bCs/>
          <w:szCs w:val="20"/>
        </w:rPr>
        <w:t xml:space="preserve">upplementary Figure S5. </w:t>
      </w:r>
    </w:p>
    <w:p w:rsidR="005B13B6" w:rsidRPr="005D2468" w:rsidRDefault="005B13B6" w:rsidP="00BA5F24">
      <w:pPr>
        <w:spacing w:line="360" w:lineRule="auto"/>
        <w:rPr>
          <w:rFonts w:cs="Arial"/>
          <w:bCs/>
          <w:szCs w:val="20"/>
        </w:rPr>
      </w:pPr>
      <w:r w:rsidRPr="005D2468">
        <w:rPr>
          <w:rFonts w:cs="Arial" w:hint="eastAsia"/>
          <w:bCs/>
          <w:szCs w:val="20"/>
        </w:rPr>
        <w:t>S</w:t>
      </w:r>
      <w:r w:rsidRPr="005D2468">
        <w:rPr>
          <w:rFonts w:cs="Arial"/>
          <w:bCs/>
          <w:szCs w:val="20"/>
        </w:rPr>
        <w:t xml:space="preserve">upplementary Figure S6. </w:t>
      </w:r>
    </w:p>
    <w:p w:rsidR="00AE4F29" w:rsidRPr="005D2468" w:rsidRDefault="00AE4F29" w:rsidP="00AE4F29">
      <w:pPr>
        <w:spacing w:line="360" w:lineRule="auto"/>
        <w:rPr>
          <w:rFonts w:cs="Arial"/>
          <w:bCs/>
          <w:szCs w:val="20"/>
        </w:rPr>
      </w:pPr>
      <w:r w:rsidRPr="005D2468">
        <w:rPr>
          <w:rFonts w:cs="Arial" w:hint="eastAsia"/>
          <w:bCs/>
          <w:szCs w:val="20"/>
        </w:rPr>
        <w:t>S</w:t>
      </w:r>
      <w:r w:rsidRPr="005D2468">
        <w:rPr>
          <w:rFonts w:cs="Arial"/>
          <w:bCs/>
          <w:szCs w:val="20"/>
        </w:rPr>
        <w:t xml:space="preserve">upplementary Figure S7. </w:t>
      </w:r>
    </w:p>
    <w:p w:rsidR="00AE4F29" w:rsidRPr="005D2468" w:rsidRDefault="00AE4F29" w:rsidP="00BA5F24">
      <w:pPr>
        <w:spacing w:line="360" w:lineRule="auto"/>
        <w:rPr>
          <w:rFonts w:cs="Arial"/>
          <w:bCs/>
          <w:szCs w:val="20"/>
        </w:rPr>
      </w:pPr>
      <w:r w:rsidRPr="005D2468">
        <w:rPr>
          <w:rFonts w:cs="Arial" w:hint="eastAsia"/>
          <w:bCs/>
          <w:szCs w:val="20"/>
        </w:rPr>
        <w:t>S</w:t>
      </w:r>
      <w:r w:rsidRPr="005D2468">
        <w:rPr>
          <w:rFonts w:cs="Arial"/>
          <w:bCs/>
          <w:szCs w:val="20"/>
        </w:rPr>
        <w:t xml:space="preserve">upplementary Figure S8. </w:t>
      </w:r>
    </w:p>
    <w:p w:rsidR="00BA5F24" w:rsidRDefault="00BA5F24" w:rsidP="0089307B">
      <w:pPr>
        <w:spacing w:line="360" w:lineRule="auto"/>
        <w:rPr>
          <w:rFonts w:cs="Arial"/>
          <w:bCs/>
          <w:szCs w:val="20"/>
        </w:rPr>
      </w:pPr>
      <w:r w:rsidRPr="005D2468">
        <w:rPr>
          <w:rFonts w:cs="Arial" w:hint="eastAsia"/>
          <w:bCs/>
          <w:szCs w:val="20"/>
        </w:rPr>
        <w:t>S</w:t>
      </w:r>
      <w:r w:rsidRPr="005D2468">
        <w:rPr>
          <w:rFonts w:cs="Arial"/>
          <w:bCs/>
          <w:szCs w:val="20"/>
        </w:rPr>
        <w:t>upplementary Table S</w:t>
      </w:r>
      <w:r w:rsidR="0089307B">
        <w:rPr>
          <w:rFonts w:cs="Arial"/>
          <w:bCs/>
          <w:szCs w:val="20"/>
        </w:rPr>
        <w:t>2-3</w:t>
      </w:r>
      <w:r w:rsidRPr="005D2468">
        <w:rPr>
          <w:rFonts w:cs="Arial"/>
          <w:bCs/>
          <w:szCs w:val="20"/>
        </w:rPr>
        <w:t xml:space="preserve">. </w:t>
      </w:r>
    </w:p>
    <w:p w:rsidR="0089307B" w:rsidRDefault="0089307B" w:rsidP="00BA5F24">
      <w:pPr>
        <w:spacing w:line="360" w:lineRule="auto"/>
        <w:rPr>
          <w:rFonts w:cs="Arial"/>
          <w:bCs/>
          <w:szCs w:val="20"/>
        </w:rPr>
      </w:pPr>
    </w:p>
    <w:p w:rsidR="0089307B" w:rsidRDefault="0089307B" w:rsidP="00BA5F24">
      <w:pPr>
        <w:spacing w:line="36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Supplementary Table S1 and Supplementary Video S1-4 are not included in this Supplementary Material File. The legends for Supplementary Table S1 and Supplementary Video S1-4 are included here.</w:t>
      </w:r>
    </w:p>
    <w:p w:rsidR="0089307B" w:rsidRPr="0089307B" w:rsidRDefault="0089307B" w:rsidP="00BA5F24">
      <w:pPr>
        <w:spacing w:line="360" w:lineRule="auto"/>
        <w:rPr>
          <w:rFonts w:cs="Arial"/>
          <w:bCs/>
          <w:szCs w:val="20"/>
        </w:rPr>
      </w:pPr>
    </w:p>
    <w:p w:rsidR="0089307B" w:rsidRDefault="0089307B">
      <w:pPr>
        <w:widowControl/>
        <w:spacing w:after="160" w:line="259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br w:type="page"/>
      </w:r>
    </w:p>
    <w:p w:rsidR="00F80462" w:rsidRPr="005D2468" w:rsidRDefault="00F80462" w:rsidP="00F80462">
      <w:pPr>
        <w:spacing w:line="480" w:lineRule="auto"/>
        <w:rPr>
          <w:rFonts w:cs="Arial"/>
          <w:b/>
          <w:bCs/>
          <w:sz w:val="24"/>
        </w:rPr>
      </w:pPr>
      <w:r w:rsidRPr="005D2468">
        <w:rPr>
          <w:rFonts w:cs="Arial" w:hint="eastAsia"/>
          <w:b/>
          <w:bCs/>
          <w:sz w:val="24"/>
        </w:rPr>
        <w:lastRenderedPageBreak/>
        <w:t>S</w:t>
      </w:r>
      <w:r w:rsidRPr="005D2468">
        <w:rPr>
          <w:rFonts w:cs="Arial"/>
          <w:b/>
          <w:bCs/>
          <w:sz w:val="24"/>
        </w:rPr>
        <w:t>upplementary figure legend</w:t>
      </w:r>
    </w:p>
    <w:p w:rsidR="00E73FCA" w:rsidRPr="005D2468" w:rsidRDefault="00750680" w:rsidP="00E73FCA">
      <w:pPr>
        <w:spacing w:line="480" w:lineRule="auto"/>
        <w:rPr>
          <w:rFonts w:cs="Arial"/>
          <w:szCs w:val="20"/>
        </w:rPr>
      </w:pPr>
      <w:r>
        <w:rPr>
          <w:rFonts w:cs="Arial"/>
          <w:noProof/>
          <w:szCs w:val="20"/>
        </w:rPr>
        <w:drawing>
          <wp:inline distT="0" distB="0" distL="0" distR="0">
            <wp:extent cx="5396230" cy="366077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vised Supplementary Figure 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66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FCA" w:rsidRPr="005D2468" w:rsidRDefault="00E73FCA" w:rsidP="00E73FCA">
      <w:pPr>
        <w:spacing w:line="480" w:lineRule="auto"/>
        <w:rPr>
          <w:rFonts w:cs="Arial"/>
          <w:b/>
          <w:bCs/>
          <w:szCs w:val="22"/>
        </w:rPr>
      </w:pPr>
      <w:r w:rsidRPr="005D2468">
        <w:rPr>
          <w:rFonts w:cs="Arial" w:hint="eastAsia"/>
          <w:b/>
          <w:bCs/>
          <w:szCs w:val="20"/>
        </w:rPr>
        <w:t>S</w:t>
      </w:r>
      <w:r w:rsidRPr="005D2468">
        <w:rPr>
          <w:rFonts w:cs="Arial"/>
          <w:b/>
          <w:bCs/>
          <w:szCs w:val="20"/>
        </w:rPr>
        <w:t xml:space="preserve">upplementary Figure S1. Cell-cell interaction between MCF10A and MDA-MB-231 cells </w:t>
      </w:r>
      <w:r w:rsidRPr="005D2468">
        <w:rPr>
          <w:rFonts w:cs="Arial"/>
          <w:b/>
          <w:bCs/>
          <w:i/>
          <w:iCs/>
          <w:szCs w:val="20"/>
        </w:rPr>
        <w:t>in vitro</w:t>
      </w:r>
      <w:r w:rsidRPr="005D2468">
        <w:rPr>
          <w:rFonts w:cs="Arial"/>
          <w:b/>
          <w:bCs/>
          <w:szCs w:val="20"/>
        </w:rPr>
        <w:t xml:space="preserve"> and </w:t>
      </w:r>
      <w:r w:rsidRPr="005D2468">
        <w:rPr>
          <w:rFonts w:cs="Arial"/>
          <w:b/>
          <w:bCs/>
          <w:i/>
          <w:iCs/>
          <w:szCs w:val="20"/>
        </w:rPr>
        <w:t>in vivo</w:t>
      </w:r>
      <w:r w:rsidRPr="005D2468">
        <w:rPr>
          <w:rFonts w:cs="Arial"/>
          <w:b/>
          <w:bCs/>
          <w:szCs w:val="20"/>
        </w:rPr>
        <w:t>.</w:t>
      </w:r>
      <w:r w:rsidRPr="005D2468">
        <w:rPr>
          <w:rFonts w:cs="Arial"/>
          <w:b/>
          <w:bCs/>
          <w:szCs w:val="22"/>
        </w:rPr>
        <w:t xml:space="preserve"> </w:t>
      </w:r>
    </w:p>
    <w:p w:rsidR="00E73FCA" w:rsidRPr="005D2468" w:rsidRDefault="00E73FCA" w:rsidP="00E73FCA">
      <w:pPr>
        <w:spacing w:line="480" w:lineRule="auto"/>
        <w:rPr>
          <w:rFonts w:cs="Arial"/>
          <w:szCs w:val="22"/>
        </w:rPr>
      </w:pPr>
      <w:r w:rsidRPr="005D2468">
        <w:rPr>
          <w:rFonts w:cs="Arial" w:hint="eastAsia"/>
          <w:b/>
          <w:bCs/>
          <w:szCs w:val="22"/>
        </w:rPr>
        <w:t>a</w:t>
      </w:r>
      <w:r w:rsidRPr="005D2468">
        <w:rPr>
          <w:rFonts w:cs="Arial"/>
          <w:szCs w:val="22"/>
        </w:rPr>
        <w:t xml:space="preserve">. Images of the MCF10A (green) and MDA-MB-231 (red) cells during the </w:t>
      </w:r>
      <w:r w:rsidRPr="005D2468">
        <w:rPr>
          <w:rFonts w:cs="Arial"/>
          <w:i/>
          <w:szCs w:val="22"/>
        </w:rPr>
        <w:t>in vitro</w:t>
      </w:r>
      <w:r w:rsidRPr="005D2468">
        <w:rPr>
          <w:rFonts w:cs="Arial"/>
          <w:iCs/>
          <w:szCs w:val="22"/>
        </w:rPr>
        <w:t xml:space="preserve"> direct co-culture are shown.</w:t>
      </w:r>
      <w:r w:rsidRPr="005D2468">
        <w:rPr>
          <w:rFonts w:cs="Arial"/>
          <w:szCs w:val="22"/>
        </w:rPr>
        <w:t xml:space="preserve"> </w:t>
      </w:r>
      <w:r w:rsidRPr="005D2468">
        <w:rPr>
          <w:rFonts w:cs="Arial"/>
          <w:b/>
          <w:bCs/>
          <w:szCs w:val="22"/>
        </w:rPr>
        <w:t>b</w:t>
      </w:r>
      <w:r w:rsidRPr="005D2468">
        <w:rPr>
          <w:rFonts w:cs="Arial"/>
          <w:szCs w:val="22"/>
        </w:rPr>
        <w:t xml:space="preserve">. The frequency of microscopically detectable direct cell-cell interaction between MCF10A and MDA-MB-231 cells. </w:t>
      </w:r>
      <w:r w:rsidRPr="005D2468">
        <w:rPr>
          <w:rFonts w:cs="Arial"/>
          <w:b/>
          <w:bCs/>
          <w:szCs w:val="22"/>
        </w:rPr>
        <w:t>c</w:t>
      </w:r>
      <w:r w:rsidRPr="005D2468">
        <w:rPr>
          <w:rFonts w:cs="Arial"/>
          <w:szCs w:val="22"/>
        </w:rPr>
        <w:t xml:space="preserve">. </w:t>
      </w:r>
      <w:r w:rsidRPr="005D2468">
        <w:rPr>
          <w:rFonts w:cs="Arial" w:hint="eastAsia"/>
          <w:szCs w:val="22"/>
        </w:rPr>
        <w:t>M</w:t>
      </w:r>
      <w:r w:rsidRPr="005D2468">
        <w:rPr>
          <w:rFonts w:cs="Arial"/>
          <w:szCs w:val="22"/>
        </w:rPr>
        <w:t xml:space="preserve">DA-MB-231 cancer cell (red) and MCF10A (green) were co-cultured for 3 days and then they were separated by FACS sorter. The ratio of </w:t>
      </w:r>
      <w:r w:rsidRPr="005D2468">
        <w:rPr>
          <w:rFonts w:cs="Arial" w:hint="eastAsia"/>
          <w:szCs w:val="22"/>
        </w:rPr>
        <w:t>M</w:t>
      </w:r>
      <w:r w:rsidRPr="005D2468">
        <w:rPr>
          <w:rFonts w:cs="Arial"/>
          <w:szCs w:val="22"/>
        </w:rPr>
        <w:t xml:space="preserve">DA-MB-231 cancer cells: MCF10A cells was 7:3. </w:t>
      </w:r>
      <w:r w:rsidRPr="005D2468">
        <w:rPr>
          <w:rFonts w:cs="Arial"/>
          <w:b/>
          <w:bCs/>
          <w:szCs w:val="22"/>
        </w:rPr>
        <w:t>d</w:t>
      </w:r>
      <w:r w:rsidRPr="005D2468">
        <w:rPr>
          <w:rFonts w:cs="Arial"/>
          <w:szCs w:val="22"/>
        </w:rPr>
        <w:t xml:space="preserve">. The frequency of microscopically detectable direct </w:t>
      </w:r>
      <w:r w:rsidRPr="005D2468">
        <w:rPr>
          <w:rFonts w:cs="Arial"/>
          <w:i/>
          <w:iCs/>
          <w:szCs w:val="22"/>
        </w:rPr>
        <w:t>in vivo</w:t>
      </w:r>
      <w:r w:rsidRPr="005D2468">
        <w:rPr>
          <w:rFonts w:cs="Arial"/>
          <w:szCs w:val="22"/>
        </w:rPr>
        <w:t xml:space="preserve"> cell-cell interaction between the MCF10A (green) and MDA-MB-231 (red) at 1hr and 24 hours after the co-injection in mouse earlobe.</w:t>
      </w:r>
    </w:p>
    <w:p w:rsidR="00E73FCA" w:rsidRDefault="00E73FCA" w:rsidP="00E73FCA">
      <w:pPr>
        <w:spacing w:line="480" w:lineRule="auto"/>
        <w:rPr>
          <w:rFonts w:cs="Arial"/>
          <w:b/>
          <w:bCs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0"/>
        </w:rPr>
      </w:pPr>
    </w:p>
    <w:p w:rsidR="00750680" w:rsidRPr="005D2468" w:rsidRDefault="00750680" w:rsidP="00E73FCA">
      <w:pPr>
        <w:spacing w:line="480" w:lineRule="auto"/>
        <w:rPr>
          <w:rFonts w:cs="Arial"/>
          <w:b/>
          <w:bCs/>
          <w:szCs w:val="20"/>
        </w:rPr>
      </w:pPr>
      <w:r>
        <w:rPr>
          <w:rFonts w:cs="Arial" w:hint="eastAsia"/>
          <w:b/>
          <w:bCs/>
          <w:noProof/>
          <w:szCs w:val="20"/>
        </w:rPr>
        <w:lastRenderedPageBreak/>
        <w:drawing>
          <wp:inline distT="0" distB="0" distL="0" distR="0">
            <wp:extent cx="5396230" cy="8094345"/>
            <wp:effectExtent l="0" t="0" r="0" b="190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vised Supplementary Figure S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809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FCA" w:rsidRPr="005D2468" w:rsidRDefault="00E73FCA" w:rsidP="00E73FCA">
      <w:pPr>
        <w:spacing w:line="480" w:lineRule="auto"/>
        <w:rPr>
          <w:rFonts w:cs="Arial"/>
          <w:b/>
          <w:bCs/>
          <w:szCs w:val="20"/>
        </w:rPr>
      </w:pPr>
      <w:r w:rsidRPr="005D2468">
        <w:rPr>
          <w:rFonts w:cs="Arial" w:hint="eastAsia"/>
          <w:b/>
          <w:bCs/>
          <w:szCs w:val="20"/>
        </w:rPr>
        <w:lastRenderedPageBreak/>
        <w:t>S</w:t>
      </w:r>
      <w:r w:rsidRPr="005D2468">
        <w:rPr>
          <w:rFonts w:cs="Arial"/>
          <w:b/>
          <w:bCs/>
          <w:szCs w:val="20"/>
        </w:rPr>
        <w:t>upplementary Figure S2. The effect of in-direct co-culture effect on MCF10A cells.</w:t>
      </w:r>
    </w:p>
    <w:p w:rsidR="00E73FCA" w:rsidRPr="005D2468" w:rsidRDefault="00E73FCA" w:rsidP="00E73FCA">
      <w:pPr>
        <w:spacing w:line="480" w:lineRule="auto"/>
        <w:rPr>
          <w:rFonts w:cs="Arial"/>
          <w:szCs w:val="20"/>
        </w:rPr>
      </w:pPr>
      <w:r w:rsidRPr="005D2468">
        <w:rPr>
          <w:rFonts w:cs="Arial"/>
          <w:b/>
          <w:bCs/>
          <w:szCs w:val="20"/>
        </w:rPr>
        <w:t>a</w:t>
      </w:r>
      <w:r w:rsidRPr="005D2468">
        <w:rPr>
          <w:rFonts w:cs="Arial"/>
          <w:szCs w:val="20"/>
        </w:rPr>
        <w:t xml:space="preserve">. Light microscopic images (upper) and F-actin staining (lower) to present cellular morphology of MCF10A cells after the direct co-culture with MCF7 and MDA-MB-231 breast cancer cells. </w:t>
      </w:r>
      <w:r w:rsidRPr="005D2468">
        <w:rPr>
          <w:rFonts w:cs="Arial"/>
          <w:b/>
          <w:bCs/>
          <w:szCs w:val="20"/>
        </w:rPr>
        <w:t>b</w:t>
      </w:r>
      <w:r w:rsidRPr="005D2468">
        <w:rPr>
          <w:rFonts w:cs="Arial"/>
          <w:szCs w:val="20"/>
        </w:rPr>
        <w:t xml:space="preserve">. Relative growth rate of indirectly co-cultured MCF10A cells was measured based on ATP level with CellTiter-Glo reagent. </w:t>
      </w:r>
      <w:r w:rsidRPr="005D2468">
        <w:rPr>
          <w:rFonts w:cs="Arial"/>
          <w:bCs/>
          <w:szCs w:val="22"/>
        </w:rPr>
        <w:t>The representative images of transwell migration assay (</w:t>
      </w:r>
      <w:r w:rsidRPr="005D2468">
        <w:rPr>
          <w:rFonts w:cs="Arial"/>
          <w:b/>
          <w:szCs w:val="22"/>
        </w:rPr>
        <w:t>c</w:t>
      </w:r>
      <w:r w:rsidRPr="005D2468">
        <w:rPr>
          <w:rFonts w:cs="Arial"/>
          <w:bCs/>
          <w:szCs w:val="22"/>
        </w:rPr>
        <w:t>) and the mRNA expression level of epithelial-mesenchymal transition markers (</w:t>
      </w:r>
      <w:r w:rsidRPr="005D2468">
        <w:rPr>
          <w:rFonts w:cs="Arial"/>
          <w:b/>
          <w:szCs w:val="22"/>
        </w:rPr>
        <w:t>d</w:t>
      </w:r>
      <w:r w:rsidRPr="005D2468">
        <w:rPr>
          <w:rFonts w:cs="Arial"/>
          <w:bCs/>
          <w:szCs w:val="22"/>
        </w:rPr>
        <w:t xml:space="preserve">) in MCF10A after in-direct co-culture with MDA-MB-231. </w:t>
      </w:r>
      <w:r w:rsidRPr="005D2468">
        <w:rPr>
          <w:rFonts w:cs="Arial"/>
          <w:b/>
          <w:szCs w:val="22"/>
        </w:rPr>
        <w:t>e</w:t>
      </w:r>
      <w:r w:rsidRPr="005D2468">
        <w:rPr>
          <w:rFonts w:cs="Arial"/>
          <w:bCs/>
          <w:szCs w:val="22"/>
        </w:rPr>
        <w:t xml:space="preserve">. The representative images of the three-dimensional matrigel culture assay for MCF10A cells after the in-direct co-culture with MCF7 or MDA-MB-231. </w:t>
      </w:r>
      <w:r w:rsidRPr="005D2468">
        <w:rPr>
          <w:rFonts w:cs="Arial"/>
          <w:b/>
          <w:bCs/>
          <w:szCs w:val="22"/>
        </w:rPr>
        <w:t>f</w:t>
      </w:r>
      <w:r w:rsidRPr="005D2468">
        <w:rPr>
          <w:rFonts w:cs="Arial"/>
          <w:bCs/>
          <w:szCs w:val="22"/>
        </w:rPr>
        <w:t xml:space="preserve">. The representative image (left) and the quantification results (right) of colony forming assay. </w:t>
      </w:r>
    </w:p>
    <w:p w:rsidR="00FF036A" w:rsidRDefault="00FF036A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szCs w:val="22"/>
        </w:rPr>
      </w:pPr>
    </w:p>
    <w:p w:rsidR="00750680" w:rsidRPr="005D2468" w:rsidRDefault="00750680" w:rsidP="00E73FCA">
      <w:pPr>
        <w:spacing w:line="480" w:lineRule="auto"/>
        <w:rPr>
          <w:rFonts w:cs="Arial"/>
          <w:szCs w:val="22"/>
        </w:rPr>
      </w:pPr>
      <w:r>
        <w:rPr>
          <w:rFonts w:cs="Arial" w:hint="eastAsia"/>
          <w:noProof/>
          <w:szCs w:val="22"/>
        </w:rPr>
        <w:lastRenderedPageBreak/>
        <w:drawing>
          <wp:inline distT="0" distB="0" distL="0" distR="0">
            <wp:extent cx="5396230" cy="8094345"/>
            <wp:effectExtent l="0" t="0" r="0" b="190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vised Supplementary Figure S3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809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FCA" w:rsidRPr="005D2468" w:rsidRDefault="00E73FCA" w:rsidP="00E73FCA">
      <w:pPr>
        <w:spacing w:line="480" w:lineRule="auto"/>
        <w:rPr>
          <w:rFonts w:cs="Arial"/>
          <w:b/>
          <w:bCs/>
          <w:szCs w:val="20"/>
        </w:rPr>
      </w:pPr>
      <w:r w:rsidRPr="005D2468">
        <w:rPr>
          <w:rFonts w:cs="Arial" w:hint="eastAsia"/>
          <w:b/>
          <w:bCs/>
          <w:szCs w:val="20"/>
        </w:rPr>
        <w:lastRenderedPageBreak/>
        <w:t>S</w:t>
      </w:r>
      <w:r w:rsidRPr="005D2468">
        <w:rPr>
          <w:rFonts w:cs="Arial"/>
          <w:b/>
          <w:bCs/>
          <w:szCs w:val="20"/>
        </w:rPr>
        <w:t>upplementary Figure S3. The effect of conditioned media and extracellular vesicles from MDA-MB-231 cells on MCF10A cells</w:t>
      </w:r>
    </w:p>
    <w:p w:rsidR="00E73FCA" w:rsidRPr="005D2468" w:rsidRDefault="00E73FCA" w:rsidP="00E73FCA">
      <w:pPr>
        <w:spacing w:line="480" w:lineRule="auto"/>
        <w:rPr>
          <w:rFonts w:cs="Arial"/>
          <w:szCs w:val="20"/>
        </w:rPr>
      </w:pPr>
      <w:r w:rsidRPr="005D2468">
        <w:rPr>
          <w:rFonts w:cs="Arial"/>
          <w:b/>
          <w:bCs/>
          <w:szCs w:val="20"/>
        </w:rPr>
        <w:t>a</w:t>
      </w:r>
      <w:r w:rsidRPr="005D2468">
        <w:rPr>
          <w:rFonts w:cs="Arial"/>
          <w:szCs w:val="20"/>
        </w:rPr>
        <w:t xml:space="preserve">. The expression levels of epithelial-mesenchymal transition (EMT) markers measured by qPCR in MCF10A cells after the direct co-culture with MDA-MB-231 cells. </w:t>
      </w:r>
      <w:r w:rsidRPr="005D2468">
        <w:rPr>
          <w:rFonts w:cs="Arial"/>
          <w:b/>
          <w:bCs/>
          <w:szCs w:val="20"/>
        </w:rPr>
        <w:t>b</w:t>
      </w:r>
      <w:r w:rsidRPr="005D2468">
        <w:rPr>
          <w:rFonts w:cs="Arial"/>
          <w:szCs w:val="20"/>
        </w:rPr>
        <w:t xml:space="preserve">. Cell morphology of MCF10A after MDA-MB-231 conditioned media treatment (light microscopic feature (upper) and F-actin staining (lower)). </w:t>
      </w:r>
      <w:r w:rsidRPr="005D2468">
        <w:rPr>
          <w:rFonts w:cs="Arial"/>
          <w:b/>
          <w:bCs/>
          <w:szCs w:val="20"/>
        </w:rPr>
        <w:t>c</w:t>
      </w:r>
      <w:r w:rsidRPr="005D2468">
        <w:rPr>
          <w:rFonts w:cs="Arial"/>
          <w:szCs w:val="20"/>
        </w:rPr>
        <w:t xml:space="preserve">. The EMT marker expression in MCF10A cells after MDA-MB-231 cell conditioned media treatment measured by qPCR. </w:t>
      </w:r>
      <w:r w:rsidRPr="005D2468">
        <w:rPr>
          <w:rFonts w:cs="Arial"/>
          <w:b/>
          <w:bCs/>
          <w:szCs w:val="20"/>
        </w:rPr>
        <w:t>d</w:t>
      </w:r>
      <w:r w:rsidRPr="005D2468">
        <w:rPr>
          <w:rFonts w:cs="Arial"/>
          <w:szCs w:val="20"/>
        </w:rPr>
        <w:t xml:space="preserve">. The representative images (upper) and quantified results (lower) of transwell migration assay. </w:t>
      </w:r>
      <w:r w:rsidRPr="005D2468">
        <w:rPr>
          <w:rFonts w:cs="Arial"/>
          <w:b/>
          <w:bCs/>
          <w:szCs w:val="20"/>
        </w:rPr>
        <w:t>e</w:t>
      </w:r>
      <w:r w:rsidRPr="005D2468">
        <w:rPr>
          <w:rFonts w:cs="Arial"/>
          <w:szCs w:val="20"/>
        </w:rPr>
        <w:t>. MCF10A cell growth under serum starvation with or without the conditioned media from MDA-MB-231 cells. Relative proliferation (</w:t>
      </w:r>
      <w:r w:rsidRPr="005D2468">
        <w:rPr>
          <w:rFonts w:cs="Arial"/>
          <w:b/>
          <w:bCs/>
          <w:szCs w:val="20"/>
        </w:rPr>
        <w:t>f</w:t>
      </w:r>
      <w:r w:rsidRPr="005D2468">
        <w:rPr>
          <w:rFonts w:cs="Arial"/>
          <w:szCs w:val="20"/>
        </w:rPr>
        <w:t>) and wound healing assay (</w:t>
      </w:r>
      <w:r w:rsidRPr="005D2468">
        <w:rPr>
          <w:rFonts w:cs="Arial"/>
          <w:b/>
          <w:bCs/>
          <w:szCs w:val="20"/>
        </w:rPr>
        <w:t>g</w:t>
      </w:r>
      <w:r w:rsidRPr="005D2468">
        <w:rPr>
          <w:rFonts w:cs="Arial"/>
          <w:szCs w:val="20"/>
        </w:rPr>
        <w:t xml:space="preserve">) after treatment of purified extracellular vesicles obtained from MDA-MB-231 cells. </w:t>
      </w:r>
      <w:r w:rsidRPr="005D2468">
        <w:rPr>
          <w:rFonts w:cs="Arial"/>
          <w:b/>
          <w:bCs/>
          <w:szCs w:val="20"/>
        </w:rPr>
        <w:t>h</w:t>
      </w:r>
      <w:r w:rsidRPr="005D2468">
        <w:rPr>
          <w:rFonts w:cs="Arial"/>
          <w:szCs w:val="20"/>
        </w:rPr>
        <w:t>. The table summarizes the results of various in vitro assays comparing the effect of the direct co-culture, in-direct co-culture, and conditioned media treatment on MCF10A cells.</w:t>
      </w:r>
    </w:p>
    <w:p w:rsidR="00E73FCA" w:rsidRDefault="00E73FCA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  <w:r>
        <w:rPr>
          <w:rFonts w:cs="Arial"/>
          <w:noProof/>
          <w:szCs w:val="20"/>
        </w:rPr>
        <w:lastRenderedPageBreak/>
        <w:drawing>
          <wp:inline distT="0" distB="0" distL="0" distR="0">
            <wp:extent cx="5396230" cy="8094345"/>
            <wp:effectExtent l="0" t="0" r="0" b="190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vised Supplementary Figure S4-4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809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FCA" w:rsidRPr="005D2468" w:rsidRDefault="00E73FCA" w:rsidP="00E73FCA">
      <w:pPr>
        <w:spacing w:line="480" w:lineRule="auto"/>
        <w:rPr>
          <w:rFonts w:cs="Arial"/>
          <w:b/>
          <w:bCs/>
          <w:szCs w:val="20"/>
        </w:rPr>
      </w:pPr>
      <w:r w:rsidRPr="005D2468">
        <w:rPr>
          <w:rFonts w:cs="Arial" w:hint="eastAsia"/>
          <w:b/>
          <w:bCs/>
          <w:szCs w:val="20"/>
        </w:rPr>
        <w:lastRenderedPageBreak/>
        <w:t>S</w:t>
      </w:r>
      <w:r w:rsidRPr="005D2468">
        <w:rPr>
          <w:rFonts w:cs="Arial"/>
          <w:b/>
          <w:bCs/>
          <w:szCs w:val="20"/>
        </w:rPr>
        <w:t>upplementary Figure S4. S100A8 expression and MCF10A cell phenotypes.</w:t>
      </w:r>
    </w:p>
    <w:p w:rsidR="00E73FCA" w:rsidRDefault="00E73FCA" w:rsidP="00E73FCA">
      <w:pPr>
        <w:spacing w:line="480" w:lineRule="auto"/>
        <w:rPr>
          <w:rFonts w:cs="Arial"/>
          <w:szCs w:val="20"/>
        </w:rPr>
      </w:pPr>
      <w:r w:rsidRPr="005D2468">
        <w:rPr>
          <w:rFonts w:cs="Arial"/>
          <w:b/>
          <w:bCs/>
          <w:szCs w:val="20"/>
        </w:rPr>
        <w:t>a</w:t>
      </w:r>
      <w:r w:rsidRPr="005D2468">
        <w:rPr>
          <w:rFonts w:cs="Arial"/>
          <w:bCs/>
          <w:szCs w:val="20"/>
        </w:rPr>
        <w:t>. The induction of S100A8/A9 gene expression in MCF10A cells after the conditioned media treatment (left) and in-direct co-culture (right).</w:t>
      </w:r>
      <w:r w:rsidRPr="005D2468">
        <w:rPr>
          <w:rFonts w:cs="Arial"/>
          <w:b/>
          <w:bCs/>
          <w:szCs w:val="20"/>
        </w:rPr>
        <w:t xml:space="preserve"> </w:t>
      </w:r>
      <w:r w:rsidR="00D51E3D" w:rsidRPr="005D2468">
        <w:rPr>
          <w:rFonts w:cs="Arial"/>
          <w:bCs/>
          <w:szCs w:val="20"/>
        </w:rPr>
        <w:t xml:space="preserve">Full-length blots are presented in Supplementary Figure S6. </w:t>
      </w:r>
      <w:r w:rsidRPr="005D2468">
        <w:rPr>
          <w:rFonts w:cs="Arial"/>
          <w:b/>
          <w:bCs/>
          <w:szCs w:val="20"/>
        </w:rPr>
        <w:t>b</w:t>
      </w:r>
      <w:r w:rsidRPr="005D2468">
        <w:rPr>
          <w:rFonts w:cs="Arial"/>
          <w:szCs w:val="20"/>
        </w:rPr>
        <w:t xml:space="preserve">. The myoepithelial marker CK14 staining on 4T1 tumor bearing mouse mammary fat pad. </w:t>
      </w:r>
      <w:r w:rsidRPr="005D2468">
        <w:rPr>
          <w:rFonts w:cs="Arial"/>
          <w:b/>
          <w:bCs/>
          <w:szCs w:val="20"/>
        </w:rPr>
        <w:t>c</w:t>
      </w:r>
      <w:r w:rsidRPr="005D2468">
        <w:rPr>
          <w:rFonts w:cs="Arial"/>
          <w:szCs w:val="20"/>
        </w:rPr>
        <w:t xml:space="preserve">. Western blot validation experiment showing the changes of phosphor-proteins identified by the protein array. The triplicate raw data (left) and quantification results (right) are shown. </w:t>
      </w:r>
      <w:r w:rsidR="0095530F" w:rsidRPr="005D2468">
        <w:rPr>
          <w:rFonts w:cs="Arial"/>
          <w:szCs w:val="20"/>
        </w:rPr>
        <w:t>Triplicate f</w:t>
      </w:r>
      <w:r w:rsidR="00D51E3D" w:rsidRPr="005D2468">
        <w:rPr>
          <w:rFonts w:cs="Arial"/>
          <w:bCs/>
          <w:szCs w:val="20"/>
        </w:rPr>
        <w:t>ull-length blots are pres</w:t>
      </w:r>
      <w:r w:rsidR="00AE4F29" w:rsidRPr="005D2468">
        <w:rPr>
          <w:rFonts w:cs="Arial"/>
          <w:bCs/>
          <w:szCs w:val="20"/>
        </w:rPr>
        <w:t>ented in Supplementary Figure S7</w:t>
      </w:r>
      <w:r w:rsidR="00D51E3D" w:rsidRPr="005D2468">
        <w:rPr>
          <w:rFonts w:cs="Arial"/>
          <w:bCs/>
          <w:szCs w:val="20"/>
        </w:rPr>
        <w:t xml:space="preserve">. </w:t>
      </w:r>
      <w:r w:rsidRPr="005D2468">
        <w:rPr>
          <w:rFonts w:cs="Arial"/>
          <w:b/>
          <w:szCs w:val="20"/>
        </w:rPr>
        <w:t>d</w:t>
      </w:r>
      <w:r w:rsidRPr="005D2468">
        <w:rPr>
          <w:rFonts w:cs="Arial"/>
          <w:szCs w:val="20"/>
        </w:rPr>
        <w:t xml:space="preserve">. S100A8 and S100A9 mRNA (right) and the protein (left) in S100A8 over-expressing MCF10A cells. </w:t>
      </w:r>
      <w:r w:rsidR="00D51E3D" w:rsidRPr="005D2468">
        <w:rPr>
          <w:rFonts w:cs="Arial"/>
          <w:bCs/>
          <w:szCs w:val="20"/>
        </w:rPr>
        <w:t>Full-length blots are pres</w:t>
      </w:r>
      <w:r w:rsidR="00AE4F29" w:rsidRPr="005D2468">
        <w:rPr>
          <w:rFonts w:cs="Arial"/>
          <w:bCs/>
          <w:szCs w:val="20"/>
        </w:rPr>
        <w:t>ented in Supplementary Figure S6</w:t>
      </w:r>
      <w:r w:rsidR="00D51E3D" w:rsidRPr="005D2468">
        <w:rPr>
          <w:rFonts w:cs="Arial"/>
          <w:bCs/>
          <w:szCs w:val="20"/>
        </w:rPr>
        <w:t xml:space="preserve">. </w:t>
      </w:r>
      <w:r w:rsidRPr="005D2468">
        <w:rPr>
          <w:rFonts w:cs="Arial"/>
          <w:b/>
          <w:szCs w:val="20"/>
        </w:rPr>
        <w:t>e</w:t>
      </w:r>
      <w:r w:rsidRPr="005D2468">
        <w:rPr>
          <w:rFonts w:cs="Arial"/>
          <w:szCs w:val="20"/>
        </w:rPr>
        <w:t xml:space="preserve">. Cell morphological change in S100A8 over-expressing MCF10A cells. </w:t>
      </w:r>
      <w:r w:rsidRPr="005D2468">
        <w:rPr>
          <w:rFonts w:cs="Arial"/>
          <w:b/>
          <w:szCs w:val="20"/>
        </w:rPr>
        <w:t>f</w:t>
      </w:r>
      <w:r w:rsidRPr="005D2468">
        <w:rPr>
          <w:rFonts w:cs="Arial"/>
          <w:szCs w:val="20"/>
        </w:rPr>
        <w:t xml:space="preserve">. SiRNA-mediated gene silencing of S100A8 gene mRNA measured by qPCR. </w:t>
      </w:r>
      <w:r w:rsidRPr="005D2468">
        <w:rPr>
          <w:rFonts w:cs="Arial"/>
          <w:b/>
          <w:szCs w:val="20"/>
        </w:rPr>
        <w:t>g</w:t>
      </w:r>
      <w:r w:rsidRPr="005D2468">
        <w:rPr>
          <w:rFonts w:cs="Arial"/>
          <w:szCs w:val="20"/>
        </w:rPr>
        <w:t xml:space="preserve">. MCF10A cell proliferation after siS100A8 treatment </w:t>
      </w:r>
      <w:r w:rsidRPr="005D2468">
        <w:rPr>
          <w:rFonts w:cs="Arial"/>
          <w:bCs/>
          <w:szCs w:val="22"/>
        </w:rPr>
        <w:t>determined based on ATP level with CellTiter-Glo reagent.</w:t>
      </w:r>
      <w:r w:rsidRPr="005D2468">
        <w:rPr>
          <w:rFonts w:cs="Arial"/>
          <w:szCs w:val="20"/>
        </w:rPr>
        <w:t xml:space="preserve"> </w:t>
      </w: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</w:p>
    <w:p w:rsidR="00750680" w:rsidRDefault="00750680" w:rsidP="00E73FCA">
      <w:pPr>
        <w:spacing w:line="480" w:lineRule="auto"/>
        <w:rPr>
          <w:rFonts w:cs="Arial"/>
          <w:szCs w:val="20"/>
        </w:rPr>
      </w:pPr>
      <w:r>
        <w:rPr>
          <w:rFonts w:cs="Arial"/>
          <w:noProof/>
          <w:szCs w:val="20"/>
        </w:rPr>
        <w:lastRenderedPageBreak/>
        <w:drawing>
          <wp:inline distT="0" distB="0" distL="0" distR="0">
            <wp:extent cx="5396230" cy="2940050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vised Supplementary Figure S5-2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FCA" w:rsidRPr="005D2468" w:rsidRDefault="00E73FCA" w:rsidP="00E73FCA">
      <w:pPr>
        <w:spacing w:line="480" w:lineRule="auto"/>
        <w:rPr>
          <w:rFonts w:cs="Arial"/>
          <w:b/>
          <w:bCs/>
          <w:sz w:val="24"/>
        </w:rPr>
      </w:pPr>
      <w:r w:rsidRPr="005D2468">
        <w:rPr>
          <w:rFonts w:cs="Arial" w:hint="eastAsia"/>
          <w:b/>
          <w:bCs/>
          <w:sz w:val="24"/>
        </w:rPr>
        <w:t>S</w:t>
      </w:r>
      <w:r w:rsidRPr="005D2468">
        <w:rPr>
          <w:rFonts w:cs="Arial"/>
          <w:b/>
          <w:bCs/>
          <w:sz w:val="24"/>
        </w:rPr>
        <w:t>upplementary Figure S5. S100A overexpression and signaling pathways.</w:t>
      </w:r>
    </w:p>
    <w:p w:rsidR="00E73FCA" w:rsidRPr="005D2468" w:rsidRDefault="00E73FCA" w:rsidP="00E73FCA">
      <w:pPr>
        <w:spacing w:line="480" w:lineRule="auto"/>
        <w:rPr>
          <w:rFonts w:cs="Arial"/>
          <w:szCs w:val="20"/>
        </w:rPr>
      </w:pPr>
      <w:r w:rsidRPr="005D2468">
        <w:rPr>
          <w:rFonts w:cs="Arial" w:hint="eastAsia"/>
          <w:b/>
          <w:bCs/>
          <w:sz w:val="24"/>
        </w:rPr>
        <w:t xml:space="preserve">a. </w:t>
      </w:r>
      <w:r w:rsidRPr="005D2468">
        <w:rPr>
          <w:rFonts w:cs="Arial"/>
          <w:szCs w:val="20"/>
        </w:rPr>
        <w:t>Western blot validation experiment showing the changes of phosphor-proteins in S100A8-overexpressing MCF10A cells. The triplicate raw data (left) and quantification results (right) are shown.</w:t>
      </w:r>
      <w:r w:rsidR="00D51E3D" w:rsidRPr="005D2468">
        <w:rPr>
          <w:rFonts w:cs="Arial"/>
          <w:szCs w:val="20"/>
        </w:rPr>
        <w:t xml:space="preserve"> </w:t>
      </w:r>
      <w:r w:rsidR="0084695B" w:rsidRPr="005D2468">
        <w:rPr>
          <w:rFonts w:cs="Arial"/>
          <w:szCs w:val="20"/>
        </w:rPr>
        <w:t>Triplicate f</w:t>
      </w:r>
      <w:r w:rsidR="00D51E3D" w:rsidRPr="005D2468">
        <w:rPr>
          <w:rFonts w:cs="Arial"/>
          <w:bCs/>
          <w:szCs w:val="20"/>
        </w:rPr>
        <w:t>ull-length blots are presented in Supplementary Figure S</w:t>
      </w:r>
      <w:r w:rsidR="00AE4F29" w:rsidRPr="005D2468">
        <w:rPr>
          <w:rFonts w:cs="Arial"/>
          <w:bCs/>
          <w:szCs w:val="20"/>
        </w:rPr>
        <w:t>8</w:t>
      </w:r>
      <w:r w:rsidR="00D51E3D" w:rsidRPr="005D2468">
        <w:rPr>
          <w:rFonts w:cs="Arial"/>
          <w:bCs/>
          <w:szCs w:val="20"/>
        </w:rPr>
        <w:t>.</w:t>
      </w:r>
    </w:p>
    <w:p w:rsidR="00FF036A" w:rsidRDefault="00FF036A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F533E6" w:rsidP="00E73FCA">
      <w:pPr>
        <w:spacing w:line="480" w:lineRule="auto"/>
        <w:rPr>
          <w:rFonts w:cs="Arial"/>
          <w:b/>
          <w:bCs/>
          <w:sz w:val="24"/>
        </w:rPr>
      </w:pPr>
      <w:r>
        <w:rPr>
          <w:rFonts w:cs="Arial"/>
          <w:b/>
          <w:bCs/>
          <w:noProof/>
          <w:sz w:val="24"/>
        </w:rPr>
        <w:lastRenderedPageBreak/>
        <w:drawing>
          <wp:inline distT="0" distB="0" distL="0" distR="0">
            <wp:extent cx="5396230" cy="8199120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vised Supplementary Figure S6-5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819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3B6" w:rsidRPr="005D2468" w:rsidRDefault="005B13B6" w:rsidP="00E73FCA">
      <w:pPr>
        <w:spacing w:line="480" w:lineRule="auto"/>
        <w:rPr>
          <w:rFonts w:cs="Arial"/>
          <w:b/>
          <w:bCs/>
          <w:sz w:val="24"/>
        </w:rPr>
      </w:pPr>
      <w:r w:rsidRPr="005D2468">
        <w:rPr>
          <w:rFonts w:cs="Arial" w:hint="eastAsia"/>
          <w:b/>
          <w:bCs/>
          <w:sz w:val="24"/>
        </w:rPr>
        <w:lastRenderedPageBreak/>
        <w:t>S</w:t>
      </w:r>
      <w:r w:rsidRPr="005D2468">
        <w:rPr>
          <w:rFonts w:cs="Arial"/>
          <w:b/>
          <w:bCs/>
          <w:sz w:val="24"/>
        </w:rPr>
        <w:t xml:space="preserve">upplementary Figure S6. </w:t>
      </w:r>
      <w:r w:rsidR="00D51E3D" w:rsidRPr="005D2468">
        <w:rPr>
          <w:rFonts w:cs="Arial"/>
          <w:b/>
          <w:bCs/>
          <w:sz w:val="24"/>
        </w:rPr>
        <w:t>F</w:t>
      </w:r>
      <w:r w:rsidRPr="005D2468">
        <w:rPr>
          <w:rFonts w:cs="Arial"/>
          <w:b/>
          <w:bCs/>
          <w:sz w:val="24"/>
        </w:rPr>
        <w:t>ull-length blots/gels</w:t>
      </w:r>
    </w:p>
    <w:p w:rsidR="005B13B6" w:rsidRPr="005D2468" w:rsidRDefault="008E5849" w:rsidP="00E73FCA">
      <w:pPr>
        <w:spacing w:line="480" w:lineRule="auto"/>
        <w:rPr>
          <w:rFonts w:cs="Arial"/>
          <w:bCs/>
          <w:szCs w:val="22"/>
        </w:rPr>
      </w:pPr>
      <w:r w:rsidRPr="005D2468">
        <w:rPr>
          <w:rFonts w:cs="Arial"/>
          <w:bCs/>
          <w:szCs w:val="22"/>
        </w:rPr>
        <w:t xml:space="preserve">RT-PCR full length </w:t>
      </w:r>
      <w:r w:rsidR="00437552" w:rsidRPr="005D2468">
        <w:rPr>
          <w:rFonts w:cs="Arial"/>
          <w:bCs/>
          <w:szCs w:val="22"/>
        </w:rPr>
        <w:t xml:space="preserve">original </w:t>
      </w:r>
      <w:r w:rsidRPr="005D2468">
        <w:rPr>
          <w:rFonts w:cs="Arial"/>
          <w:bCs/>
          <w:szCs w:val="22"/>
        </w:rPr>
        <w:t>gel picture</w:t>
      </w:r>
      <w:r w:rsidR="00437552" w:rsidRPr="005D2468">
        <w:rPr>
          <w:rFonts w:cs="Arial"/>
          <w:bCs/>
          <w:szCs w:val="22"/>
        </w:rPr>
        <w:t>s</w:t>
      </w:r>
      <w:r w:rsidRPr="005D2468">
        <w:rPr>
          <w:rFonts w:cs="Arial"/>
          <w:bCs/>
          <w:szCs w:val="22"/>
        </w:rPr>
        <w:t xml:space="preserve"> of </w:t>
      </w:r>
      <w:r w:rsidRPr="005D2468">
        <w:rPr>
          <w:rFonts w:cs="Arial" w:hint="eastAsia"/>
          <w:bCs/>
          <w:szCs w:val="22"/>
        </w:rPr>
        <w:t>Figure 2b in the top</w:t>
      </w:r>
      <w:r w:rsidR="0095530F" w:rsidRPr="005D2468">
        <w:rPr>
          <w:rFonts w:cs="Arial"/>
          <w:bCs/>
          <w:szCs w:val="22"/>
        </w:rPr>
        <w:t xml:space="preserve"> are shown</w:t>
      </w:r>
      <w:r w:rsidRPr="005D2468">
        <w:rPr>
          <w:rFonts w:cs="Arial" w:hint="eastAsia"/>
          <w:bCs/>
          <w:szCs w:val="22"/>
        </w:rPr>
        <w:t xml:space="preserve">. </w:t>
      </w:r>
      <w:r w:rsidR="00437552" w:rsidRPr="005D2468">
        <w:rPr>
          <w:rFonts w:cs="Arial"/>
          <w:bCs/>
          <w:szCs w:val="22"/>
        </w:rPr>
        <w:t xml:space="preserve">Next, the blots of </w:t>
      </w:r>
      <w:r w:rsidRPr="005D2468">
        <w:rPr>
          <w:rFonts w:cs="Arial"/>
          <w:bCs/>
          <w:szCs w:val="22"/>
        </w:rPr>
        <w:t>Figure 3c</w:t>
      </w:r>
      <w:r w:rsidR="00437552" w:rsidRPr="005D2468">
        <w:rPr>
          <w:rFonts w:cs="Arial"/>
          <w:bCs/>
          <w:szCs w:val="22"/>
        </w:rPr>
        <w:t xml:space="preserve"> S100A8/A9 protein levels in MCF10A cells co-cultured with MDA-MB-231 cells are shown, but we could not find the original blot of loading control like as </w:t>
      </w:r>
      <w:r w:rsidR="00437552" w:rsidRPr="005D2468">
        <w:rPr>
          <w:rFonts w:ascii="Arial Unicode MS" w:hAnsi="Arial Unicode MS" w:cs="Arial Unicode MS" w:hint="eastAsia"/>
          <w:bCs/>
          <w:szCs w:val="22"/>
        </w:rPr>
        <w:t>β</w:t>
      </w:r>
      <w:r w:rsidR="00437552" w:rsidRPr="005D2468">
        <w:rPr>
          <w:rFonts w:cs="Arial"/>
          <w:bCs/>
          <w:szCs w:val="22"/>
        </w:rPr>
        <w:t xml:space="preserve">-actin of S100A8 blot. In the middle of figure, Figure 4l’s </w:t>
      </w:r>
      <w:r w:rsidR="0095530F" w:rsidRPr="005D2468">
        <w:rPr>
          <w:rFonts w:cs="Arial"/>
          <w:bCs/>
          <w:szCs w:val="22"/>
        </w:rPr>
        <w:t xml:space="preserve">original </w:t>
      </w:r>
      <w:r w:rsidR="00437552" w:rsidRPr="005D2468">
        <w:rPr>
          <w:rFonts w:cs="Arial"/>
          <w:bCs/>
          <w:szCs w:val="22"/>
        </w:rPr>
        <w:t>blots are shown. In the bottom of this figure</w:t>
      </w:r>
      <w:r w:rsidR="00195C0B" w:rsidRPr="005D2468">
        <w:rPr>
          <w:rFonts w:cs="Arial"/>
          <w:bCs/>
          <w:szCs w:val="22"/>
        </w:rPr>
        <w:t>,</w:t>
      </w:r>
      <w:r w:rsidR="00437552" w:rsidRPr="005D2468">
        <w:rPr>
          <w:rFonts w:cs="Arial"/>
          <w:bCs/>
          <w:szCs w:val="22"/>
        </w:rPr>
        <w:t xml:space="preserve"> Supplementary Figure S4a and S4d blots’ are shown. Used marker and ladder are included in the edge of this figure.</w:t>
      </w:r>
    </w:p>
    <w:p w:rsidR="00FF036A" w:rsidRDefault="00FF036A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Cs w:val="22"/>
        </w:rPr>
      </w:pPr>
    </w:p>
    <w:p w:rsidR="00750680" w:rsidRDefault="00A74C1F" w:rsidP="00E73FCA">
      <w:pPr>
        <w:spacing w:line="480" w:lineRule="auto"/>
        <w:rPr>
          <w:rFonts w:cs="Arial"/>
          <w:b/>
          <w:bCs/>
          <w:szCs w:val="22"/>
        </w:rPr>
      </w:pPr>
      <w:r>
        <w:rPr>
          <w:rFonts w:cs="Arial"/>
          <w:b/>
          <w:bCs/>
          <w:noProof/>
          <w:szCs w:val="22"/>
        </w:rPr>
        <w:lastRenderedPageBreak/>
        <w:drawing>
          <wp:inline distT="0" distB="0" distL="0" distR="0">
            <wp:extent cx="5363845" cy="8352790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vised Supplementary Figure S7-3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845" cy="835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F29" w:rsidRPr="005D2468" w:rsidRDefault="00AE4F29" w:rsidP="00AE4F29">
      <w:pPr>
        <w:spacing w:line="480" w:lineRule="auto"/>
        <w:rPr>
          <w:rFonts w:cs="Arial"/>
          <w:b/>
          <w:bCs/>
          <w:sz w:val="24"/>
        </w:rPr>
      </w:pPr>
      <w:r w:rsidRPr="005D2468">
        <w:rPr>
          <w:rFonts w:cs="Arial" w:hint="eastAsia"/>
          <w:b/>
          <w:bCs/>
          <w:sz w:val="24"/>
        </w:rPr>
        <w:lastRenderedPageBreak/>
        <w:t>S</w:t>
      </w:r>
      <w:r w:rsidRPr="005D2468">
        <w:rPr>
          <w:rFonts w:cs="Arial"/>
          <w:b/>
          <w:bCs/>
          <w:sz w:val="24"/>
        </w:rPr>
        <w:t>upplementary Figure S7. Full-length blots</w:t>
      </w:r>
      <w:r w:rsidR="00452568" w:rsidRPr="005D2468">
        <w:rPr>
          <w:rFonts w:cs="Arial"/>
          <w:b/>
          <w:bCs/>
          <w:sz w:val="24"/>
        </w:rPr>
        <w:t xml:space="preserve"> </w:t>
      </w:r>
      <w:r w:rsidR="00452568" w:rsidRPr="005D2468">
        <w:rPr>
          <w:rFonts w:cs="Arial" w:hint="eastAsia"/>
          <w:b/>
          <w:bCs/>
          <w:sz w:val="24"/>
        </w:rPr>
        <w:t>of S</w:t>
      </w:r>
      <w:r w:rsidR="00452568" w:rsidRPr="005D2468">
        <w:rPr>
          <w:rFonts w:cs="Arial"/>
          <w:b/>
          <w:bCs/>
          <w:sz w:val="24"/>
        </w:rPr>
        <w:t>upplementary Figure S4c</w:t>
      </w:r>
    </w:p>
    <w:p w:rsidR="00FF036A" w:rsidRPr="005D2468" w:rsidRDefault="0095530F" w:rsidP="00E73FCA">
      <w:pPr>
        <w:spacing w:line="480" w:lineRule="auto"/>
        <w:rPr>
          <w:rFonts w:cs="Arial"/>
          <w:bCs/>
          <w:szCs w:val="22"/>
        </w:rPr>
      </w:pPr>
      <w:r w:rsidRPr="005D2468">
        <w:rPr>
          <w:rFonts w:cs="Arial" w:hint="eastAsia"/>
          <w:bCs/>
          <w:szCs w:val="22"/>
        </w:rPr>
        <w:t>Full-length</w:t>
      </w:r>
      <w:r w:rsidRPr="005D2468">
        <w:rPr>
          <w:rFonts w:cs="Arial"/>
          <w:bCs/>
          <w:szCs w:val="22"/>
        </w:rPr>
        <w:t xml:space="preserve"> triplicate</w:t>
      </w:r>
      <w:r w:rsidRPr="005D2468">
        <w:rPr>
          <w:rFonts w:cs="Arial" w:hint="eastAsia"/>
          <w:bCs/>
          <w:szCs w:val="22"/>
        </w:rPr>
        <w:t xml:space="preserve"> original blots of S</w:t>
      </w:r>
      <w:r w:rsidRPr="005D2468">
        <w:rPr>
          <w:rFonts w:cs="Arial"/>
          <w:bCs/>
          <w:szCs w:val="22"/>
        </w:rPr>
        <w:t>upplementary Figure S4c western blot from MCF10A direct co-cultured with MDA-MB-</w:t>
      </w:r>
      <w:r w:rsidR="00B2194A" w:rsidRPr="005D2468">
        <w:rPr>
          <w:rFonts w:cs="Arial"/>
          <w:bCs/>
          <w:szCs w:val="22"/>
        </w:rPr>
        <w:t>231. 1: control, 2: co-cultured. I</w:t>
      </w:r>
      <w:r w:rsidR="00B2194A" w:rsidRPr="005D2468">
        <w:rPr>
          <w:rFonts w:cs="Arial" w:hint="eastAsia"/>
          <w:bCs/>
          <w:szCs w:val="22"/>
        </w:rPr>
        <w:t xml:space="preserve">n </w:t>
      </w:r>
      <w:r w:rsidR="00B2194A" w:rsidRPr="005D2468">
        <w:rPr>
          <w:rFonts w:cs="Arial"/>
          <w:bCs/>
          <w:szCs w:val="22"/>
        </w:rPr>
        <w:t>the right bottom, used marker are shown.</w:t>
      </w:r>
    </w:p>
    <w:p w:rsidR="00FF036A" w:rsidRDefault="00FF036A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Pr="005D2468" w:rsidRDefault="00A74C1F" w:rsidP="00E73FCA">
      <w:pPr>
        <w:spacing w:line="480" w:lineRule="auto"/>
        <w:rPr>
          <w:rFonts w:cs="Arial"/>
          <w:b/>
          <w:bCs/>
          <w:sz w:val="24"/>
        </w:rPr>
      </w:pPr>
      <w:r>
        <w:rPr>
          <w:rFonts w:cs="Arial" w:hint="eastAsia"/>
          <w:b/>
          <w:bCs/>
          <w:noProof/>
          <w:sz w:val="24"/>
        </w:rPr>
        <w:lastRenderedPageBreak/>
        <w:drawing>
          <wp:inline distT="0" distB="0" distL="0" distR="0">
            <wp:extent cx="5350510" cy="8352790"/>
            <wp:effectExtent l="0" t="0" r="254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vised Supplementary Figure S8-2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510" cy="835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F29" w:rsidRPr="005D2468" w:rsidRDefault="00AE4F29" w:rsidP="00AE4F29">
      <w:pPr>
        <w:spacing w:line="480" w:lineRule="auto"/>
        <w:rPr>
          <w:rFonts w:cs="Arial"/>
          <w:b/>
          <w:bCs/>
          <w:sz w:val="24"/>
        </w:rPr>
      </w:pPr>
      <w:r w:rsidRPr="005D2468">
        <w:rPr>
          <w:rFonts w:cs="Arial" w:hint="eastAsia"/>
          <w:b/>
          <w:bCs/>
          <w:sz w:val="24"/>
        </w:rPr>
        <w:lastRenderedPageBreak/>
        <w:t>S</w:t>
      </w:r>
      <w:r w:rsidRPr="005D2468">
        <w:rPr>
          <w:rFonts w:cs="Arial"/>
          <w:b/>
          <w:bCs/>
          <w:sz w:val="24"/>
        </w:rPr>
        <w:t>upplementary Figure S8. F</w:t>
      </w:r>
      <w:r w:rsidR="00452568" w:rsidRPr="005D2468">
        <w:rPr>
          <w:rFonts w:cs="Arial"/>
          <w:b/>
          <w:bCs/>
          <w:sz w:val="24"/>
        </w:rPr>
        <w:t xml:space="preserve">ull-length blots </w:t>
      </w:r>
      <w:r w:rsidR="00452568" w:rsidRPr="005D2468">
        <w:rPr>
          <w:rFonts w:cs="Arial" w:hint="eastAsia"/>
          <w:b/>
          <w:bCs/>
          <w:sz w:val="24"/>
        </w:rPr>
        <w:t>S</w:t>
      </w:r>
      <w:r w:rsidR="00452568" w:rsidRPr="005D2468">
        <w:rPr>
          <w:rFonts w:cs="Arial"/>
          <w:b/>
          <w:bCs/>
          <w:sz w:val="24"/>
        </w:rPr>
        <w:t>upplementary Figure S5a</w:t>
      </w:r>
    </w:p>
    <w:p w:rsidR="00B2194A" w:rsidRPr="005D2468" w:rsidRDefault="0095530F" w:rsidP="00B2194A">
      <w:pPr>
        <w:spacing w:line="480" w:lineRule="auto"/>
        <w:rPr>
          <w:rFonts w:cs="Arial"/>
          <w:bCs/>
          <w:szCs w:val="22"/>
        </w:rPr>
      </w:pPr>
      <w:r w:rsidRPr="005D2468">
        <w:rPr>
          <w:rFonts w:cs="Arial" w:hint="eastAsia"/>
          <w:bCs/>
          <w:szCs w:val="22"/>
        </w:rPr>
        <w:t xml:space="preserve">Full-length </w:t>
      </w:r>
      <w:r w:rsidRPr="005D2468">
        <w:rPr>
          <w:rFonts w:cs="Arial"/>
          <w:bCs/>
          <w:szCs w:val="22"/>
        </w:rPr>
        <w:t xml:space="preserve">triplicate </w:t>
      </w:r>
      <w:r w:rsidRPr="005D2468">
        <w:rPr>
          <w:rFonts w:cs="Arial" w:hint="eastAsia"/>
          <w:bCs/>
          <w:szCs w:val="22"/>
        </w:rPr>
        <w:t>original blots of S</w:t>
      </w:r>
      <w:r w:rsidRPr="005D2468">
        <w:rPr>
          <w:rFonts w:cs="Arial"/>
          <w:bCs/>
          <w:szCs w:val="22"/>
        </w:rPr>
        <w:t>upplementary Figure S5a western blot from S100A8 over expressed MCF10A. 1: control, 2: S100A8 over expressed</w:t>
      </w:r>
      <w:r w:rsidR="00B2194A" w:rsidRPr="005D2468">
        <w:rPr>
          <w:rFonts w:cs="Arial"/>
          <w:bCs/>
          <w:szCs w:val="22"/>
        </w:rPr>
        <w:t>.</w:t>
      </w:r>
      <w:r w:rsidRPr="005D2468">
        <w:rPr>
          <w:rFonts w:cs="Arial"/>
          <w:bCs/>
          <w:szCs w:val="22"/>
        </w:rPr>
        <w:t xml:space="preserve"> </w:t>
      </w:r>
      <w:r w:rsidR="00B2194A" w:rsidRPr="005D2468">
        <w:rPr>
          <w:rFonts w:cs="Arial"/>
          <w:bCs/>
          <w:szCs w:val="22"/>
        </w:rPr>
        <w:t>I</w:t>
      </w:r>
      <w:r w:rsidR="00B2194A" w:rsidRPr="005D2468">
        <w:rPr>
          <w:rFonts w:cs="Arial" w:hint="eastAsia"/>
          <w:bCs/>
          <w:szCs w:val="22"/>
        </w:rPr>
        <w:t xml:space="preserve">n </w:t>
      </w:r>
      <w:r w:rsidR="00B2194A" w:rsidRPr="005D2468">
        <w:rPr>
          <w:rFonts w:cs="Arial"/>
          <w:bCs/>
          <w:szCs w:val="22"/>
        </w:rPr>
        <w:t>the right bottom, used marker are shown.</w:t>
      </w:r>
    </w:p>
    <w:p w:rsidR="0095530F" w:rsidRPr="005D2468" w:rsidRDefault="0095530F" w:rsidP="0095530F">
      <w:pPr>
        <w:spacing w:line="480" w:lineRule="auto"/>
        <w:rPr>
          <w:rFonts w:cs="Arial"/>
          <w:bCs/>
          <w:szCs w:val="22"/>
        </w:rPr>
      </w:pPr>
    </w:p>
    <w:p w:rsidR="00FF036A" w:rsidRDefault="00FF036A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750680" w:rsidRDefault="00750680" w:rsidP="00E73FCA">
      <w:pPr>
        <w:spacing w:line="480" w:lineRule="auto"/>
        <w:rPr>
          <w:rFonts w:cs="Arial"/>
          <w:b/>
          <w:bCs/>
          <w:sz w:val="24"/>
        </w:rPr>
      </w:pPr>
    </w:p>
    <w:p w:rsidR="00E73FCA" w:rsidRPr="005D2468" w:rsidRDefault="00E73FCA" w:rsidP="00E73FCA">
      <w:pPr>
        <w:spacing w:line="480" w:lineRule="auto"/>
        <w:rPr>
          <w:rFonts w:cs="Arial"/>
          <w:b/>
          <w:bCs/>
          <w:sz w:val="24"/>
        </w:rPr>
      </w:pPr>
      <w:r w:rsidRPr="005D2468">
        <w:rPr>
          <w:rFonts w:cs="Arial" w:hint="eastAsia"/>
          <w:b/>
          <w:bCs/>
          <w:sz w:val="24"/>
        </w:rPr>
        <w:lastRenderedPageBreak/>
        <w:t>S</w:t>
      </w:r>
      <w:r w:rsidRPr="005D2468">
        <w:rPr>
          <w:rFonts w:cs="Arial"/>
          <w:b/>
          <w:bCs/>
          <w:sz w:val="24"/>
        </w:rPr>
        <w:t>upplementary Table legend</w:t>
      </w:r>
    </w:p>
    <w:p w:rsidR="00E73FCA" w:rsidRPr="005D2468" w:rsidRDefault="00E73FCA" w:rsidP="00E73FCA">
      <w:pPr>
        <w:spacing w:line="480" w:lineRule="auto"/>
        <w:rPr>
          <w:rFonts w:cs="Arial"/>
          <w:b/>
          <w:bCs/>
          <w:sz w:val="24"/>
        </w:rPr>
      </w:pPr>
    </w:p>
    <w:p w:rsidR="00E73FCA" w:rsidRPr="005D2468" w:rsidRDefault="00E73FCA" w:rsidP="00E73FCA">
      <w:pPr>
        <w:spacing w:line="480" w:lineRule="auto"/>
        <w:rPr>
          <w:rFonts w:cs="Arial"/>
          <w:szCs w:val="20"/>
        </w:rPr>
      </w:pPr>
      <w:r w:rsidRPr="005D2468">
        <w:rPr>
          <w:rFonts w:cs="Arial"/>
          <w:b/>
          <w:szCs w:val="20"/>
        </w:rPr>
        <w:t>Supplementary Table S1</w:t>
      </w:r>
      <w:r w:rsidRPr="005D2468">
        <w:rPr>
          <w:rFonts w:cs="Arial"/>
          <w:szCs w:val="20"/>
        </w:rPr>
        <w:t>. Gene expression level in MCF10A cells after the direct co-culture with MCF10A (control) and MDA-MB-231 (experimental) (Figure 3b)</w:t>
      </w: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Default="00750680" w:rsidP="00402865">
      <w:pPr>
        <w:spacing w:line="480" w:lineRule="auto"/>
        <w:rPr>
          <w:rFonts w:cs="Arial"/>
          <w:b/>
          <w:szCs w:val="22"/>
        </w:rPr>
      </w:pPr>
    </w:p>
    <w:p w:rsidR="00750680" w:rsidRPr="00ED67F1" w:rsidRDefault="00750680" w:rsidP="00750680">
      <w:pPr>
        <w:spacing w:line="480" w:lineRule="auto"/>
        <w:rPr>
          <w:rFonts w:cs="Arial"/>
          <w:szCs w:val="22"/>
        </w:rPr>
      </w:pPr>
      <w:r w:rsidRPr="00ED67F1">
        <w:rPr>
          <w:rFonts w:cs="Arial"/>
          <w:b/>
          <w:szCs w:val="22"/>
        </w:rPr>
        <w:lastRenderedPageBreak/>
        <w:t>Supplementary Table S2</w:t>
      </w:r>
      <w:r w:rsidRPr="00ED67F1">
        <w:rPr>
          <w:rFonts w:cs="Arial" w:hint="eastAsia"/>
          <w:szCs w:val="22"/>
        </w:rPr>
        <w:t xml:space="preserve">. </w:t>
      </w:r>
      <w:r w:rsidRPr="00ED67F1">
        <w:rPr>
          <w:rFonts w:cs="Arial"/>
          <w:szCs w:val="22"/>
        </w:rPr>
        <w:t>Information of primers used in this study.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00"/>
        <w:gridCol w:w="1500"/>
        <w:gridCol w:w="3840"/>
      </w:tblGrid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Name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Sequences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S100A8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ATGCCGTCTACAGGGATGAC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CCACGCCCATCTTTATCACC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S100A9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GGGAATTCAAAGAGCTGGTGC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AGCTGCTTGTCTGCATTTGTG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KRT17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CAGTCCCAGCTCAGCATGAA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CCACAATGGTACGCACCTGA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KRT16P3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TCAGACCGGTGGAGAAGTGA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TGTGCCGGGTCCTTCATACT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KRT16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AGTCCCAGCTCAGCATGAAA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GCGGGAAGAATAGGATTGGC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KRT10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CAACTCACATCAGGGGGAGC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CAGCTCATCCAGCACCCTAC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CD24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GCTCCTACCCACGCAGATTT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GAGACCACGAAGAGACTGGC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ZEB1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GTGACGCAGTCTGGGTGTAA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TGAGTCCTGTTCTTGGTCGC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Snail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GAGGACAGTGGGAAAGGCTC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TGGTTCGGATGTGCATCTT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ZO-1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GACAGCAGACCACGTTACGA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TGAAGGTATCAGCGGAGGGA</w:t>
            </w:r>
          </w:p>
        </w:tc>
      </w:tr>
      <w:tr w:rsidR="00750680" w:rsidRPr="00ED67F1" w:rsidTr="00C8778A">
        <w:trPr>
          <w:trHeight w:val="388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β</w:t>
            </w:r>
            <w:r w:rsidRPr="00ED67F1">
              <w:rPr>
                <w:rFonts w:cs="Arial" w:hint="eastAsia"/>
                <w:szCs w:val="22"/>
              </w:rPr>
              <w:t>-actin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CACTGTGTTGGCGTACAGGT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TCATCACCATTGGCAATGAG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E-cadherin</w:t>
            </w: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F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CCCTCGACACCCGATTCAAA</w:t>
            </w:r>
          </w:p>
        </w:tc>
      </w:tr>
      <w:tr w:rsidR="00750680" w:rsidRPr="00ED67F1" w:rsidTr="00C8778A">
        <w:trPr>
          <w:trHeight w:val="360"/>
        </w:trPr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0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</w:t>
            </w:r>
          </w:p>
        </w:tc>
        <w:tc>
          <w:tcPr>
            <w:tcW w:w="384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TGGATTCCAGAAACGGAGGC</w:t>
            </w:r>
          </w:p>
        </w:tc>
      </w:tr>
    </w:tbl>
    <w:p w:rsidR="00750680" w:rsidRPr="00ED67F1" w:rsidRDefault="00750680" w:rsidP="00750680">
      <w:pPr>
        <w:spacing w:line="480" w:lineRule="auto"/>
        <w:rPr>
          <w:rFonts w:cs="Arial"/>
          <w:szCs w:val="22"/>
        </w:rPr>
      </w:pPr>
    </w:p>
    <w:p w:rsidR="00750680" w:rsidRPr="00ED67F1" w:rsidRDefault="00750680" w:rsidP="00750680">
      <w:pPr>
        <w:widowControl/>
        <w:rPr>
          <w:rFonts w:cs="Arial"/>
          <w:szCs w:val="22"/>
        </w:rPr>
      </w:pPr>
      <w:r w:rsidRPr="00ED67F1">
        <w:rPr>
          <w:rFonts w:cs="Arial"/>
          <w:szCs w:val="22"/>
        </w:rPr>
        <w:br w:type="page"/>
      </w:r>
    </w:p>
    <w:p w:rsidR="00750680" w:rsidRPr="00ED67F1" w:rsidRDefault="00750680" w:rsidP="00750680">
      <w:pPr>
        <w:spacing w:line="480" w:lineRule="auto"/>
        <w:rPr>
          <w:rFonts w:cs="Arial"/>
          <w:szCs w:val="22"/>
        </w:rPr>
      </w:pPr>
      <w:r w:rsidRPr="00ED67F1">
        <w:rPr>
          <w:rFonts w:cs="Arial"/>
          <w:b/>
          <w:szCs w:val="22"/>
        </w:rPr>
        <w:lastRenderedPageBreak/>
        <w:t>Supplementary Table S3</w:t>
      </w:r>
      <w:r w:rsidRPr="00ED67F1">
        <w:rPr>
          <w:rFonts w:cs="Arial" w:hint="eastAsia"/>
          <w:szCs w:val="22"/>
        </w:rPr>
        <w:t xml:space="preserve">. </w:t>
      </w:r>
      <w:r w:rsidRPr="00ED67F1">
        <w:rPr>
          <w:rFonts w:cs="Arial"/>
          <w:szCs w:val="22"/>
        </w:rPr>
        <w:t>Information of antibodies used in this study.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3260"/>
        <w:gridCol w:w="2823"/>
      </w:tblGrid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Antibody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Source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Company (catalog)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proofErr w:type="spellStart"/>
            <w:r w:rsidRPr="00ED67F1">
              <w:rPr>
                <w:rFonts w:cs="Arial" w:hint="eastAsia"/>
                <w:szCs w:val="22"/>
              </w:rPr>
              <w:t>Calgranulin</w:t>
            </w:r>
            <w:proofErr w:type="spellEnd"/>
            <w:r w:rsidRPr="00ED67F1">
              <w:rPr>
                <w:rFonts w:cs="Arial" w:hint="eastAsia"/>
                <w:szCs w:val="22"/>
              </w:rPr>
              <w:t xml:space="preserve"> A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Mouse monoclonal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Santa Cruz (sc-48352)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proofErr w:type="spellStart"/>
            <w:r w:rsidRPr="00ED67F1">
              <w:rPr>
                <w:rFonts w:cs="Arial" w:hint="eastAsia"/>
                <w:szCs w:val="22"/>
              </w:rPr>
              <w:t>Calgranulin</w:t>
            </w:r>
            <w:proofErr w:type="spellEnd"/>
            <w:r w:rsidRPr="00ED67F1">
              <w:rPr>
                <w:rFonts w:cs="Arial" w:hint="eastAsia"/>
                <w:szCs w:val="22"/>
              </w:rPr>
              <w:t xml:space="preserve"> B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Mouse monoclonal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Santa Cruz (sc-376772)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AKT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Rabbit polyclonal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Cell signaling (9272)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p-AKT (Ser473)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Rabbit polyclonal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Cell signaling (9271)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p53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Mouse monoclonal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Cell signaling (2524)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p-p53 (Ser15)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Rabbit polyclonal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Cell signaling (9284)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PRAS40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Rabbit monoclonal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Cell signaling (2691)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p-PRAS40 (Thr246)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Rabbit monoclonal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Cell signaling (2997)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proofErr w:type="spellStart"/>
            <w:r w:rsidRPr="00ED67F1">
              <w:rPr>
                <w:rFonts w:cs="Arial" w:hint="eastAsia"/>
                <w:szCs w:val="22"/>
              </w:rPr>
              <w:t>mTOR</w:t>
            </w:r>
            <w:proofErr w:type="spellEnd"/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Rabbit monoclonal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Cell signaling (2983)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p-</w:t>
            </w:r>
            <w:proofErr w:type="spellStart"/>
            <w:r w:rsidRPr="00ED67F1">
              <w:rPr>
                <w:rFonts w:cs="Arial" w:hint="eastAsia"/>
                <w:szCs w:val="22"/>
              </w:rPr>
              <w:t>mTOR</w:t>
            </w:r>
            <w:proofErr w:type="spellEnd"/>
            <w:r w:rsidRPr="00ED67F1">
              <w:rPr>
                <w:rFonts w:cs="Arial" w:hint="eastAsia"/>
                <w:szCs w:val="22"/>
              </w:rPr>
              <w:t xml:space="preserve"> (Ser2448)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Rabbit monoclonal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Cell signaling (5536)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RAGE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Rabbit polyclonal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proofErr w:type="spellStart"/>
            <w:r w:rsidRPr="00ED67F1">
              <w:rPr>
                <w:rFonts w:cs="Arial" w:hint="eastAsia"/>
                <w:szCs w:val="22"/>
              </w:rPr>
              <w:t>AbCam</w:t>
            </w:r>
            <w:proofErr w:type="spellEnd"/>
            <w:r w:rsidRPr="00ED67F1">
              <w:rPr>
                <w:rFonts w:cs="Arial" w:hint="eastAsia"/>
                <w:szCs w:val="22"/>
              </w:rPr>
              <w:t xml:space="preserve"> (ab3611)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TLR4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Mouse monoclonal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Santa Cruz (sc-293072)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</w:tcPr>
          <w:p w:rsidR="00750680" w:rsidRPr="000B3B4B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0B3B4B">
              <w:rPr>
                <w:rFonts w:cs="Arial" w:hint="eastAsia"/>
                <w:szCs w:val="22"/>
              </w:rPr>
              <w:t>S100A8</w:t>
            </w:r>
          </w:p>
        </w:tc>
        <w:tc>
          <w:tcPr>
            <w:tcW w:w="3260" w:type="dxa"/>
            <w:noWrap/>
          </w:tcPr>
          <w:p w:rsidR="00750680" w:rsidRPr="000B3B4B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0B3B4B">
              <w:rPr>
                <w:rFonts w:cs="Arial" w:hint="eastAsia"/>
                <w:szCs w:val="22"/>
              </w:rPr>
              <w:t>Mouse monoclonal antibody</w:t>
            </w:r>
          </w:p>
        </w:tc>
        <w:tc>
          <w:tcPr>
            <w:tcW w:w="2823" w:type="dxa"/>
            <w:noWrap/>
          </w:tcPr>
          <w:p w:rsidR="00750680" w:rsidRPr="000B3B4B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0B3B4B">
              <w:rPr>
                <w:rFonts w:cs="Arial" w:hint="eastAsia"/>
                <w:szCs w:val="22"/>
              </w:rPr>
              <w:t>Santa Cruz (</w:t>
            </w:r>
            <w:r w:rsidRPr="000B3B4B">
              <w:rPr>
                <w:rFonts w:cs="Arial"/>
                <w:szCs w:val="22"/>
              </w:rPr>
              <w:t>sc-48352</w:t>
            </w:r>
            <w:r w:rsidRPr="000B3B4B">
              <w:rPr>
                <w:rFonts w:cs="Arial" w:hint="eastAsia"/>
                <w:szCs w:val="22"/>
              </w:rPr>
              <w:t>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</w:tcPr>
          <w:p w:rsidR="00750680" w:rsidRPr="000B3B4B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0B3B4B">
              <w:rPr>
                <w:rFonts w:cs="Arial" w:hint="eastAsia"/>
                <w:szCs w:val="22"/>
              </w:rPr>
              <w:t>S100A9</w:t>
            </w:r>
          </w:p>
        </w:tc>
        <w:tc>
          <w:tcPr>
            <w:tcW w:w="3260" w:type="dxa"/>
            <w:noWrap/>
          </w:tcPr>
          <w:p w:rsidR="00750680" w:rsidRPr="000B3B4B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0B3B4B">
              <w:rPr>
                <w:rFonts w:cs="Arial" w:hint="eastAsia"/>
                <w:szCs w:val="22"/>
              </w:rPr>
              <w:t>Mouse monoclonal antibody</w:t>
            </w:r>
          </w:p>
        </w:tc>
        <w:tc>
          <w:tcPr>
            <w:tcW w:w="2823" w:type="dxa"/>
            <w:noWrap/>
          </w:tcPr>
          <w:p w:rsidR="00750680" w:rsidRPr="000B3B4B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0B3B4B">
              <w:rPr>
                <w:rFonts w:cs="Arial" w:hint="eastAsia"/>
                <w:szCs w:val="22"/>
              </w:rPr>
              <w:t>Santa Cruz (sc-</w:t>
            </w:r>
            <w:r w:rsidRPr="000B3B4B">
              <w:rPr>
                <w:rFonts w:cs="Arial"/>
                <w:szCs w:val="22"/>
              </w:rPr>
              <w:t>376772</w:t>
            </w:r>
            <w:r w:rsidRPr="000B3B4B">
              <w:rPr>
                <w:rFonts w:cs="Arial" w:hint="eastAsia"/>
                <w:szCs w:val="22"/>
              </w:rPr>
              <w:t>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</w:tcPr>
          <w:p w:rsidR="00750680" w:rsidRPr="000B3B4B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0B3B4B">
              <w:rPr>
                <w:rFonts w:cs="Arial" w:hint="eastAsia"/>
                <w:szCs w:val="22"/>
              </w:rPr>
              <w:t>CK14</w:t>
            </w:r>
          </w:p>
        </w:tc>
        <w:tc>
          <w:tcPr>
            <w:tcW w:w="3260" w:type="dxa"/>
            <w:noWrap/>
          </w:tcPr>
          <w:p w:rsidR="00750680" w:rsidRPr="000B3B4B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0B3B4B">
              <w:rPr>
                <w:rFonts w:cs="Arial" w:hint="eastAsia"/>
                <w:szCs w:val="22"/>
              </w:rPr>
              <w:t>Rabbit polyclonal antibody</w:t>
            </w:r>
          </w:p>
        </w:tc>
        <w:tc>
          <w:tcPr>
            <w:tcW w:w="2823" w:type="dxa"/>
            <w:noWrap/>
          </w:tcPr>
          <w:p w:rsidR="00750680" w:rsidRPr="000B3B4B" w:rsidRDefault="00750680" w:rsidP="00C8778A">
            <w:pPr>
              <w:tabs>
                <w:tab w:val="left" w:pos="1090"/>
              </w:tabs>
              <w:spacing w:line="360" w:lineRule="auto"/>
              <w:rPr>
                <w:rFonts w:cs="Arial"/>
                <w:szCs w:val="22"/>
              </w:rPr>
            </w:pPr>
            <w:proofErr w:type="spellStart"/>
            <w:r w:rsidRPr="000B3B4B">
              <w:rPr>
                <w:rFonts w:cs="Arial" w:hint="eastAsia"/>
                <w:szCs w:val="22"/>
              </w:rPr>
              <w:t>BioLegend</w:t>
            </w:r>
            <w:proofErr w:type="spellEnd"/>
            <w:r w:rsidRPr="000B3B4B">
              <w:rPr>
                <w:rFonts w:cs="Arial"/>
                <w:szCs w:val="22"/>
              </w:rPr>
              <w:tab/>
              <w:t>(</w:t>
            </w:r>
            <w:r w:rsidRPr="000B3B4B">
              <w:rPr>
                <w:rFonts w:cs="Arial"/>
                <w:szCs w:val="22"/>
                <w:shd w:val="clear" w:color="auto" w:fill="FFFFFF"/>
              </w:rPr>
              <w:t>PRB-155P</w:t>
            </w:r>
            <w:r w:rsidRPr="000B3B4B">
              <w:rPr>
                <w:rFonts w:cs="Arial"/>
                <w:szCs w:val="22"/>
              </w:rPr>
              <w:t>)</w:t>
            </w:r>
          </w:p>
        </w:tc>
      </w:tr>
      <w:tr w:rsidR="00750680" w:rsidRPr="00ED67F1" w:rsidTr="00C8778A">
        <w:trPr>
          <w:trHeight w:val="360"/>
        </w:trPr>
        <w:tc>
          <w:tcPr>
            <w:tcW w:w="2405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β</w:t>
            </w:r>
            <w:r w:rsidRPr="00ED67F1">
              <w:rPr>
                <w:rFonts w:cs="Arial" w:hint="eastAsia"/>
                <w:szCs w:val="22"/>
              </w:rPr>
              <w:t>-actin</w:t>
            </w:r>
          </w:p>
        </w:tc>
        <w:tc>
          <w:tcPr>
            <w:tcW w:w="3260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Mouse monoclonal antibody</w:t>
            </w:r>
          </w:p>
        </w:tc>
        <w:tc>
          <w:tcPr>
            <w:tcW w:w="2823" w:type="dxa"/>
            <w:noWrap/>
            <w:hideMark/>
          </w:tcPr>
          <w:p w:rsidR="00750680" w:rsidRPr="00ED67F1" w:rsidRDefault="00750680" w:rsidP="00C8778A">
            <w:pPr>
              <w:spacing w:line="360" w:lineRule="auto"/>
              <w:rPr>
                <w:rFonts w:cs="Arial"/>
                <w:szCs w:val="22"/>
              </w:rPr>
            </w:pPr>
            <w:r w:rsidRPr="00ED67F1">
              <w:rPr>
                <w:rFonts w:cs="Arial" w:hint="eastAsia"/>
                <w:szCs w:val="22"/>
              </w:rPr>
              <w:t>Santa Cruz (sc-47778)</w:t>
            </w:r>
          </w:p>
        </w:tc>
      </w:tr>
    </w:tbl>
    <w:p w:rsidR="00750680" w:rsidRPr="00ED67F1" w:rsidRDefault="00750680" w:rsidP="00750680">
      <w:pPr>
        <w:spacing w:line="480" w:lineRule="auto"/>
        <w:rPr>
          <w:rFonts w:cs="Arial"/>
          <w:szCs w:val="22"/>
        </w:rPr>
      </w:pPr>
    </w:p>
    <w:p w:rsidR="00750680" w:rsidRPr="00ED67F1" w:rsidRDefault="00750680" w:rsidP="00750680">
      <w:pPr>
        <w:spacing w:line="480" w:lineRule="auto"/>
        <w:rPr>
          <w:rFonts w:cs="Arial"/>
          <w:szCs w:val="22"/>
        </w:rPr>
      </w:pPr>
    </w:p>
    <w:p w:rsidR="00750680" w:rsidRPr="00ED67F1" w:rsidRDefault="00750680" w:rsidP="00750680">
      <w:pPr>
        <w:widowControl/>
        <w:rPr>
          <w:rFonts w:cs="Arial"/>
          <w:szCs w:val="22"/>
        </w:rPr>
      </w:pPr>
    </w:p>
    <w:p w:rsidR="00750680" w:rsidRPr="00ED67F1" w:rsidRDefault="00750680" w:rsidP="00750680"/>
    <w:p w:rsidR="00750680" w:rsidRPr="00ED67F1" w:rsidRDefault="00750680" w:rsidP="00750680">
      <w:pPr>
        <w:spacing w:line="480" w:lineRule="auto"/>
        <w:rPr>
          <w:rFonts w:cs="Arial"/>
          <w:szCs w:val="20"/>
        </w:rPr>
      </w:pPr>
    </w:p>
    <w:p w:rsidR="00750680" w:rsidRPr="00ED67F1" w:rsidRDefault="00750680" w:rsidP="00750680">
      <w:pPr>
        <w:spacing w:line="480" w:lineRule="auto"/>
        <w:rPr>
          <w:rFonts w:cs="Arial"/>
          <w:szCs w:val="20"/>
        </w:rPr>
      </w:pPr>
    </w:p>
    <w:p w:rsidR="00750680" w:rsidRPr="00ED67F1" w:rsidRDefault="00750680" w:rsidP="00750680">
      <w:pPr>
        <w:spacing w:line="480" w:lineRule="auto"/>
        <w:rPr>
          <w:rFonts w:cs="Arial"/>
          <w:szCs w:val="20"/>
        </w:rPr>
      </w:pPr>
    </w:p>
    <w:p w:rsidR="00750680" w:rsidRPr="00ED67F1" w:rsidRDefault="00750680" w:rsidP="00750680">
      <w:pPr>
        <w:spacing w:line="480" w:lineRule="auto"/>
        <w:rPr>
          <w:rFonts w:cs="Arial"/>
          <w:szCs w:val="20"/>
        </w:rPr>
      </w:pPr>
    </w:p>
    <w:p w:rsidR="00750680" w:rsidRPr="00ED67F1" w:rsidRDefault="00750680" w:rsidP="00750680">
      <w:pPr>
        <w:spacing w:line="480" w:lineRule="auto"/>
        <w:rPr>
          <w:rFonts w:cs="Arial"/>
          <w:szCs w:val="20"/>
        </w:rPr>
      </w:pPr>
    </w:p>
    <w:p w:rsidR="00750680" w:rsidRPr="00ED67F1" w:rsidRDefault="00750680" w:rsidP="00750680">
      <w:pPr>
        <w:spacing w:line="480" w:lineRule="auto"/>
        <w:rPr>
          <w:rFonts w:cs="Arial"/>
          <w:szCs w:val="20"/>
        </w:rPr>
      </w:pPr>
    </w:p>
    <w:p w:rsidR="00FF036A" w:rsidRPr="005D2468" w:rsidRDefault="00FF036A" w:rsidP="00E73FCA">
      <w:pPr>
        <w:spacing w:line="480" w:lineRule="auto"/>
        <w:rPr>
          <w:rFonts w:cs="Arial"/>
          <w:szCs w:val="20"/>
        </w:rPr>
      </w:pPr>
    </w:p>
    <w:p w:rsidR="00502CF7" w:rsidRPr="005D2468" w:rsidRDefault="00502CF7" w:rsidP="00E73FCA">
      <w:pPr>
        <w:spacing w:line="480" w:lineRule="auto"/>
        <w:rPr>
          <w:rFonts w:cs="Arial"/>
          <w:szCs w:val="20"/>
        </w:rPr>
      </w:pPr>
    </w:p>
    <w:p w:rsidR="00FF036A" w:rsidRPr="005D2468" w:rsidRDefault="00FF036A" w:rsidP="00E73FCA">
      <w:pPr>
        <w:spacing w:line="480" w:lineRule="auto"/>
        <w:rPr>
          <w:rFonts w:cs="Arial"/>
          <w:szCs w:val="20"/>
        </w:rPr>
      </w:pPr>
    </w:p>
    <w:p w:rsidR="00E73FCA" w:rsidRPr="005D2468" w:rsidRDefault="00E73FCA" w:rsidP="00E73FCA">
      <w:pPr>
        <w:spacing w:line="480" w:lineRule="auto"/>
        <w:rPr>
          <w:rFonts w:cs="Arial"/>
          <w:b/>
          <w:bCs/>
          <w:sz w:val="24"/>
        </w:rPr>
      </w:pPr>
      <w:r w:rsidRPr="005D2468">
        <w:rPr>
          <w:rFonts w:cs="Arial" w:hint="eastAsia"/>
          <w:b/>
          <w:bCs/>
          <w:sz w:val="24"/>
        </w:rPr>
        <w:lastRenderedPageBreak/>
        <w:t>S</w:t>
      </w:r>
      <w:r w:rsidRPr="005D2468">
        <w:rPr>
          <w:rFonts w:cs="Arial"/>
          <w:b/>
          <w:bCs/>
          <w:sz w:val="24"/>
        </w:rPr>
        <w:t>upplementary video legend</w:t>
      </w:r>
    </w:p>
    <w:p w:rsidR="00E73FCA" w:rsidRPr="005D2468" w:rsidRDefault="00E73FCA" w:rsidP="00E73FCA">
      <w:pPr>
        <w:spacing w:line="480" w:lineRule="auto"/>
        <w:rPr>
          <w:rFonts w:cs="Arial"/>
          <w:szCs w:val="20"/>
        </w:rPr>
      </w:pPr>
    </w:p>
    <w:p w:rsidR="00E73FCA" w:rsidRPr="005D2468" w:rsidRDefault="00E73FCA" w:rsidP="00E73FCA">
      <w:pPr>
        <w:spacing w:line="480" w:lineRule="auto"/>
        <w:rPr>
          <w:rFonts w:cs="Arial"/>
          <w:szCs w:val="20"/>
        </w:rPr>
      </w:pPr>
      <w:r w:rsidRPr="005D2468">
        <w:rPr>
          <w:rFonts w:cs="Arial"/>
          <w:b/>
          <w:szCs w:val="20"/>
        </w:rPr>
        <w:t>Supplementary Video S1</w:t>
      </w:r>
      <w:r w:rsidRPr="005D2468">
        <w:rPr>
          <w:rFonts w:cs="Arial"/>
          <w:szCs w:val="20"/>
        </w:rPr>
        <w:t>. Cell movements during the direct co-culture system</w:t>
      </w:r>
    </w:p>
    <w:p w:rsidR="00E73FCA" w:rsidRPr="005D2468" w:rsidRDefault="00E73FCA" w:rsidP="00E73FCA">
      <w:pPr>
        <w:spacing w:line="480" w:lineRule="auto"/>
        <w:rPr>
          <w:rFonts w:cs="Arial"/>
          <w:szCs w:val="20"/>
        </w:rPr>
      </w:pPr>
      <w:r w:rsidRPr="005D2468">
        <w:rPr>
          <w:rFonts w:cs="Arial"/>
          <w:b/>
          <w:szCs w:val="20"/>
        </w:rPr>
        <w:t>Supplementary Video S2</w:t>
      </w:r>
      <w:r w:rsidRPr="005D2468">
        <w:rPr>
          <w:rFonts w:cs="Arial"/>
          <w:szCs w:val="20"/>
        </w:rPr>
        <w:t>. Dynamic physical interactions between MDA-MB-231 and MCF10A cells</w:t>
      </w:r>
    </w:p>
    <w:p w:rsidR="00E73FCA" w:rsidRPr="005D2468" w:rsidRDefault="00E73FCA" w:rsidP="00E73FCA">
      <w:pPr>
        <w:spacing w:line="480" w:lineRule="auto"/>
        <w:rPr>
          <w:rFonts w:cs="Arial"/>
          <w:szCs w:val="20"/>
        </w:rPr>
      </w:pPr>
      <w:r w:rsidRPr="005D2468">
        <w:rPr>
          <w:rFonts w:cs="Arial"/>
          <w:b/>
          <w:szCs w:val="20"/>
        </w:rPr>
        <w:t>Supplementary Video S3</w:t>
      </w:r>
      <w:r w:rsidRPr="005D2468">
        <w:rPr>
          <w:rFonts w:cs="Arial"/>
          <w:szCs w:val="20"/>
        </w:rPr>
        <w:t>. Time lapse imaging of MDA-MB-231 cell’s movements in vivo at one hour after inoculation.</w:t>
      </w:r>
    </w:p>
    <w:p w:rsidR="00E73FCA" w:rsidRPr="005D2468" w:rsidRDefault="00E73FCA" w:rsidP="00E73FCA">
      <w:pPr>
        <w:spacing w:line="480" w:lineRule="auto"/>
        <w:rPr>
          <w:rFonts w:cs="Arial"/>
          <w:szCs w:val="20"/>
        </w:rPr>
      </w:pPr>
      <w:r w:rsidRPr="005D2468">
        <w:rPr>
          <w:rFonts w:cs="Arial"/>
          <w:b/>
          <w:szCs w:val="20"/>
        </w:rPr>
        <w:t>Supplementary Video S4</w:t>
      </w:r>
      <w:r w:rsidRPr="005D2468">
        <w:rPr>
          <w:rFonts w:cs="Arial"/>
          <w:szCs w:val="20"/>
        </w:rPr>
        <w:t>. Time lapse imaging of MDA-MB-231 cell’s movements in vivo at 24 hours after inoculation.</w:t>
      </w:r>
    </w:p>
    <w:p w:rsidR="00E73FCA" w:rsidRPr="005D2468" w:rsidRDefault="00E73FCA" w:rsidP="00E73FCA">
      <w:pPr>
        <w:spacing w:line="480" w:lineRule="auto"/>
        <w:rPr>
          <w:rFonts w:cs="Arial"/>
          <w:szCs w:val="20"/>
        </w:rPr>
      </w:pPr>
    </w:p>
    <w:p w:rsidR="00E73FCA" w:rsidRPr="005D2468" w:rsidRDefault="00E73FCA" w:rsidP="00E73FCA">
      <w:pPr>
        <w:spacing w:line="480" w:lineRule="auto"/>
        <w:rPr>
          <w:rFonts w:cs="Arial"/>
          <w:szCs w:val="20"/>
        </w:rPr>
      </w:pPr>
    </w:p>
    <w:p w:rsidR="00444E45" w:rsidRPr="005D2468" w:rsidRDefault="00444E45"/>
    <w:sectPr w:rsidR="00444E45" w:rsidRPr="005D2468" w:rsidSect="00406766">
      <w:footerReference w:type="even" r:id="rId14"/>
      <w:footerReference w:type="default" r:id="rId15"/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263" w:rsidRDefault="00EC3263">
      <w:r>
        <w:separator/>
      </w:r>
    </w:p>
  </w:endnote>
  <w:endnote w:type="continuationSeparator" w:id="0">
    <w:p w:rsidR="00EC3263" w:rsidRDefault="00EC3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imes New Roman(본문 CS)">
    <w:altName w:val="바탕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171" w:rsidRDefault="00F80462" w:rsidP="00F1664D">
    <w:pPr>
      <w:pStyle w:val="a3"/>
      <w:framePr w:wrap="none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end"/>
    </w:r>
  </w:p>
  <w:p w:rsidR="00436171" w:rsidRDefault="00EC326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171" w:rsidRDefault="00F80462" w:rsidP="00F1664D">
    <w:pPr>
      <w:pStyle w:val="a3"/>
      <w:framePr w:wrap="none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F533E6">
      <w:rPr>
        <w:rStyle w:val="a4"/>
        <w:noProof/>
      </w:rPr>
      <w:t>1</w:t>
    </w:r>
    <w:r>
      <w:rPr>
        <w:rStyle w:val="a4"/>
      </w:rPr>
      <w:fldChar w:fldCharType="end"/>
    </w:r>
  </w:p>
  <w:p w:rsidR="00436171" w:rsidRDefault="00EC326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263" w:rsidRDefault="00EC3263">
      <w:r>
        <w:separator/>
      </w:r>
    </w:p>
  </w:footnote>
  <w:footnote w:type="continuationSeparator" w:id="0">
    <w:p w:rsidR="00EC3263" w:rsidRDefault="00EC32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CA"/>
    <w:rsid w:val="0002101C"/>
    <w:rsid w:val="000311F6"/>
    <w:rsid w:val="00116FFE"/>
    <w:rsid w:val="00166398"/>
    <w:rsid w:val="00195C0B"/>
    <w:rsid w:val="002B706D"/>
    <w:rsid w:val="0036752B"/>
    <w:rsid w:val="003848D6"/>
    <w:rsid w:val="003D6076"/>
    <w:rsid w:val="00402865"/>
    <w:rsid w:val="00433E90"/>
    <w:rsid w:val="00437552"/>
    <w:rsid w:val="00444E45"/>
    <w:rsid w:val="00452568"/>
    <w:rsid w:val="004641B3"/>
    <w:rsid w:val="004A7161"/>
    <w:rsid w:val="004C032F"/>
    <w:rsid w:val="00502CF7"/>
    <w:rsid w:val="005B13B6"/>
    <w:rsid w:val="005D2468"/>
    <w:rsid w:val="00735531"/>
    <w:rsid w:val="00750680"/>
    <w:rsid w:val="008007FC"/>
    <w:rsid w:val="0084695B"/>
    <w:rsid w:val="0089307B"/>
    <w:rsid w:val="008E5849"/>
    <w:rsid w:val="00920CCD"/>
    <w:rsid w:val="0095530F"/>
    <w:rsid w:val="009B60E4"/>
    <w:rsid w:val="00A74C1F"/>
    <w:rsid w:val="00AC6779"/>
    <w:rsid w:val="00AE4F29"/>
    <w:rsid w:val="00B2194A"/>
    <w:rsid w:val="00B21D50"/>
    <w:rsid w:val="00B44FA9"/>
    <w:rsid w:val="00BA5F24"/>
    <w:rsid w:val="00CA5E5B"/>
    <w:rsid w:val="00CA7089"/>
    <w:rsid w:val="00CB57A8"/>
    <w:rsid w:val="00D232BD"/>
    <w:rsid w:val="00D51E3D"/>
    <w:rsid w:val="00D54415"/>
    <w:rsid w:val="00DE2687"/>
    <w:rsid w:val="00E73FCA"/>
    <w:rsid w:val="00E74973"/>
    <w:rsid w:val="00EC3263"/>
    <w:rsid w:val="00ED67F1"/>
    <w:rsid w:val="00EE63CD"/>
    <w:rsid w:val="00F3799A"/>
    <w:rsid w:val="00F533E6"/>
    <w:rsid w:val="00F80462"/>
    <w:rsid w:val="00FF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7B4BC7-12B5-4CFE-9B23-4778A001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FCA"/>
    <w:pPr>
      <w:widowControl w:val="0"/>
      <w:spacing w:after="0" w:line="240" w:lineRule="auto"/>
    </w:pPr>
    <w:rPr>
      <w:rFonts w:ascii="Arial" w:eastAsia="Arial Unicode MS" w:hAnsi="Arial" w:cs="Times New Roman(본문 CS)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73FC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E73FCA"/>
    <w:rPr>
      <w:rFonts w:ascii="Arial" w:eastAsia="Arial Unicode MS" w:hAnsi="Arial" w:cs="Times New Roman(본문 CS)"/>
      <w:sz w:val="22"/>
      <w:szCs w:val="24"/>
    </w:rPr>
  </w:style>
  <w:style w:type="character" w:styleId="a4">
    <w:name w:val="page number"/>
    <w:basedOn w:val="a0"/>
    <w:uiPriority w:val="99"/>
    <w:semiHidden/>
    <w:unhideWhenUsed/>
    <w:rsid w:val="00E73FCA"/>
  </w:style>
  <w:style w:type="table" w:styleId="a5">
    <w:name w:val="Table Grid"/>
    <w:basedOn w:val="a1"/>
    <w:uiPriority w:val="39"/>
    <w:rsid w:val="00402865"/>
    <w:pPr>
      <w:spacing w:after="0" w:line="240" w:lineRule="auto"/>
    </w:pPr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ED67F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ED67F1"/>
    <w:rPr>
      <w:rFonts w:ascii="Arial" w:eastAsia="Arial Unicode MS" w:hAnsi="Arial" w:cs="Times New Roman(본문 CS)"/>
      <w:sz w:val="22"/>
      <w:szCs w:val="24"/>
    </w:rPr>
  </w:style>
  <w:style w:type="paragraph" w:styleId="a7">
    <w:name w:val="List Paragraph"/>
    <w:basedOn w:val="a"/>
    <w:uiPriority w:val="34"/>
    <w:qFormat/>
    <w:rsid w:val="00750680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</dc:creator>
  <cp:keywords/>
  <dc:description/>
  <cp:lastModifiedBy>shy</cp:lastModifiedBy>
  <cp:revision>5</cp:revision>
  <dcterms:created xsi:type="dcterms:W3CDTF">2020-10-24T04:05:00Z</dcterms:created>
  <dcterms:modified xsi:type="dcterms:W3CDTF">2020-10-24T04:56:00Z</dcterms:modified>
</cp:coreProperties>
</file>