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left="720" w:leftChars="300" w:right="480" w:rightChars="200" w:firstLine="0" w:firstLineChars="0"/>
        <w:outlineLvl w:val="1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Running title: </w:t>
      </w:r>
      <w:r>
        <w:rPr>
          <w:rFonts w:ascii="Times New Roman" w:hAnsi="Times New Roman" w:cs="Times New Roman"/>
          <w:sz w:val="30"/>
          <w:szCs w:val="30"/>
        </w:rPr>
        <w:t xml:space="preserve">Target genes for </w:t>
      </w:r>
      <w:r>
        <w:rPr>
          <w:rFonts w:ascii="Times New Roman" w:hAnsi="Times New Roman" w:cs="Times New Roman"/>
          <w:i/>
          <w:sz w:val="30"/>
          <w:szCs w:val="30"/>
        </w:rPr>
        <w:t xml:space="preserve">Salmonella </w:t>
      </w:r>
      <w:r>
        <w:rPr>
          <w:rFonts w:ascii="Times New Roman" w:hAnsi="Times New Roman" w:cs="Times New Roman"/>
          <w:sz w:val="30"/>
          <w:szCs w:val="30"/>
        </w:rPr>
        <w:t>detection</w:t>
      </w:r>
    </w:p>
    <w:p>
      <w:pPr>
        <w:spacing w:line="480" w:lineRule="auto"/>
        <w:ind w:left="720" w:leftChars="300" w:right="480" w:rightChars="200" w:firstLine="0" w:firstLineChars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Whole genome sequencing and protein structure analyses of target genes for the detection of </w:t>
      </w:r>
      <w:r>
        <w:rPr>
          <w:rFonts w:ascii="Times New Roman" w:hAnsi="Times New Roman" w:cs="Times New Roman"/>
          <w:b/>
          <w:i/>
          <w:iCs/>
          <w:sz w:val="30"/>
          <w:szCs w:val="30"/>
        </w:rPr>
        <w:t>Salmonella</w:t>
      </w:r>
    </w:p>
    <w:p>
      <w:pPr>
        <w:spacing w:line="276" w:lineRule="auto"/>
        <w:ind w:left="720" w:leftChars="300" w:right="480" w:rightChars="200" w:firstLine="0" w:firstLineChars="0"/>
        <w:rPr>
          <w:rFonts w:ascii="Times New Roman" w:hAnsi="Times New Roman" w:cs="Times New Roman"/>
          <w:sz w:val="30"/>
          <w:szCs w:val="30"/>
          <w:vertAlign w:val="superscript"/>
        </w:rPr>
      </w:pPr>
      <w:r>
        <w:rPr>
          <w:rFonts w:ascii="Times New Roman" w:hAnsi="Times New Roman" w:cs="Times New Roman"/>
          <w:sz w:val="30"/>
          <w:szCs w:val="30"/>
        </w:rPr>
        <w:t>Lijun Hu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a</w:t>
      </w:r>
      <w:r>
        <w:rPr>
          <w:rFonts w:ascii="Times New Roman" w:hAnsi="Times New Roman" w:cs="Times New Roman"/>
          <w:sz w:val="30"/>
          <w:szCs w:val="30"/>
        </w:rPr>
        <w:t>, Guojie Cao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a</w:t>
      </w:r>
      <w:r>
        <w:rPr>
          <w:rFonts w:ascii="Times New Roman" w:hAnsi="Times New Roman" w:cs="Times New Roman"/>
          <w:sz w:val="30"/>
          <w:szCs w:val="30"/>
        </w:rPr>
        <w:t>, Eric W. Brown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eastAsia="Batang" w:cs="Times New Roman"/>
          <w:sz w:val="30"/>
          <w:szCs w:val="30"/>
          <w:lang w:eastAsia="ko-KR"/>
        </w:rPr>
        <w:t>Marc W. Allard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a</w:t>
      </w:r>
      <w:r>
        <w:rPr>
          <w:rFonts w:ascii="Times New Roman" w:hAnsi="Times New Roman" w:cs="Times New Roman"/>
          <w:sz w:val="30"/>
          <w:szCs w:val="30"/>
        </w:rPr>
        <w:t>, Li M. Ma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b</w:t>
      </w:r>
      <w:r>
        <w:rPr>
          <w:rFonts w:ascii="Times New Roman" w:hAnsi="Times New Roman" w:cs="Times New Roman"/>
          <w:sz w:val="30"/>
          <w:szCs w:val="30"/>
        </w:rPr>
        <w:t xml:space="preserve"> and Guodong Zhang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a,*</w:t>
      </w:r>
    </w:p>
    <w:p>
      <w:pPr>
        <w:spacing w:line="276" w:lineRule="auto"/>
        <w:ind w:left="720" w:leftChars="300" w:right="480" w:rightChars="200" w:firstLine="0" w:firstLineChars="0"/>
        <w:rPr>
          <w:rFonts w:ascii="Times New Roman" w:hAnsi="Times New Roman" w:eastAsia="Batang" w:cs="Times New Roman"/>
          <w:sz w:val="30"/>
          <w:szCs w:val="30"/>
          <w:lang w:eastAsia="ko-KR"/>
        </w:rPr>
      </w:pPr>
    </w:p>
    <w:p>
      <w:pPr>
        <w:spacing w:line="276" w:lineRule="auto"/>
        <w:ind w:left="720" w:leftChars="300" w:right="480" w:rightChars="200" w:firstLine="0" w:firstLineChars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vertAlign w:val="superscript"/>
        </w:rPr>
        <w:t>a</w:t>
      </w:r>
      <w:r>
        <w:rPr>
          <w:rFonts w:ascii="Times New Roman" w:hAnsi="Times New Roman" w:cs="Times New Roman"/>
          <w:sz w:val="30"/>
          <w:szCs w:val="30"/>
        </w:rPr>
        <w:t xml:space="preserve"> Division of Microbiology, Office of Regulatory Science, Center for Food Safety and Nutrition, U.S. Food and Drug Administration, College Park, MD</w:t>
      </w:r>
    </w:p>
    <w:p>
      <w:pPr>
        <w:ind w:left="720" w:leftChars="300" w:right="480" w:rightChars="200" w:firstLine="0" w:firstLineChars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vertAlign w:val="superscript"/>
        </w:rPr>
        <w:t>b</w:t>
      </w:r>
      <w:r>
        <w:rPr>
          <w:rFonts w:ascii="Times New Roman" w:hAnsi="Times New Roman" w:cs="Times New Roman"/>
          <w:sz w:val="30"/>
          <w:szCs w:val="30"/>
        </w:rPr>
        <w:t xml:space="preserve"> National Institute for Microbial Forensics &amp; Food and Agricultural Biosecurity, Department of Entomology and Plant Pathology, Oklahoma State University, Stillwater, OK</w:t>
      </w:r>
    </w:p>
    <w:p>
      <w:pPr>
        <w:spacing w:line="480" w:lineRule="auto"/>
        <w:ind w:left="720" w:leftChars="300" w:right="480" w:rightChars="200" w:firstLine="0" w:firstLineChars="0"/>
        <w:rPr>
          <w:rFonts w:ascii="Times New Roman" w:hAnsi="Times New Roman" w:cs="Times New Roman"/>
          <w:sz w:val="30"/>
          <w:szCs w:val="30"/>
        </w:rPr>
      </w:pPr>
    </w:p>
    <w:p>
      <w:pPr>
        <w:tabs>
          <w:tab w:val="left" w:pos="-1440"/>
          <w:tab w:val="left" w:pos="-720"/>
          <w:tab w:val="left" w:pos="0"/>
          <w:tab w:val="left" w:pos="720"/>
          <w:tab w:val="right" w:pos="1440"/>
        </w:tabs>
        <w:spacing w:line="480" w:lineRule="auto"/>
        <w:ind w:left="720" w:leftChars="300" w:right="480" w:rightChars="200" w:firstLine="0" w:firstLineChars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  <w:vertAlign w:val="superscript"/>
          <w:lang w:eastAsia="zh-CN"/>
        </w:rPr>
        <w:t>*</w:t>
      </w:r>
      <w:r>
        <w:rPr>
          <w:rFonts w:ascii="Times New Roman" w:hAnsi="Times New Roman" w:cs="Times New Roman"/>
          <w:b/>
          <w:sz w:val="30"/>
          <w:szCs w:val="30"/>
          <w:lang w:eastAsia="zh-CN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Corresponding author:</w:t>
      </w:r>
      <w:r>
        <w:rPr>
          <w:rFonts w:ascii="Times New Roman" w:hAnsi="Times New Roman" w:cs="Times New Roman"/>
          <w:sz w:val="30"/>
          <w:szCs w:val="30"/>
        </w:rPr>
        <w:t xml:space="preserve"> Dr. Guodong Zhang</w:t>
      </w:r>
    </w:p>
    <w:p>
      <w:pPr>
        <w:tabs>
          <w:tab w:val="left" w:pos="-1440"/>
          <w:tab w:val="left" w:pos="-720"/>
          <w:tab w:val="left" w:pos="0"/>
          <w:tab w:val="left" w:pos="720"/>
          <w:tab w:val="right" w:pos="1440"/>
        </w:tabs>
        <w:spacing w:line="480" w:lineRule="auto"/>
        <w:ind w:left="720" w:leftChars="300" w:right="480" w:rightChars="200" w:firstLine="0" w:firstLineChars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Phone:</w:t>
      </w:r>
      <w:r>
        <w:rPr>
          <w:rFonts w:ascii="Times New Roman" w:hAnsi="Times New Roman" w:cs="Times New Roman"/>
          <w:sz w:val="30"/>
          <w:szCs w:val="30"/>
        </w:rPr>
        <w:t xml:space="preserve"> 240 - 402 - 2943; </w:t>
      </w:r>
      <w:r>
        <w:rPr>
          <w:rFonts w:ascii="Times New Roman" w:hAnsi="Times New Roman" w:cs="Times New Roman"/>
          <w:b/>
          <w:sz w:val="30"/>
          <w:szCs w:val="30"/>
        </w:rPr>
        <w:t>Fax:</w:t>
      </w:r>
      <w:r>
        <w:rPr>
          <w:rFonts w:ascii="Times New Roman" w:hAnsi="Times New Roman" w:cs="Times New Roman"/>
          <w:sz w:val="30"/>
          <w:szCs w:val="30"/>
        </w:rPr>
        <w:t xml:space="preserve"> 301 - 436 - 2644</w:t>
      </w:r>
    </w:p>
    <w:p>
      <w:pPr>
        <w:tabs>
          <w:tab w:val="left" w:pos="-1440"/>
          <w:tab w:val="left" w:pos="-720"/>
          <w:tab w:val="left" w:pos="0"/>
          <w:tab w:val="left" w:pos="720"/>
          <w:tab w:val="right" w:pos="1440"/>
        </w:tabs>
        <w:spacing w:line="480" w:lineRule="auto"/>
        <w:ind w:left="720" w:leftChars="300" w:right="480" w:rightChars="200" w:firstLine="0" w:firstLineChars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E-mail:</w:t>
      </w:r>
      <w:r>
        <w:rPr>
          <w:rFonts w:ascii="Times New Roman" w:hAnsi="Times New Roman" w:cs="Times New Roman"/>
          <w:sz w:val="30"/>
          <w:szCs w:val="30"/>
        </w:rPr>
        <w:t xml:space="preserve"> Guodong.Zhang@FDA.HHS.GOV</w:t>
      </w:r>
    </w:p>
    <w:p>
      <w:pPr>
        <w:spacing w:line="480" w:lineRule="auto"/>
        <w:ind w:left="720" w:leftChars="300" w:right="480" w:rightChars="200" w:firstLine="0" w:firstLineChars="0"/>
        <w:rPr>
          <w:rFonts w:hint="eastAsia" w:ascii="Times New Roman" w:hAnsi="Times New Roman" w:cs="Times New Roman"/>
          <w:b/>
          <w:lang w:val="en-US" w:eastAsia="zh-CN"/>
        </w:rPr>
      </w:pPr>
      <w:r>
        <w:rPr>
          <w:rFonts w:ascii="Times New Roman" w:hAnsi="Times New Roman" w:cs="Times New Roman"/>
          <w:b/>
          <w:sz w:val="30"/>
          <w:szCs w:val="30"/>
        </w:rPr>
        <w:t>Mailing address:</w:t>
      </w:r>
      <w:r>
        <w:rPr>
          <w:rFonts w:ascii="Times New Roman" w:hAnsi="Times New Roman" w:cs="Times New Roman"/>
          <w:sz w:val="30"/>
          <w:szCs w:val="30"/>
        </w:rPr>
        <w:t xml:space="preserve"> Center for Food Safety and Applied Nutrition, Food and Drug Administration, 5001 Campus Dr., College Park, MD  20740</w:t>
      </w:r>
    </w:p>
    <w:p>
      <w:pPr>
        <w:ind w:left="720" w:firstLine="180"/>
        <w:rPr>
          <w:rFonts w:hint="eastAsia" w:ascii="Times New Roman" w:hAnsi="Times New Roman" w:cs="Times New Roman"/>
          <w:b/>
          <w:lang w:val="en-US" w:eastAsia="zh-CN"/>
        </w:rPr>
      </w:pPr>
    </w:p>
    <w:p>
      <w:pPr>
        <w:ind w:left="720" w:firstLine="180"/>
        <w:rPr>
          <w:rFonts w:hint="eastAsia" w:ascii="Times New Roman" w:hAnsi="Times New Roman" w:cs="Times New Roman"/>
          <w:b/>
          <w:lang w:val="en-US" w:eastAsia="zh-CN"/>
        </w:rPr>
      </w:pPr>
    </w:p>
    <w:p>
      <w:pPr>
        <w:ind w:left="720" w:firstLine="180"/>
        <w:rPr>
          <w:rFonts w:hint="eastAsia" w:ascii="Times New Roman" w:hAnsi="Times New Roman" w:cs="Times New Roman"/>
          <w:b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lang w:val="en-US" w:eastAsia="zh-CN"/>
        </w:rPr>
      </w:pPr>
      <w:r>
        <w:rPr>
          <w:rFonts w:hint="eastAsia" w:ascii="Times New Roman" w:hAnsi="Times New Roman" w:cs="Times New Roman"/>
          <w:b/>
          <w:lang w:val="en-US" w:eastAsia="zh-CN"/>
        </w:rPr>
        <w:br w:type="page"/>
      </w:r>
    </w:p>
    <w:p>
      <w:pPr>
        <w:ind w:left="720" w:firstLine="180"/>
        <w:rPr>
          <w:rFonts w:hint="eastAsia" w:ascii="Times New Roman" w:hAnsi="Times New Roman" w:cs="Times New Roman" w:eastAsiaTheme="minorEastAsia"/>
          <w:b/>
          <w:lang w:val="en-US" w:eastAsia="zh-CN"/>
        </w:rPr>
      </w:pPr>
      <w:r>
        <w:rPr>
          <w:rFonts w:hint="eastAsia" w:ascii="Times New Roman" w:hAnsi="Times New Roman" w:cs="Times New Roman"/>
          <w:b/>
          <w:lang w:val="en-US" w:eastAsia="zh-CN"/>
        </w:rPr>
        <w:t xml:space="preserve">Supplementary Table 1. Sources of each </w:t>
      </w:r>
      <w:r>
        <w:rPr>
          <w:rFonts w:hint="eastAsia" w:ascii="Times New Roman" w:hAnsi="Times New Roman" w:cs="Times New Roman"/>
          <w:b/>
          <w:i/>
          <w:iCs/>
          <w:lang w:val="en-US" w:eastAsia="zh-CN"/>
        </w:rPr>
        <w:t xml:space="preserve">Salmonella </w:t>
      </w:r>
      <w:r>
        <w:rPr>
          <w:rFonts w:hint="eastAsia" w:ascii="Times New Roman" w:hAnsi="Times New Roman" w:cs="Times New Roman"/>
          <w:b/>
          <w:lang w:val="en-US" w:eastAsia="zh-CN"/>
        </w:rPr>
        <w:t xml:space="preserve">ser. Enteritidis isolate and their </w:t>
      </w:r>
      <w:r>
        <w:rPr>
          <w:rFonts w:hint="eastAsia" w:ascii="Times New Roman" w:hAnsi="Times New Roman" w:cs="Times New Roman"/>
          <w:b/>
          <w:i/>
          <w:iCs/>
          <w:lang w:val="en-US" w:eastAsia="zh-CN"/>
        </w:rPr>
        <w:t>de novo</w:t>
      </w:r>
      <w:r>
        <w:rPr>
          <w:rFonts w:hint="eastAsia" w:ascii="Times New Roman" w:hAnsi="Times New Roman" w:cs="Times New Roman"/>
          <w:b/>
          <w:lang w:val="en-US" w:eastAsia="zh-CN"/>
        </w:rPr>
        <w:t xml:space="preserve"> assembled genomes.</w:t>
      </w:r>
    </w:p>
    <w:p>
      <w:pPr>
        <w:rPr>
          <w:rFonts w:ascii="Times New Roman" w:hAnsi="Times New Roman" w:cs="Times New Roman"/>
          <w:b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2085"/>
        <w:gridCol w:w="1350"/>
        <w:gridCol w:w="990"/>
        <w:gridCol w:w="1350"/>
        <w:gridCol w:w="1069"/>
        <w:gridCol w:w="1001"/>
        <w:gridCol w:w="144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803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Isolates</w:t>
            </w:r>
          </w:p>
        </w:tc>
        <w:tc>
          <w:tcPr>
            <w:tcW w:w="2085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Location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Genome </w:t>
            </w:r>
          </w:p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Size (Mb)</w:t>
            </w:r>
          </w:p>
        </w:tc>
        <w:tc>
          <w:tcPr>
            <w:tcW w:w="1069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N50 (Mb)</w:t>
            </w:r>
          </w:p>
        </w:tc>
        <w:tc>
          <w:tcPr>
            <w:tcW w:w="1001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# of contigs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Depth of coverage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803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5" w:type="dxa"/>
            <w:vMerge w:val="continue"/>
            <w:tcBorders>
              <w:top w:val="nil"/>
              <w:bottom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1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CFSAN057702</w:t>
            </w:r>
          </w:p>
        </w:tc>
        <w:tc>
          <w:tcPr>
            <w:tcW w:w="2085" w:type="dxa"/>
            <w:tcBorders>
              <w:top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1350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350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01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40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CFSAN057880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Egg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CFSAN025700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:IN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CFSAN024840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USA:MN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CFSAN025717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:AL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CFSAN025708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CFSAN024814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:NH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CFSAN024727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Poultry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Chile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CFSAN024743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Poultry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Chile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CFSAN017081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rozen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iquid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CFSAN057651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Cooked quail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CFSAN002042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lurry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N/A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CFSAN057762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CFSAN057760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CFSAN057767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CFSAN057769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4.64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CFSAN057773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CFSAN057775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CFSAN057780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CFSAN057783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CFSAN057789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CFSAN057791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CFSAN057793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CFSAN057794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CFSAN057795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CFSAN057796</w:t>
            </w:r>
          </w:p>
        </w:tc>
        <w:tc>
          <w:tcPr>
            <w:tcW w:w="2085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CFSAN057812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Pecked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CFSAN032971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whites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CFSAN028530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whites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CFSAN030835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whites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CFSAN033541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whites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USA:PA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4.72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CFSAN027377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CFSAN030066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CFSAN030067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CFSAN030097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CFSAN030496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CFSAN030816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CFSAN030839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USA:WA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CFSAN030852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CFSAN032958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CFSAN032959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4.68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CFSAN032964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CFSAN032970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4.72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CFSAN035289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CFSAN035308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USA:AL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CFSAN035309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CFSAN034151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egg yolks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CFSAN027378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USA:UT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CFSAN027394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USA:NH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CFSAN030081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CFSAN030086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4.63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CFSAN030823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USA:OH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CFSAN032962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CFSAN033543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USA:OH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CFSAN035276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CFSAN035291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CFSAN034231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CFSAN034232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CFSAN035272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whole eggs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USA:TX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CFSAN057837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CFSAN057838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CFSAN057841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CFSAN057814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3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CFSAN058030</w:t>
            </w:r>
          </w:p>
        </w:tc>
        <w:tc>
          <w:tcPr>
            <w:tcW w:w="2085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35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9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01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</w:tbl>
    <w:p>
      <w:pPr>
        <w:adjustRightInd w:val="0"/>
        <w:snapToGrid w:val="0"/>
        <w:ind w:right="1488"/>
        <w:rPr>
          <w:rFonts w:ascii="Times New Roman" w:hAnsi="Times New Roman" w:eastAsia="Times New Roman" w:cs="Times New Roman"/>
          <w:i/>
          <w:color w:val="000000"/>
          <w:sz w:val="20"/>
          <w:szCs w:val="20"/>
          <w:vertAlign w:val="superscript"/>
        </w:rPr>
      </w:pPr>
    </w:p>
    <w:p>
      <w:pPr>
        <w:adjustRightInd w:val="0"/>
        <w:snapToGrid w:val="0"/>
        <w:ind w:left="990" w:right="1080" w:hanging="18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color w:val="000000"/>
          <w:sz w:val="20"/>
          <w:szCs w:val="20"/>
          <w:vertAlign w:val="superscript"/>
        </w:rPr>
        <w:t xml:space="preserve">a </w:t>
      </w:r>
      <w:r>
        <w:rPr>
          <w:rFonts w:ascii="Times New Roman" w:hAnsi="Times New Roman" w:cs="Times New Roman"/>
        </w:rPr>
        <w:t>AL, Alabama; CA, California; GA, Georgia; IA, Iowa; IN, Indiana; MN, Minnesota; NH, New Hampshire; NJ, New Jersey; NY, New York; OH, Ohio; PA, Pennsylvania; TX, Texas; UT, Utah; WA, Washington.</w:t>
      </w:r>
    </w:p>
    <w:p>
      <w:pPr>
        <w:ind w:left="1440" w:right="1488" w:hanging="63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b</w:t>
      </w:r>
      <w:r>
        <w:rPr>
          <w:rFonts w:ascii="Times New Roman" w:hAnsi="Times New Roman" w:cs="Times New Roman"/>
        </w:rPr>
        <w:t xml:space="preserve"> No information in the database.</w:t>
      </w:r>
    </w:p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rPr>
          <w:rFonts w:hint="eastAsia" w:ascii="Times New Roman" w:hAnsi="Times New Roman" w:cs="Times New Roman"/>
          <w:b/>
        </w:rPr>
        <w:t xml:space="preserve">Supplementary Table 2. Sources of each </w:t>
      </w:r>
      <w:r>
        <w:rPr>
          <w:rFonts w:hint="eastAsia" w:ascii="Times New Roman" w:hAnsi="Times New Roman" w:cs="Times New Roman"/>
          <w:b/>
          <w:i/>
          <w:iCs/>
        </w:rPr>
        <w:t>Salmonella</w:t>
      </w:r>
      <w:r>
        <w:rPr>
          <w:rFonts w:hint="eastAsia" w:ascii="Times New Roman" w:hAnsi="Times New Roman" w:cs="Times New Roman"/>
          <w:b/>
        </w:rPr>
        <w:t xml:space="preserve"> ser. Typhimurium isolate and their </w:t>
      </w:r>
      <w:r>
        <w:rPr>
          <w:rFonts w:hint="eastAsia" w:ascii="Times New Roman" w:hAnsi="Times New Roman" w:cs="Times New Roman"/>
          <w:b/>
          <w:i/>
          <w:iCs/>
        </w:rPr>
        <w:t xml:space="preserve">de novo </w:t>
      </w:r>
      <w:r>
        <w:rPr>
          <w:rFonts w:hint="eastAsia" w:ascii="Times New Roman" w:hAnsi="Times New Roman" w:cs="Times New Roman"/>
          <w:b/>
        </w:rPr>
        <w:t>assembled genomes.</w:t>
      </w:r>
    </w:p>
    <w:p>
      <w:pPr>
        <w:rPr>
          <w:rFonts w:ascii="Times New Roman" w:hAnsi="Times New Roman" w:cs="Times New Roman"/>
          <w:b/>
        </w:rPr>
      </w:pPr>
    </w:p>
    <w:tbl>
      <w:tblPr>
        <w:tblStyle w:val="2"/>
        <w:tblpPr w:leftFromText="180" w:rightFromText="180" w:vertAnchor="text" w:tblpXSpec="center" w:tblpY="1"/>
        <w:tblOverlap w:val="never"/>
        <w:tblW w:w="129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3330"/>
        <w:gridCol w:w="1782"/>
        <w:gridCol w:w="990"/>
        <w:gridCol w:w="1386"/>
        <w:gridCol w:w="1044"/>
        <w:gridCol w:w="1098"/>
        <w:gridCol w:w="144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89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Isolates</w:t>
            </w:r>
          </w:p>
        </w:tc>
        <w:tc>
          <w:tcPr>
            <w:tcW w:w="3330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1782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Location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1386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Genome </w:t>
            </w:r>
          </w:p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Size (Mb)</w:t>
            </w:r>
          </w:p>
        </w:tc>
        <w:tc>
          <w:tcPr>
            <w:tcW w:w="1044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N50 (Mb)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# of contigs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Depth of coverage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89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0" w:type="dxa"/>
            <w:vMerge w:val="continue"/>
            <w:tcBorders>
              <w:top w:val="nil"/>
              <w:bottom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2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6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4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8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CFSAN017093</w:t>
            </w:r>
          </w:p>
        </w:tc>
        <w:tc>
          <w:tcPr>
            <w:tcW w:w="3330" w:type="dxa"/>
            <w:tcBorders>
              <w:top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uck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ooked,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rozen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82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990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1044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8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40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CFSAN017094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uck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ooked,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rozen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4.91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CFSAN017095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uck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ooked,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rozen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4.94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CFSAN015377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rozen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alted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uck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4.89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CFSAN015378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rozen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alted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uck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CFSAN015380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rozen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alted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uck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4.89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CFSAN013737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alted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Taiwan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CFSAN014205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alted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uck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Taiwan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4.91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CFSAN015282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hicken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erky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CFSAN027862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USA:CO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5.02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CFSAN029083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5.09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CFSAN029101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CFSAN029123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CFSAN035417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4.89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CFSAN035525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USA:CT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CFSAN035560</w:t>
            </w:r>
          </w:p>
        </w:tc>
        <w:tc>
          <w:tcPr>
            <w:tcW w:w="333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4.98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CFSAN035575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CFSAN036172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CFSAN036174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USA:NM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4.85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CFSAN036177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5.08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CFSAN036179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4.97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CFSAN036183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USA:PA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5.19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CFSAN036186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USA:PA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4.97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CFSAN036257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5.02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CFSAN036272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5.02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CFSAN036362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CFSAN036367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CFSAN041824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4.97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CFSAN041835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CFSAN041875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USA:PA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CFSAN041878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USA:PA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CFSAN041887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USA:PA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5.09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CFSAN040229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CFSAN041662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USA:TN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4.96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CFSAN041925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USA:CT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4.98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CFSAN041934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CFSAN041940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4.98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CFSAN041947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USA:MD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4.96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CFSAN041965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USA:MN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4.94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CFSAN041987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330" w:type="dxa"/>
            <w:noWrap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782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USA:NY</w:t>
            </w:r>
          </w:p>
        </w:tc>
        <w:tc>
          <w:tcPr>
            <w:tcW w:w="990" w:type="dxa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6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4.99</w:t>
            </w:r>
          </w:p>
        </w:tc>
        <w:tc>
          <w:tcPr>
            <w:tcW w:w="1044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</w:tbl>
    <w:p>
      <w:pPr>
        <w:adjustRightInd w:val="0"/>
        <w:snapToGrid w:val="0"/>
        <w:rPr>
          <w:rFonts w:ascii="Times New Roman" w:hAnsi="Times New Roman" w:cs="Times New Roman"/>
        </w:rPr>
      </w:pPr>
    </w:p>
    <w:p>
      <w:pPr>
        <w:adjustRightInd w:val="0"/>
        <w:snapToGrid w:val="0"/>
        <w:ind w:left="9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 xml:space="preserve">a </w:t>
      </w:r>
      <w:r>
        <w:rPr>
          <w:rFonts w:ascii="Times New Roman" w:hAnsi="Times New Roman" w:cs="Times New Roman"/>
        </w:rPr>
        <w:t>CA, California; CT, Connecticut; CO, Colorado; GA, Georgia; MD, Maryland; MN, Minnestota; NM, New Mexico; NY, New York; PA, Pensylvania; TN, Tennessee.</w:t>
      </w:r>
    </w:p>
    <w:p>
      <w:pPr>
        <w:ind w:left="90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 xml:space="preserve">a </w:t>
      </w:r>
      <w:r>
        <w:rPr>
          <w:rFonts w:ascii="Times New Roman" w:hAnsi="Times New Roman" w:eastAsia="Times New Roman" w:cs="Times New Roman"/>
          <w:color w:val="000000"/>
        </w:rPr>
        <w:t>Typhimurium var. 5-.</w:t>
      </w:r>
    </w:p>
    <w:p>
      <w:pPr>
        <w:ind w:left="9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 xml:space="preserve">b </w:t>
      </w:r>
      <w:r>
        <w:rPr>
          <w:rFonts w:ascii="Times New Roman" w:hAnsi="Times New Roman" w:eastAsia="Times New Roman" w:cs="Times New Roman"/>
          <w:color w:val="000000"/>
        </w:rPr>
        <w:t xml:space="preserve">Typhimurium var. O:5-. </w:t>
      </w:r>
    </w:p>
    <w:p/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>
      <w:pPr>
        <w:ind w:left="720"/>
        <w:rPr>
          <w:rFonts w:ascii="Times New Roman" w:hAnsi="Times New Roman" w:cs="Times New Roman"/>
          <w:b/>
        </w:rPr>
      </w:pPr>
      <w:r>
        <w:rPr>
          <w:rFonts w:hint="eastAsia" w:ascii="Times New Roman" w:hAnsi="Times New Roman" w:cs="Times New Roman"/>
          <w:b/>
        </w:rPr>
        <w:t xml:space="preserve">Supplementary Table 3. Sources of each </w:t>
      </w:r>
      <w:r>
        <w:rPr>
          <w:rFonts w:hint="eastAsia" w:ascii="Times New Roman" w:hAnsi="Times New Roman" w:cs="Times New Roman"/>
          <w:b/>
          <w:i/>
          <w:iCs/>
        </w:rPr>
        <w:t>Salmonella</w:t>
      </w:r>
      <w:r>
        <w:rPr>
          <w:rFonts w:hint="eastAsia" w:ascii="Times New Roman" w:hAnsi="Times New Roman" w:cs="Times New Roman"/>
          <w:b/>
        </w:rPr>
        <w:t xml:space="preserve"> ser. Heidelberg</w:t>
      </w:r>
      <w:r>
        <w:rPr>
          <w:rFonts w:hint="eastAsia" w:ascii="Times New Roman" w:hAnsi="Times New Roman" w:cs="Times New Roman"/>
          <w:b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</w:rPr>
        <w:t>isolate and t</w:t>
      </w:r>
      <w:bookmarkStart w:id="0" w:name="_GoBack"/>
      <w:bookmarkEnd w:id="0"/>
      <w:r>
        <w:rPr>
          <w:rFonts w:hint="eastAsia" w:ascii="Times New Roman" w:hAnsi="Times New Roman" w:cs="Times New Roman"/>
          <w:b/>
        </w:rPr>
        <w:t xml:space="preserve">heir </w:t>
      </w:r>
      <w:r>
        <w:rPr>
          <w:rFonts w:hint="eastAsia" w:ascii="Times New Roman" w:hAnsi="Times New Roman" w:cs="Times New Roman"/>
          <w:b/>
          <w:i/>
          <w:iCs/>
        </w:rPr>
        <w:t xml:space="preserve">de novo </w:t>
      </w:r>
      <w:r>
        <w:rPr>
          <w:rFonts w:hint="eastAsia" w:ascii="Times New Roman" w:hAnsi="Times New Roman" w:cs="Times New Roman"/>
          <w:b/>
        </w:rPr>
        <w:t>assembled genomes.</w:t>
      </w:r>
    </w:p>
    <w:p>
      <w:pPr>
        <w:rPr>
          <w:rFonts w:ascii="Times New Roman" w:hAnsi="Times New Roman" w:cs="Times New Roman"/>
          <w:b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160"/>
        <w:gridCol w:w="1530"/>
        <w:gridCol w:w="990"/>
        <w:gridCol w:w="1368"/>
        <w:gridCol w:w="1062"/>
        <w:gridCol w:w="1170"/>
        <w:gridCol w:w="154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80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Isolates</w:t>
            </w:r>
          </w:p>
        </w:tc>
        <w:tc>
          <w:tcPr>
            <w:tcW w:w="2160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153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Location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1368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Genome </w:t>
            </w:r>
          </w:p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Size (Mb)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N50 (Mb)</w:t>
            </w:r>
          </w:p>
        </w:tc>
        <w:tc>
          <w:tcPr>
            <w:tcW w:w="1170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# of contigs</w:t>
            </w:r>
          </w:p>
        </w:tc>
        <w:tc>
          <w:tcPr>
            <w:tcW w:w="1548" w:type="dxa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Depth of coverage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80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vMerge w:val="continue"/>
            <w:tcBorders>
              <w:top w:val="nil"/>
              <w:bottom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8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2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8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CFSAN015479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alad</w:t>
            </w:r>
          </w:p>
        </w:tc>
        <w:tc>
          <w:tcPr>
            <w:tcW w:w="1530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USA:WA</w:t>
            </w:r>
          </w:p>
        </w:tc>
        <w:tc>
          <w:tcPr>
            <w:tcW w:w="990" w:type="dxa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1368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170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48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CFSAN024803</w:t>
            </w:r>
          </w:p>
        </w:tc>
        <w:tc>
          <w:tcPr>
            <w:tcW w:w="216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CFSAN024816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CFSAN024838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CFSAN025710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CFSAN028512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hites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CFSAN033551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hites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CFSAN033559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hites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CFSAN035286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Raw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hites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CFSAN027390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CFSAN028528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4.83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CFSAN032955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USA:AL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CFSAN035301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CFSAN033560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CFSAN035287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yolks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USA:AL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4.80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CFSAN027397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USA:SC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CFSAN028516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USA:AL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CFSAN033536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4.78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CFSAN033547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CFSAN035307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CFSAN034130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CFSAN034209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USA:AL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4.76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CFSAN033552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4.72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CFSAN033555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4.78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CFSAN034223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CFSAN035285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 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USA:IN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CFSAN024808</w:t>
            </w:r>
          </w:p>
        </w:tc>
        <w:tc>
          <w:tcPr>
            <w:tcW w:w="2160" w:type="dxa"/>
            <w:noWrap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USA:SC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CFSAN024821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USA:MI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CFSAN024830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USA:NJ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CFSAN025697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hole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ggs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USA:AL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CFSAN035462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USA:CO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CFSAN035479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USA:NM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4.76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CFSAN035554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5.06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CFSAN036211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USA:CT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CFSAN036243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USA:GA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CFSAN036278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USA:MN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CFSAN036283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USA:NM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5.03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CFSAN036285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USA:NM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CFSAN041699</w:t>
            </w:r>
          </w:p>
        </w:tc>
        <w:tc>
          <w:tcPr>
            <w:tcW w:w="2160" w:type="dxa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Chicken breast</w:t>
            </w:r>
          </w:p>
        </w:tc>
        <w:tc>
          <w:tcPr>
            <w:tcW w:w="153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USA:CA</w:t>
            </w:r>
          </w:p>
        </w:tc>
        <w:tc>
          <w:tcPr>
            <w:tcW w:w="990" w:type="dxa"/>
          </w:tcPr>
          <w:p>
            <w:pPr>
              <w:adjustRightInd w:val="0"/>
              <w:snapToGrid w:val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6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5.03</w:t>
            </w:r>
          </w:p>
        </w:tc>
        <w:tc>
          <w:tcPr>
            <w:tcW w:w="1062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548" w:type="dxa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</w:tbl>
    <w:p>
      <w:pPr>
        <w:adjustRightInd w:val="0"/>
        <w:snapToGrid w:val="0"/>
        <w:ind w:right="1398"/>
        <w:rPr>
          <w:rFonts w:ascii="Times New Roman" w:hAnsi="Times New Roman" w:eastAsia="Times New Roman" w:cs="Times New Roman"/>
          <w:i/>
          <w:color w:val="000000"/>
          <w:vertAlign w:val="superscript"/>
        </w:rPr>
      </w:pPr>
    </w:p>
    <w:p>
      <w:pPr>
        <w:adjustRightInd w:val="0"/>
        <w:snapToGrid w:val="0"/>
        <w:ind w:left="540" w:right="72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 xml:space="preserve">a </w:t>
      </w:r>
      <w:r>
        <w:rPr>
          <w:rFonts w:ascii="Times New Roman" w:hAnsi="Times New Roman" w:cs="Times New Roman"/>
        </w:rPr>
        <w:t>AL, Alabama; CA, California; CO, Colorado; CT, Connecticut; GA, Georgia; IA, Iowa; IN, Indiana; MI, Michigan; MN, Minnesota; NM, New Mexico; NJ, New Jersey; SC, South Carolina; WA, Washington.</w:t>
      </w:r>
    </w:p>
    <w:p>
      <w:pPr>
        <w:ind w:left="540" w:right="720"/>
        <w:rPr>
          <w:rFonts w:ascii="Times New Roman" w:hAnsi="Times New Roman" w:eastAsia="Times New Roman" w:cs="Times New Roman"/>
          <w:b/>
          <w:shd w:val="clear" w:color="auto" w:fill="FFFFFF"/>
        </w:rPr>
      </w:pPr>
    </w:p>
    <w:p/>
    <w:p>
      <w:pPr>
        <w:rPr>
          <w:rFonts w:ascii="Times New Roman" w:hAnsi="Times New Roman" w:cs="Times New Roman"/>
          <w:b/>
        </w:rPr>
      </w:pPr>
    </w:p>
    <w:p>
      <w:r>
        <w:br w:type="page"/>
      </w:r>
    </w:p>
    <w:p>
      <w:pPr>
        <w:spacing w:line="480" w:lineRule="auto"/>
        <w:rPr>
          <w:rFonts w:ascii="Times New Roman" w:hAnsi="Times New Roman" w:eastAsia="Times New Roman" w:cs="Times New Roman"/>
          <w:b/>
          <w:shd w:val="clear" w:color="auto" w:fill="FFFFFF"/>
        </w:rPr>
      </w:pPr>
    </w:p>
    <w:p>
      <w:pPr>
        <w:spacing w:line="480" w:lineRule="auto"/>
        <w:rPr>
          <w:rFonts w:hint="default" w:ascii="Times New Roman" w:hAnsi="Times New Roman" w:eastAsia="Times New Roman" w:cs="Times New Roman"/>
          <w:b/>
          <w:shd w:val="clear" w:color="auto" w:fill="FFFFFF"/>
          <w:lang w:val="en-US"/>
        </w:rPr>
      </w:pPr>
      <w:r>
        <w:rPr>
          <w:rFonts w:hint="default" w:ascii="Times New Roman" w:hAnsi="Times New Roman" w:eastAsia="Times New Roman" w:cs="Times New Roman"/>
          <w:b/>
          <w:shd w:val="clear" w:color="auto" w:fill="FFFFFF"/>
          <w:lang w:val="en-US"/>
        </w:rPr>
        <w:drawing>
          <wp:inline distT="0" distB="0" distL="114300" distR="114300">
            <wp:extent cx="8229600" cy="3092450"/>
            <wp:effectExtent l="0" t="0" r="0" b="1270"/>
            <wp:docPr id="1" name="图片 1" descr="Fig.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1."/>
                    <pic:cNvPicPr>
                      <a:picLocks noChangeAspect="1"/>
                    </pic:cNvPicPr>
                  </pic:nvPicPr>
                  <pic:blipFill>
                    <a:blip r:embed="rId6"/>
                    <a:srcRect b="3319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eastAsia="Times New Roman" w:cs="Times New Roman"/>
          <w:b/>
          <w:shd w:val="clear" w:color="auto" w:fill="FFFFFF"/>
        </w:rPr>
        <w:t>Figure 1</w:t>
      </w:r>
      <w:r>
        <w:rPr>
          <w:rFonts w:ascii="Times New Roman" w:hAnsi="Times New Roman" w:eastAsia="Times New Roman" w:cs="Times New Roman"/>
          <w:b/>
          <w:bCs/>
          <w:shd w:val="clear" w:color="auto" w:fill="FFFFFF"/>
        </w:rPr>
        <w:t>.</w:t>
      </w:r>
      <w:r>
        <w:rPr>
          <w:rFonts w:ascii="Times New Roman" w:hAnsi="Times New Roman" w:cs="Times New Roman"/>
        </w:rPr>
        <w:t xml:space="preserve"> Number of assembled bases (Mb) and N50 contig sizes (Mb) for sequenced </w:t>
      </w:r>
      <w:r>
        <w:rPr>
          <w:rFonts w:ascii="Times New Roman" w:hAnsi="Times New Roman" w:cs="Times New Roman"/>
          <w:i/>
        </w:rPr>
        <w:t xml:space="preserve">Salmonella </w:t>
      </w:r>
      <w:r>
        <w:rPr>
          <w:rFonts w:ascii="Times New Roman" w:hAnsi="Times New Roman" w:cs="Times New Roman"/>
        </w:rPr>
        <w:t>ser.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Enteritidis (A), </w:t>
      </w:r>
      <w:r>
        <w:rPr>
          <w:rFonts w:ascii="Times New Roman" w:hAnsi="Times New Roman" w:cs="Times New Roman"/>
          <w:i/>
        </w:rPr>
        <w:t xml:space="preserve">Salmonella </w:t>
      </w:r>
      <w:r>
        <w:rPr>
          <w:rFonts w:ascii="Times New Roman" w:hAnsi="Times New Roman" w:cs="Times New Roman"/>
        </w:rPr>
        <w:t xml:space="preserve">ser. Typhimurium (B), and </w:t>
      </w:r>
      <w:r>
        <w:rPr>
          <w:rFonts w:ascii="Times New Roman" w:hAnsi="Times New Roman" w:cs="Times New Roman"/>
          <w:i/>
        </w:rPr>
        <w:t xml:space="preserve">Salmonella </w:t>
      </w:r>
      <w:r>
        <w:rPr>
          <w:rFonts w:ascii="Times New Roman" w:hAnsi="Times New Roman" w:cs="Times New Roman"/>
        </w:rPr>
        <w:t xml:space="preserve">ser. </w:t>
      </w:r>
      <w:r>
        <w:rPr>
          <w:rFonts w:ascii="Times New Roman" w:hAnsi="Times New Roman" w:cs="Times New Roman"/>
          <w:lang w:eastAsia="zh-CN"/>
        </w:rPr>
        <w:t xml:space="preserve">Heidelberg (C) </w:t>
      </w:r>
      <w:r>
        <w:rPr>
          <w:rFonts w:ascii="Times New Roman" w:hAnsi="Times New Roman" w:cs="Times New Roman"/>
        </w:rPr>
        <w:t>isolates.</w:t>
      </w:r>
    </w:p>
    <w:p>
      <w:pPr>
        <w:rPr>
          <w:rFonts w:hint="default"/>
          <w:lang w:val="en-US"/>
        </w:rPr>
      </w:pP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Batang">
    <w:altName w:val="Segoe Print"/>
    <w:panose1 w:val="02030600000101010101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D02"/>
    <w:rsid w:val="00863147"/>
    <w:rsid w:val="009A7D02"/>
    <w:rsid w:val="26F24033"/>
    <w:rsid w:val="61F54F07"/>
    <w:rsid w:val="654D1ED3"/>
    <w:rsid w:val="7D10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577</Words>
  <Characters>3294</Characters>
  <Lines>27</Lines>
  <Paragraphs>7</Paragraphs>
  <TotalTime>1</TotalTime>
  <ScaleCrop>false</ScaleCrop>
  <LinksUpToDate>false</LinksUpToDate>
  <CharactersWithSpaces>3864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2019-05-13T18:54:00Z</dcterms:created>
  <dc:creator>Hu, Lijun *</dc:creator>
  <cp:lastModifiedBy>Phoebe君</cp:lastModifiedBy>
  <dcterms:modified xsi:type="dcterms:W3CDTF">2021-06-25T04:47:18Z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3B8CA4BBA9AE494496D0FF71B712D938</vt:lpwstr>
  </property>
</Properties>
</file>