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E19" w:rsidRPr="00F94288" w:rsidRDefault="00C61E19" w:rsidP="00C61E19">
      <w:pPr>
        <w:pStyle w:val="Ttulo2"/>
        <w:spacing w:after="0" w:line="480" w:lineRule="auto"/>
        <w:ind w:left="0"/>
        <w:jc w:val="both"/>
        <w:rPr>
          <w:lang w:val="en-US"/>
        </w:rPr>
      </w:pPr>
      <w:r>
        <w:rPr>
          <w:lang w:val="en-US"/>
        </w:rPr>
        <w:t>SUPPLEMENTARY FILES</w:t>
      </w:r>
      <w:r w:rsidRPr="00F94288">
        <w:rPr>
          <w:u w:val="none"/>
          <w:lang w:val="en-US"/>
        </w:rPr>
        <w:t xml:space="preserve"> </w:t>
      </w:r>
    </w:p>
    <w:p w:rsidR="00C61E19" w:rsidRPr="00F94288" w:rsidRDefault="00C61E19" w:rsidP="00C61E19">
      <w:pPr>
        <w:spacing w:after="0" w:line="480" w:lineRule="auto"/>
        <w:ind w:left="0"/>
        <w:rPr>
          <w:lang w:val="en-US"/>
        </w:rPr>
      </w:pPr>
      <w:r w:rsidRPr="00F94288">
        <w:rPr>
          <w:b/>
          <w:color w:val="222222"/>
          <w:lang w:val="en-US"/>
        </w:rPr>
        <w:t>Supplementary Table 1</w:t>
      </w:r>
      <w:r w:rsidRPr="00F94288">
        <w:rPr>
          <w:lang w:val="en-US"/>
        </w:rPr>
        <w:t xml:space="preserve">: List of primers used in RT-qPCR analysis. </w:t>
      </w:r>
    </w:p>
    <w:p w:rsidR="00C61E19" w:rsidRDefault="00C61E19" w:rsidP="00C61E19">
      <w:pPr>
        <w:spacing w:after="0" w:line="480" w:lineRule="auto"/>
        <w:ind w:left="0"/>
        <w:rPr>
          <w:lang w:val="en-US"/>
        </w:rPr>
      </w:pPr>
      <w:r w:rsidRPr="00F94288">
        <w:rPr>
          <w:b/>
          <w:color w:val="222222"/>
          <w:lang w:val="en-US"/>
        </w:rPr>
        <w:t>Supplementary Table 2</w:t>
      </w:r>
      <w:r w:rsidRPr="00F94288">
        <w:rPr>
          <w:color w:val="222222"/>
          <w:lang w:val="en-US"/>
        </w:rPr>
        <w:t>:</w:t>
      </w:r>
      <w:r w:rsidRPr="00F94288">
        <w:rPr>
          <w:lang w:val="en-US"/>
        </w:rPr>
        <w:t xml:space="preserve"> List of the 2384 differentially expressed genes identified by the chip array assay using a ≥2-fold change as a cutoff to define overexpression or downregulation. </w:t>
      </w:r>
    </w:p>
    <w:p w:rsidR="00C61E19" w:rsidRPr="00F94288" w:rsidRDefault="00C61E19" w:rsidP="00C61E19">
      <w:pPr>
        <w:spacing w:after="0" w:line="480" w:lineRule="auto"/>
        <w:ind w:left="0"/>
        <w:rPr>
          <w:lang w:val="en-US"/>
        </w:rPr>
      </w:pPr>
      <w:r w:rsidRPr="00F94288">
        <w:rPr>
          <w:b/>
          <w:color w:val="222222"/>
          <w:lang w:val="en-US"/>
        </w:rPr>
        <w:t xml:space="preserve">Supplementary Table </w:t>
      </w:r>
      <w:r>
        <w:rPr>
          <w:b/>
          <w:color w:val="222222"/>
          <w:lang w:val="en-US"/>
        </w:rPr>
        <w:t>3:</w:t>
      </w:r>
      <w:r w:rsidRPr="00EC24DC">
        <w:rPr>
          <w:lang w:val="en-US"/>
        </w:rPr>
        <w:t xml:space="preserve"> </w:t>
      </w:r>
      <w:r w:rsidRPr="00F94288">
        <w:rPr>
          <w:lang w:val="en-US"/>
        </w:rPr>
        <w:t>List of the differentially expressed genes that were identified by the chip array assay and potentially regulated by C-JUN and C-FOS.</w:t>
      </w:r>
    </w:p>
    <w:p w:rsidR="00C61E19" w:rsidRDefault="00C61E19" w:rsidP="00C61E19">
      <w:pPr>
        <w:spacing w:after="0" w:line="480" w:lineRule="auto"/>
        <w:ind w:left="0"/>
        <w:rPr>
          <w:color w:val="222222"/>
          <w:lang w:val="en-US"/>
        </w:rPr>
      </w:pPr>
      <w:r w:rsidRPr="00F94288">
        <w:rPr>
          <w:b/>
          <w:color w:val="222222"/>
          <w:lang w:val="en-US"/>
        </w:rPr>
        <w:t xml:space="preserve">Supplementary Table </w:t>
      </w:r>
      <w:r>
        <w:rPr>
          <w:b/>
          <w:color w:val="222222"/>
          <w:lang w:val="en-US"/>
        </w:rPr>
        <w:t>4</w:t>
      </w:r>
      <w:r w:rsidRPr="00F94288">
        <w:rPr>
          <w:b/>
          <w:color w:val="222222"/>
          <w:lang w:val="en-US"/>
        </w:rPr>
        <w:t>:</w:t>
      </w:r>
      <w:r w:rsidRPr="00F94288">
        <w:rPr>
          <w:lang w:val="en-US"/>
        </w:rPr>
        <w:t xml:space="preserve"> List of 762 differentially expressed genes identified by the chip array assay </w:t>
      </w:r>
      <w:r w:rsidRPr="00F94288">
        <w:rPr>
          <w:color w:val="222222"/>
          <w:lang w:val="en-US"/>
        </w:rPr>
        <w:t xml:space="preserve">related to NRIP1 silencing. </w:t>
      </w:r>
    </w:p>
    <w:p w:rsidR="00FA6A3A" w:rsidRDefault="00FA6A3A" w:rsidP="00C61E19">
      <w:pPr>
        <w:spacing w:after="0" w:line="480" w:lineRule="auto"/>
        <w:ind w:left="0"/>
        <w:rPr>
          <w:color w:val="222222"/>
          <w:lang w:val="en-US"/>
        </w:rPr>
      </w:pPr>
    </w:p>
    <w:p w:rsidR="00FA6A3A" w:rsidRDefault="00FA6A3A" w:rsidP="00FA6A3A">
      <w:pPr>
        <w:spacing w:after="0" w:line="480" w:lineRule="auto"/>
        <w:ind w:left="0" w:hanging="11"/>
        <w:rPr>
          <w:lang w:val="en-US"/>
        </w:rPr>
      </w:pPr>
      <w:bookmarkStart w:id="0" w:name="_GoBack"/>
      <w:bookmarkEnd w:id="0"/>
      <w:r w:rsidRPr="00F80C73">
        <w:rPr>
          <w:b/>
          <w:highlight w:val="yellow"/>
          <w:lang w:val="en-US"/>
        </w:rPr>
        <w:t xml:space="preserve">Supplementary figure </w:t>
      </w:r>
      <w:r w:rsidRPr="00F80C73">
        <w:rPr>
          <w:b/>
          <w:highlight w:val="yellow"/>
          <w:lang w:val="en-US"/>
        </w:rPr>
        <w:t xml:space="preserve">1: Original images from Western blot assays. </w:t>
      </w:r>
      <w:r w:rsidRPr="00F80C73">
        <w:rPr>
          <w:highlight w:val="yellow"/>
          <w:lang w:val="en-US"/>
        </w:rPr>
        <w:t>Western blot analysis of C-JUN, C-FOS, C-JUN phosphorylated (c-</w:t>
      </w:r>
      <w:proofErr w:type="spellStart"/>
      <w:r w:rsidRPr="00F80C73">
        <w:rPr>
          <w:highlight w:val="yellow"/>
          <w:lang w:val="en-US"/>
        </w:rPr>
        <w:t>JUNp</w:t>
      </w:r>
      <w:proofErr w:type="spellEnd"/>
      <w:r w:rsidRPr="00F80C73">
        <w:rPr>
          <w:highlight w:val="yellow"/>
          <w:lang w:val="en-US"/>
        </w:rPr>
        <w:t>) and C-FOS phosphorylated (c-</w:t>
      </w:r>
      <w:proofErr w:type="spellStart"/>
      <w:r w:rsidRPr="00F80C73">
        <w:rPr>
          <w:highlight w:val="yellow"/>
          <w:lang w:val="en-US"/>
        </w:rPr>
        <w:t>FOSp</w:t>
      </w:r>
      <w:proofErr w:type="spellEnd"/>
      <w:r w:rsidRPr="00F80C73">
        <w:rPr>
          <w:highlight w:val="yellow"/>
          <w:lang w:val="en-US"/>
        </w:rPr>
        <w:t>) antibodies. Thirty micrograms of protein extracts from Healthy Donor and LUM A breast tissues were separated by SDS-PAGE and probed with the previously mentioned specific antibodies.</w:t>
      </w:r>
      <w:r w:rsidRPr="00F94288">
        <w:rPr>
          <w:lang w:val="en-US"/>
        </w:rPr>
        <w:t xml:space="preserve"> </w:t>
      </w:r>
    </w:p>
    <w:p w:rsidR="00FA6A3A" w:rsidRPr="00F94288" w:rsidRDefault="00FA6A3A" w:rsidP="00C61E19">
      <w:pPr>
        <w:spacing w:after="0" w:line="480" w:lineRule="auto"/>
        <w:ind w:left="0"/>
        <w:rPr>
          <w:lang w:val="en-US"/>
        </w:rPr>
      </w:pPr>
    </w:p>
    <w:p w:rsidR="00C61E19" w:rsidRDefault="00C61E19" w:rsidP="00C61E19">
      <w:pPr>
        <w:spacing w:after="0" w:line="480" w:lineRule="auto"/>
        <w:ind w:left="0"/>
        <w:rPr>
          <w:i/>
          <w:sz w:val="22"/>
          <w:lang w:val="en-US"/>
        </w:rPr>
      </w:pPr>
      <w:r w:rsidRPr="00F94288">
        <w:rPr>
          <w:b/>
          <w:lang w:val="en-US"/>
        </w:rPr>
        <w:t xml:space="preserve">Supplementary figure </w:t>
      </w:r>
      <w:r w:rsidR="00FA6A3A">
        <w:rPr>
          <w:b/>
          <w:lang w:val="en-US"/>
        </w:rPr>
        <w:t>2</w:t>
      </w:r>
      <w:r w:rsidRPr="00F94288">
        <w:rPr>
          <w:lang w:val="en-US"/>
        </w:rPr>
        <w:t xml:space="preserve">: </w:t>
      </w:r>
      <w:r w:rsidRPr="009D4EE6">
        <w:rPr>
          <w:b/>
          <w:highlight w:val="yellow"/>
          <w:lang w:val="en-US"/>
        </w:rPr>
        <w:t>Analysis of 45 genes regulated by C-JUN and/or C-FOS</w:t>
      </w:r>
      <w:r w:rsidRPr="009D4EE6">
        <w:rPr>
          <w:b/>
          <w:lang w:val="en-US"/>
        </w:rPr>
        <w:t>.</w:t>
      </w:r>
      <w:r>
        <w:rPr>
          <w:lang w:val="en-US"/>
        </w:rPr>
        <w:t xml:space="preserve"> </w:t>
      </w:r>
      <w:r w:rsidRPr="00F94288">
        <w:rPr>
          <w:lang w:val="en-US"/>
        </w:rPr>
        <w:t>Box plot analysis of the 45 differentially expressed genes in luminal A that could be regulated by C-JUN and/or C-FOS transcription factors using the GTCGA-BC/GTEX dataset. The bars indicate the mean mRNA levels (± standard deviation). **p&lt;0.01, ***p&lt;0.001, ****p&lt;0.0001.</w:t>
      </w:r>
      <w:r w:rsidRPr="00F94288">
        <w:rPr>
          <w:i/>
          <w:sz w:val="22"/>
          <w:lang w:val="en-US"/>
        </w:rPr>
        <w:t xml:space="preserve"> </w:t>
      </w:r>
    </w:p>
    <w:p w:rsidR="00C61E19" w:rsidRDefault="00C61E19" w:rsidP="00C61E19">
      <w:pPr>
        <w:spacing w:after="0" w:line="480" w:lineRule="auto"/>
        <w:ind w:left="0" w:hanging="11"/>
        <w:rPr>
          <w:i/>
          <w:sz w:val="22"/>
          <w:lang w:val="en-US"/>
        </w:rPr>
      </w:pPr>
    </w:p>
    <w:p w:rsidR="00C61E19" w:rsidRPr="00F94288" w:rsidRDefault="00C61E19" w:rsidP="00C61E19">
      <w:pPr>
        <w:spacing w:after="0" w:line="480" w:lineRule="auto"/>
        <w:ind w:left="0" w:hanging="11"/>
        <w:rPr>
          <w:lang w:val="en-US"/>
        </w:rPr>
      </w:pPr>
      <w:r w:rsidRPr="00970B7B">
        <w:rPr>
          <w:b/>
          <w:highlight w:val="yellow"/>
          <w:lang w:val="en-US"/>
        </w:rPr>
        <w:lastRenderedPageBreak/>
        <w:t xml:space="preserve">Supplementary figure </w:t>
      </w:r>
      <w:r w:rsidR="00FA6A3A">
        <w:rPr>
          <w:b/>
          <w:highlight w:val="yellow"/>
          <w:lang w:val="en-US"/>
        </w:rPr>
        <w:t>3</w:t>
      </w:r>
      <w:r w:rsidRPr="00970B7B">
        <w:rPr>
          <w:b/>
          <w:highlight w:val="yellow"/>
          <w:lang w:val="en-US"/>
        </w:rPr>
        <w:t>: RT-qPCR</w:t>
      </w:r>
      <w:r w:rsidRPr="00970B7B">
        <w:rPr>
          <w:b/>
          <w:i/>
          <w:highlight w:val="yellow"/>
          <w:lang w:val="en-US"/>
        </w:rPr>
        <w:t xml:space="preserve"> </w:t>
      </w:r>
      <w:r w:rsidRPr="00970B7B">
        <w:rPr>
          <w:b/>
          <w:highlight w:val="yellow"/>
          <w:lang w:val="en-US"/>
        </w:rPr>
        <w:t xml:space="preserve">of </w:t>
      </w:r>
      <w:r w:rsidRPr="00970B7B">
        <w:rPr>
          <w:b/>
          <w:i/>
          <w:highlight w:val="yellow"/>
          <w:lang w:val="en-US"/>
        </w:rPr>
        <w:t>NRIP1</w:t>
      </w:r>
      <w:r w:rsidRPr="00970B7B">
        <w:rPr>
          <w:b/>
          <w:highlight w:val="yellow"/>
          <w:lang w:val="en-US"/>
        </w:rPr>
        <w:t xml:space="preserve"> target genes after </w:t>
      </w:r>
      <w:r w:rsidRPr="00970B7B">
        <w:rPr>
          <w:b/>
          <w:i/>
          <w:iCs/>
          <w:highlight w:val="yellow"/>
          <w:lang w:val="en-US"/>
        </w:rPr>
        <w:t>NRIP1</w:t>
      </w:r>
      <w:r w:rsidRPr="00970B7B">
        <w:rPr>
          <w:b/>
          <w:highlight w:val="yellow"/>
          <w:lang w:val="en-US"/>
        </w:rPr>
        <w:t xml:space="preserve"> silencing using T47D cell line. </w:t>
      </w:r>
      <w:r w:rsidRPr="00970B7B">
        <w:rPr>
          <w:highlight w:val="yellow"/>
          <w:lang w:val="en-US"/>
        </w:rPr>
        <w:t xml:space="preserve">To determine the changes in the mRNA levels of </w:t>
      </w:r>
      <w:r w:rsidRPr="00970B7B">
        <w:rPr>
          <w:i/>
          <w:iCs/>
          <w:highlight w:val="yellow"/>
          <w:lang w:val="en-US"/>
        </w:rPr>
        <w:t>CCDN1</w:t>
      </w:r>
      <w:r w:rsidRPr="00970B7B">
        <w:rPr>
          <w:highlight w:val="yellow"/>
          <w:lang w:val="en-US"/>
        </w:rPr>
        <w:t xml:space="preserve">, </w:t>
      </w:r>
      <w:r w:rsidRPr="00970B7B">
        <w:rPr>
          <w:i/>
          <w:highlight w:val="yellow"/>
          <w:lang w:val="en-US"/>
        </w:rPr>
        <w:t>ESR1</w:t>
      </w:r>
      <w:r w:rsidRPr="00970B7B">
        <w:rPr>
          <w:highlight w:val="yellow"/>
          <w:lang w:val="en-US"/>
        </w:rPr>
        <w:t xml:space="preserve"> and </w:t>
      </w:r>
      <w:r w:rsidRPr="007D5F17">
        <w:rPr>
          <w:i/>
          <w:iCs/>
          <w:color w:val="auto"/>
          <w:highlight w:val="yellow"/>
          <w:lang w:val="en-US"/>
        </w:rPr>
        <w:t>PGR</w:t>
      </w:r>
      <w:r w:rsidRPr="007D5F17">
        <w:rPr>
          <w:color w:val="auto"/>
          <w:highlight w:val="yellow"/>
          <w:lang w:val="en-US"/>
        </w:rPr>
        <w:t xml:space="preserve"> </w:t>
      </w:r>
      <w:r w:rsidRPr="00970B7B">
        <w:rPr>
          <w:highlight w:val="yellow"/>
          <w:lang w:val="en-US"/>
        </w:rPr>
        <w:t xml:space="preserve">genes after NRIP1 silencing, RT-qPCR assays were performed. The endogenous gene </w:t>
      </w:r>
      <w:r w:rsidRPr="00970B7B">
        <w:rPr>
          <w:i/>
          <w:highlight w:val="yellow"/>
          <w:lang w:val="en-US"/>
        </w:rPr>
        <w:t xml:space="preserve">GAPDH </w:t>
      </w:r>
      <w:r w:rsidRPr="00970B7B">
        <w:rPr>
          <w:highlight w:val="yellow"/>
          <w:lang w:val="en-US"/>
        </w:rPr>
        <w:t xml:space="preserve">was used for data normalization. The mRNA levels of </w:t>
      </w:r>
      <w:r w:rsidRPr="00970B7B">
        <w:rPr>
          <w:i/>
          <w:highlight w:val="yellow"/>
          <w:lang w:val="en-US"/>
        </w:rPr>
        <w:t xml:space="preserve">CCND1, ESR1 </w:t>
      </w:r>
      <w:r w:rsidRPr="00970B7B">
        <w:rPr>
          <w:iCs/>
          <w:highlight w:val="yellow"/>
          <w:lang w:val="en-US"/>
        </w:rPr>
        <w:t>and</w:t>
      </w:r>
      <w:r w:rsidRPr="00970B7B">
        <w:rPr>
          <w:i/>
          <w:highlight w:val="yellow"/>
          <w:lang w:val="en-US"/>
        </w:rPr>
        <w:t xml:space="preserve"> PGR </w:t>
      </w:r>
      <w:r w:rsidRPr="00970B7B">
        <w:rPr>
          <w:highlight w:val="yellow"/>
          <w:lang w:val="en-US"/>
        </w:rPr>
        <w:t xml:space="preserve">are decreased in T47D </w:t>
      </w:r>
      <w:r w:rsidRPr="00970B7B">
        <w:rPr>
          <w:i/>
          <w:iCs/>
          <w:highlight w:val="yellow"/>
          <w:lang w:val="en-US"/>
        </w:rPr>
        <w:t>NRIP1</w:t>
      </w:r>
      <w:r w:rsidRPr="00970B7B">
        <w:rPr>
          <w:highlight w:val="yellow"/>
          <w:lang w:val="en-US"/>
        </w:rPr>
        <w:t xml:space="preserve"> silencing cell line. The bars indicate the mean mRNA levels (± standard deviation). </w:t>
      </w:r>
      <w:r w:rsidRPr="00F94288">
        <w:rPr>
          <w:i/>
          <w:sz w:val="22"/>
          <w:lang w:val="en-US"/>
        </w:rPr>
        <w:t xml:space="preserve"> </w:t>
      </w:r>
    </w:p>
    <w:p w:rsidR="007239F2" w:rsidRPr="00C61E19" w:rsidRDefault="007239F2" w:rsidP="00C61E19">
      <w:pPr>
        <w:ind w:left="0" w:firstLine="0"/>
      </w:pPr>
    </w:p>
    <w:sectPr w:rsidR="007239F2" w:rsidRPr="00C61E19" w:rsidSect="00CB43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17" w:right="1701" w:bottom="1417" w:left="1701" w:header="28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4BB" w:rsidRDefault="003434BB">
      <w:pPr>
        <w:spacing w:after="0" w:line="240" w:lineRule="auto"/>
      </w:pPr>
      <w:r>
        <w:separator/>
      </w:r>
    </w:p>
  </w:endnote>
  <w:endnote w:type="continuationSeparator" w:id="0">
    <w:p w:rsidR="003434BB" w:rsidRDefault="00343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331761"/>
      <w:docPartObj>
        <w:docPartGallery w:val="Page Numbers (Bottom of Page)"/>
        <w:docPartUnique/>
      </w:docPartObj>
    </w:sdtPr>
    <w:sdtEndPr/>
    <w:sdtContent>
      <w:p w:rsidR="00185A3E" w:rsidRDefault="00C61E19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85122" w:rsidRDefault="003434BB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7220023"/>
      <w:docPartObj>
        <w:docPartGallery w:val="Page Numbers (Bottom of Page)"/>
        <w:docPartUnique/>
      </w:docPartObj>
    </w:sdtPr>
    <w:sdtEndPr/>
    <w:sdtContent>
      <w:p w:rsidR="006562FB" w:rsidRDefault="00C61E19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85122" w:rsidRDefault="003434BB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122" w:rsidRDefault="003434B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4BB" w:rsidRDefault="003434BB">
      <w:pPr>
        <w:spacing w:after="0" w:line="240" w:lineRule="auto"/>
      </w:pPr>
      <w:r>
        <w:separator/>
      </w:r>
    </w:p>
  </w:footnote>
  <w:footnote w:type="continuationSeparator" w:id="0">
    <w:p w:rsidR="003434BB" w:rsidRDefault="00343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122" w:rsidRDefault="003434B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122" w:rsidRDefault="003434B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122" w:rsidRDefault="003434BB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19"/>
    <w:rsid w:val="003434BB"/>
    <w:rsid w:val="007239F2"/>
    <w:rsid w:val="00C61E19"/>
    <w:rsid w:val="00F80C73"/>
    <w:rsid w:val="00FA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3748"/>
  <w15:chartTrackingRefBased/>
  <w15:docId w15:val="{2DEAB899-C20A-4B9D-B62A-57F93C61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E19"/>
    <w:pPr>
      <w:spacing w:after="4" w:line="485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C61E19"/>
    <w:pPr>
      <w:keepNext/>
      <w:keepLines/>
      <w:spacing w:after="271"/>
      <w:ind w:left="1612" w:hanging="10"/>
      <w:outlineLvl w:val="1"/>
    </w:pPr>
    <w:rPr>
      <w:rFonts w:ascii="Calibri" w:eastAsia="Calibri" w:hAnsi="Calibri" w:cs="Calibri"/>
      <w:b/>
      <w:i/>
      <w:color w:val="000000"/>
      <w:sz w:val="24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61E19"/>
    <w:rPr>
      <w:rFonts w:ascii="Calibri" w:eastAsia="Calibri" w:hAnsi="Calibri" w:cs="Calibri"/>
      <w:b/>
      <w:i/>
      <w:color w:val="000000"/>
      <w:sz w:val="24"/>
      <w:u w:val="single" w:color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1E1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C61E19"/>
    <w:rPr>
      <w:rFonts w:eastAsiaTheme="minorEastAsia" w:cs="Times New Roman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C61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Binato Gomes</dc:creator>
  <cp:keywords/>
  <dc:description/>
  <cp:lastModifiedBy>Renata Binato Gomes</cp:lastModifiedBy>
  <cp:revision>3</cp:revision>
  <dcterms:created xsi:type="dcterms:W3CDTF">2021-08-17T14:02:00Z</dcterms:created>
  <dcterms:modified xsi:type="dcterms:W3CDTF">2021-08-24T13:22:00Z</dcterms:modified>
</cp:coreProperties>
</file>