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6F17A" w14:textId="77777777" w:rsidR="00F23F2A" w:rsidRDefault="00F23F2A" w:rsidP="00F23F2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56"/>
          <w:szCs w:val="56"/>
          <w:lang w:val="en-US"/>
        </w:rPr>
      </w:pPr>
    </w:p>
    <w:p w14:paraId="3145FEC3" w14:textId="77777777" w:rsidR="00F23F2A" w:rsidRDefault="00F23F2A" w:rsidP="00F23F2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56"/>
          <w:szCs w:val="56"/>
          <w:lang w:val="en-US"/>
        </w:rPr>
      </w:pPr>
    </w:p>
    <w:p w14:paraId="13516285" w14:textId="77777777" w:rsidR="00F23F2A" w:rsidRDefault="00F23F2A" w:rsidP="00F23F2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56"/>
          <w:szCs w:val="56"/>
          <w:lang w:val="en-US"/>
        </w:rPr>
      </w:pPr>
    </w:p>
    <w:p w14:paraId="4A37BD04" w14:textId="654B42DF" w:rsidR="00F23F2A" w:rsidRPr="00F23F2A" w:rsidRDefault="00F23F2A" w:rsidP="00F23F2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23F2A">
        <w:rPr>
          <w:rFonts w:ascii="Times New Roman" w:hAnsi="Times New Roman" w:cs="Times New Roman"/>
          <w:b/>
          <w:bCs/>
          <w:sz w:val="56"/>
          <w:szCs w:val="56"/>
          <w:lang w:val="en-US"/>
        </w:rPr>
        <w:t>Supplementary Figures</w:t>
      </w:r>
    </w:p>
    <w:p w14:paraId="5C34081C" w14:textId="77777777" w:rsidR="00F23F2A" w:rsidRDefault="00F23F2A" w:rsidP="00F23F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C28E8BD" w14:textId="77777777" w:rsidR="00F23F2A" w:rsidRDefault="00F23F2A" w:rsidP="00F23F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AB2FED1" w14:textId="77777777" w:rsidR="00F23F2A" w:rsidRDefault="00F23F2A" w:rsidP="00F23F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193F855" w14:textId="77777777" w:rsidR="00F23F2A" w:rsidRDefault="00F23F2A" w:rsidP="00F23F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05CF8C7" w14:textId="77777777" w:rsidR="00F23F2A" w:rsidRDefault="00F23F2A" w:rsidP="00F23F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3E915C0" w14:textId="77777777" w:rsidR="00F23F2A" w:rsidRDefault="00F23F2A" w:rsidP="00F23F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E088815" w14:textId="69C0C8ED" w:rsidR="00F23F2A" w:rsidRPr="00770402" w:rsidRDefault="00F23F2A" w:rsidP="00F23F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7040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 duplicated copy of </w:t>
      </w:r>
      <w:r w:rsidRPr="0077040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id2b </w:t>
      </w:r>
      <w:r w:rsidRPr="00770402">
        <w:rPr>
          <w:rFonts w:ascii="Times New Roman" w:hAnsi="Times New Roman" w:cs="Times New Roman"/>
          <w:b/>
          <w:bCs/>
          <w:sz w:val="28"/>
          <w:szCs w:val="28"/>
          <w:lang w:val="en-US"/>
        </w:rPr>
        <w:t>in the male-specific region of the arapaima genome extends the spectrum of candidate sex-determining genes</w:t>
      </w:r>
    </w:p>
    <w:p w14:paraId="38597269" w14:textId="00F7E547" w:rsidR="00F23F2A" w:rsidRPr="00F23F2A" w:rsidRDefault="00F23F2A" w:rsidP="00F23F2A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F23F2A">
        <w:rPr>
          <w:rFonts w:ascii="Times New Roman" w:hAnsi="Times New Roman" w:cs="Times New Roman"/>
          <w:sz w:val="20"/>
          <w:szCs w:val="20"/>
          <w:lang w:val="en-US"/>
        </w:rPr>
        <w:t>Mateus C. Adolfi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1*+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Kang Du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1,2+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Susanne Kneitz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F23F2A">
        <w:rPr>
          <w:rFonts w:ascii="Times New Roman" w:eastAsia="Times New Roman" w:hAnsi="Times New Roman" w:cs="Times New Roman"/>
          <w:sz w:val="20"/>
          <w:szCs w:val="20"/>
          <w:lang w:val="en-US"/>
        </w:rPr>
        <w:t>Cédric Cabau</w:t>
      </w:r>
      <w:r w:rsidRPr="00F23F2A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Margot Zahm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F23F2A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Christophe Klopp</w:t>
      </w:r>
      <w:r w:rsidRPr="00F23F2A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n-US"/>
        </w:rPr>
        <w:t>5</w:t>
      </w:r>
      <w:r w:rsidRPr="00F23F2A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,</w:t>
      </w:r>
      <w:r w:rsidRPr="00F23F2A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n-US"/>
        </w:rPr>
        <w:t xml:space="preserve"> </w:t>
      </w:r>
      <w:r w:rsidRPr="00F23F2A">
        <w:rPr>
          <w:rFonts w:ascii="Times New Roman" w:hAnsi="Times New Roman" w:cs="Times New Roman"/>
          <w:bCs/>
          <w:sz w:val="20"/>
          <w:szCs w:val="20"/>
          <w:lang w:val="en-US"/>
        </w:rPr>
        <w:t>Romain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 xml:space="preserve"> Feron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6,7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Rômulo V. Paixão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8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Eduardo S. Varela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9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Fernanda L. de Almeida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8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Marcos A. de Oliveira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10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Rafael H. Nóbrega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10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Céline Lopez-Roques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11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Carole Iampietro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11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Jérôme Lluch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11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bookmarkStart w:id="0" w:name="_Hlk66186358"/>
      <w:r w:rsidRPr="00F23F2A">
        <w:rPr>
          <w:rFonts w:ascii="Times New Roman" w:hAnsi="Times New Roman" w:cs="Times New Roman"/>
          <w:sz w:val="20"/>
          <w:szCs w:val="20"/>
          <w:lang w:val="en-US"/>
        </w:rPr>
        <w:t>Werner Kloas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12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Sven Wuertz</w:t>
      </w:r>
      <w:r w:rsidRPr="00F23F2A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12</w:t>
      </w:r>
      <w:r w:rsidRPr="00F23F2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 Fabian Schaefer</w:t>
      </w:r>
      <w:r w:rsidRPr="00F23F2A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12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Matthias Stöck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12,13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Yann Guiguen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>, Manfred Schartl</w:t>
      </w:r>
      <w:r w:rsidRPr="00F23F2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</w:p>
    <w:bookmarkEnd w:id="0"/>
    <w:p w14:paraId="3E786C62" w14:textId="77777777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A86E562" w14:textId="5327F1E9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3F2A">
        <w:rPr>
          <w:rFonts w:ascii="Times New Roman" w:hAnsi="Times New Roman" w:cs="Times New Roman"/>
          <w:sz w:val="20"/>
          <w:szCs w:val="20"/>
          <w:lang w:val="en-US"/>
        </w:rPr>
        <w:t>1 Developmental Biochemistry, Biocenter, University of Wuerzburg, Am Hubland, 97074, Wuerzburg, Germany</w:t>
      </w:r>
    </w:p>
    <w:p w14:paraId="041AC622" w14:textId="77777777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3F2A">
        <w:rPr>
          <w:rFonts w:ascii="Times New Roman" w:hAnsi="Times New Roman" w:cs="Times New Roman"/>
          <w:sz w:val="20"/>
          <w:szCs w:val="20"/>
          <w:lang w:val="en-US"/>
        </w:rPr>
        <w:t xml:space="preserve">2 </w:t>
      </w:r>
      <w:bookmarkStart w:id="1" w:name="_Hlk66953633"/>
      <w:r w:rsidRPr="00F23F2A">
        <w:rPr>
          <w:rFonts w:ascii="Times New Roman" w:hAnsi="Times New Roman" w:cs="Times New Roman"/>
          <w:sz w:val="20"/>
          <w:szCs w:val="20"/>
          <w:lang w:val="en-US"/>
        </w:rPr>
        <w:t>The Xiphophorus Genetic Stock Center, Department of Chemistry and Biochemistry, Texas State University, San Marcos, Texas, TX 78666, USA</w:t>
      </w:r>
      <w:bookmarkEnd w:id="1"/>
    </w:p>
    <w:p w14:paraId="122FBE8D" w14:textId="77777777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3F2A">
        <w:rPr>
          <w:rFonts w:ascii="Times New Roman" w:hAnsi="Times New Roman" w:cs="Times New Roman"/>
          <w:sz w:val="20"/>
          <w:szCs w:val="20"/>
          <w:lang w:val="en-US"/>
        </w:rPr>
        <w:t>3 Biochemistry and Cell Biology, Biocenter, University of Wuerzburg, Am Hubland, 97074 Wuerzburg, Germany</w:t>
      </w:r>
    </w:p>
    <w:p w14:paraId="4CADE38A" w14:textId="148B5163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3F2A">
        <w:rPr>
          <w:rFonts w:ascii="Times New Roman" w:hAnsi="Times New Roman" w:cs="Times New Roman"/>
          <w:sz w:val="20"/>
          <w:szCs w:val="20"/>
          <w:lang w:val="en-US"/>
        </w:rPr>
        <w:t xml:space="preserve">4 </w:t>
      </w:r>
      <w:r w:rsidRPr="00F23F2A">
        <w:rPr>
          <w:rFonts w:ascii="Times New Roman" w:hAnsi="Times New Roman" w:cs="Times New Roman"/>
          <w:color w:val="000000"/>
          <w:sz w:val="20"/>
          <w:szCs w:val="20"/>
          <w:lang w:val="en-US"/>
        </w:rPr>
        <w:t>Sigenae, GenPhySE, Université de Toulouse, INRAE, ENVT, FR</w:t>
      </w:r>
    </w:p>
    <w:p w14:paraId="45FF0770" w14:textId="3FBE0F3E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3F2A">
        <w:rPr>
          <w:rFonts w:ascii="Times New Roman" w:hAnsi="Times New Roman" w:cs="Times New Roman"/>
          <w:sz w:val="20"/>
          <w:szCs w:val="20"/>
          <w:lang w:val="en-US"/>
        </w:rPr>
        <w:t xml:space="preserve">5 </w:t>
      </w:r>
      <w:r w:rsidRPr="00F23F2A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MIAT, Université de Toulouse, INRA, Chemin de Borde Rouge, Castanet-Tolosan Cedex, F-31326, France.</w:t>
      </w:r>
    </w:p>
    <w:p w14:paraId="63CD3983" w14:textId="77777777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3F2A">
        <w:rPr>
          <w:rFonts w:ascii="Times New Roman" w:hAnsi="Times New Roman" w:cs="Times New Roman"/>
          <w:sz w:val="20"/>
          <w:szCs w:val="20"/>
          <w:lang w:val="en-US"/>
        </w:rPr>
        <w:t>6 INRAE, LPGP, Rennes, France</w:t>
      </w:r>
    </w:p>
    <w:p w14:paraId="53245106" w14:textId="77777777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3F2A">
        <w:rPr>
          <w:rFonts w:ascii="Times New Roman" w:hAnsi="Times New Roman" w:cs="Times New Roman"/>
          <w:sz w:val="20"/>
          <w:szCs w:val="20"/>
          <w:lang w:val="en-US"/>
        </w:rPr>
        <w:t>7</w:t>
      </w:r>
      <w:r w:rsidRPr="00F23F2A">
        <w:rPr>
          <w:rFonts w:ascii="Times New Roman" w:hAnsi="Times New Roman" w:cs="Times New Roman"/>
          <w:sz w:val="20"/>
          <w:szCs w:val="20"/>
          <w:lang w:val="en-GB"/>
        </w:rPr>
        <w:t xml:space="preserve"> Department of Ecology and Evolution, University of Lausanne, and Swiss Institute of Bioinformatics, 1015, Lausanne, Switzerland</w:t>
      </w:r>
    </w:p>
    <w:p w14:paraId="33452561" w14:textId="77777777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pt-BR"/>
        </w:rPr>
      </w:pPr>
      <w:r w:rsidRPr="00F23F2A">
        <w:rPr>
          <w:rFonts w:ascii="Times New Roman" w:hAnsi="Times New Roman" w:cs="Times New Roman"/>
          <w:sz w:val="20"/>
          <w:szCs w:val="20"/>
          <w:lang w:val="pt-BR"/>
        </w:rPr>
        <w:t xml:space="preserve">8 </w:t>
      </w:r>
      <w:r w:rsidRPr="00F23F2A">
        <w:rPr>
          <w:rFonts w:ascii="Times New Roman" w:hAnsi="Times New Roman" w:cs="Times New Roman"/>
          <w:sz w:val="20"/>
          <w:szCs w:val="20"/>
          <w:shd w:val="clear" w:color="auto" w:fill="FFFFFF"/>
          <w:lang w:val="pt-BR"/>
        </w:rPr>
        <w:t>Embrapa Amazônia Ocidental, Manaus, Amazonas, Brazil</w:t>
      </w:r>
    </w:p>
    <w:p w14:paraId="7EB7B7AD" w14:textId="77777777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F23F2A">
        <w:rPr>
          <w:rFonts w:ascii="Times New Roman" w:hAnsi="Times New Roman" w:cs="Times New Roman"/>
          <w:sz w:val="20"/>
          <w:szCs w:val="20"/>
          <w:lang w:val="pt-BR"/>
        </w:rPr>
        <w:t>9 Embrapa Pesca e Aquicultura, Palmas, Tocantins, Brazil</w:t>
      </w:r>
    </w:p>
    <w:p w14:paraId="690E65F3" w14:textId="77777777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3F2A">
        <w:rPr>
          <w:rFonts w:ascii="Times New Roman" w:hAnsi="Times New Roman" w:cs="Times New Roman"/>
          <w:sz w:val="20"/>
          <w:szCs w:val="20"/>
          <w:lang w:val="en-US"/>
        </w:rPr>
        <w:t xml:space="preserve">10 </w:t>
      </w:r>
      <w:bookmarkStart w:id="2" w:name="_Hlk66953553"/>
      <w:r w:rsidRPr="00F23F2A">
        <w:rPr>
          <w:rFonts w:ascii="Times New Roman" w:hAnsi="Times New Roman" w:cs="Times New Roman"/>
          <w:sz w:val="20"/>
          <w:szCs w:val="20"/>
          <w:lang w:val="en-US"/>
        </w:rPr>
        <w:t>Reproductive and Molecular Biology Group, Department of Morphology, Institute of Biosciences, UNESP, Botucatu, Brazil</w:t>
      </w:r>
    </w:p>
    <w:p w14:paraId="686A1017" w14:textId="77777777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3F2A">
        <w:rPr>
          <w:rFonts w:ascii="Times New Roman" w:hAnsi="Times New Roman" w:cs="Times New Roman"/>
          <w:sz w:val="20"/>
          <w:szCs w:val="20"/>
          <w:lang w:val="en-US"/>
        </w:rPr>
        <w:t>11 GeT-PlaGe, INRAE, Genotoul, Castanet-Tolosan, France.</w:t>
      </w:r>
    </w:p>
    <w:bookmarkEnd w:id="2"/>
    <w:p w14:paraId="47F82303" w14:textId="77777777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3F2A">
        <w:rPr>
          <w:rFonts w:ascii="Times New Roman" w:hAnsi="Times New Roman" w:cs="Times New Roman"/>
          <w:sz w:val="20"/>
          <w:szCs w:val="20"/>
          <w:lang w:val="en-US"/>
        </w:rPr>
        <w:t>12 Leibniz-Institute of Freshwater Ecology and Inland Fisheries, IGB, Müggelseedamm 301 &amp; 310, D-12587 Berlin, Germany</w:t>
      </w:r>
    </w:p>
    <w:p w14:paraId="15641012" w14:textId="77777777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3F2A">
        <w:rPr>
          <w:rFonts w:ascii="Times New Roman" w:hAnsi="Times New Roman" w:cs="Times New Roman"/>
          <w:sz w:val="20"/>
          <w:szCs w:val="20"/>
          <w:lang w:val="en-US"/>
        </w:rPr>
        <w:t>13 Amphibian Research Center, Hiroshima University, Higashi-Hiroshima 739-8526, Japan</w:t>
      </w:r>
    </w:p>
    <w:p w14:paraId="3AC93E2F" w14:textId="34933671" w:rsidR="00F23F2A" w:rsidRPr="00F23F2A" w:rsidRDefault="00F23F2A" w:rsidP="00F23F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5635B07" w14:textId="77777777" w:rsidR="00F23F2A" w:rsidRPr="00F23F2A" w:rsidRDefault="00F23F2A" w:rsidP="00F23F2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3F2A">
        <w:rPr>
          <w:rFonts w:ascii="Calibri" w:hAnsi="Calibri" w:cs="Calibri"/>
          <w:sz w:val="20"/>
          <w:szCs w:val="20"/>
          <w:lang w:val="en-US"/>
        </w:rPr>
        <w:t>*</w:t>
      </w:r>
      <w:r w:rsidRPr="00F23F2A">
        <w:rPr>
          <w:rFonts w:ascii="Times New Roman" w:hAnsi="Times New Roman" w:cs="Times New Roman"/>
          <w:sz w:val="20"/>
          <w:szCs w:val="20"/>
          <w:lang w:val="en-US"/>
        </w:rPr>
        <w:t xml:space="preserve"> corresponding author: mateus.adolfi@biozentrum.uni-wuerzburg.de</w:t>
      </w:r>
    </w:p>
    <w:p w14:paraId="1AD52516" w14:textId="343D454F" w:rsidR="006C19EE" w:rsidRDefault="00F23F2A" w:rsidP="00F23F2A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F23F2A">
        <w:rPr>
          <w:rFonts w:ascii="Times New Roman" w:hAnsi="Times New Roman" w:cs="Times New Roman"/>
          <w:sz w:val="20"/>
          <w:szCs w:val="20"/>
          <w:lang w:val="en-US"/>
        </w:rPr>
        <w:t>+ These authors contributed equally to this work.</w:t>
      </w:r>
    </w:p>
    <w:p w14:paraId="2D98BBFF" w14:textId="5770E660" w:rsidR="00F23F2A" w:rsidRDefault="00F23F2A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38E739CA" w14:textId="77777777" w:rsidR="00F23F2A" w:rsidRDefault="00F23F2A" w:rsidP="00F23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760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F7601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14:paraId="49D7713E" w14:textId="3B5A4C73" w:rsidR="00F23F2A" w:rsidRDefault="0089164A" w:rsidP="00F23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9A7ECE1" wp14:editId="65885CBB">
            <wp:extent cx="5758180" cy="476948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476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0BCB2" w14:textId="040AF1CE" w:rsidR="00F23F2A" w:rsidRDefault="00F23F2A" w:rsidP="00F23F2A">
      <w:pPr>
        <w:pStyle w:val="Pr-formataoHTML"/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692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S1. Selection analysis of Id2a and Id2b. </w:t>
      </w:r>
      <w:r w:rsidRPr="005B69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Phylogeny plot showing arapaima Id2bbY (yellow) has a higher </w:t>
      </w:r>
      <w:r w:rsidRPr="005B692D">
        <w:rPr>
          <w:rFonts w:ascii="Times New Roman" w:hAnsi="Times New Roman" w:cs="Times New Roman"/>
          <w:color w:val="000000"/>
          <w:sz w:val="24"/>
          <w:szCs w:val="24"/>
        </w:rPr>
        <w:t>ω</w:t>
      </w:r>
      <w:r w:rsidRPr="005B69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value (</w:t>
      </w:r>
      <w:r w:rsidRPr="005B692D">
        <w:rPr>
          <w:rFonts w:ascii="Times New Roman" w:hAnsi="Times New Roman" w:cs="Times New Roman"/>
          <w:color w:val="000000"/>
          <w:sz w:val="24"/>
          <w:szCs w:val="24"/>
        </w:rPr>
        <w:t>ω</w:t>
      </w:r>
      <w:r w:rsidRPr="005B692D">
        <w:rPr>
          <w:rFonts w:ascii="Times New Roman" w:hAnsi="Times New Roman" w:cs="Times New Roman"/>
          <w:color w:val="000000"/>
          <w:sz w:val="24"/>
          <w:szCs w:val="24"/>
          <w:lang w:val="en-US"/>
        </w:rPr>
        <w:t>1=0.97) than Id2ba (</w:t>
      </w:r>
      <w:r w:rsidRPr="005B692D">
        <w:rPr>
          <w:rFonts w:ascii="Times New Roman" w:hAnsi="Times New Roman" w:cs="Times New Roman"/>
          <w:color w:val="000000"/>
          <w:sz w:val="24"/>
          <w:szCs w:val="24"/>
        </w:rPr>
        <w:t>ω</w:t>
      </w:r>
      <w:r w:rsidRPr="005B692D">
        <w:rPr>
          <w:rFonts w:ascii="Times New Roman" w:hAnsi="Times New Roman" w:cs="Times New Roman"/>
          <w:color w:val="000000"/>
          <w:sz w:val="24"/>
          <w:szCs w:val="24"/>
          <w:lang w:val="en-US"/>
        </w:rPr>
        <w:t>2=0.25).</w:t>
      </w: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673C8FD" w14:textId="77777777" w:rsidR="00F23F2A" w:rsidRDefault="00F23F2A" w:rsidP="00F23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760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  <w:lang w:val="en-US"/>
        </w:rPr>
        <w:t>S2</w:t>
      </w:r>
    </w:p>
    <w:p w14:paraId="7F4886D0" w14:textId="6080D916" w:rsidR="00F23F2A" w:rsidRDefault="0089164A" w:rsidP="00F23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1C5DD77" wp14:editId="0722E391">
            <wp:extent cx="5758180" cy="491807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491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260F5" w14:textId="41D308FC" w:rsidR="00F23F2A" w:rsidRDefault="00F23F2A" w:rsidP="00F23F2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692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S2. Genotyping analyses of </w:t>
      </w:r>
      <w:r w:rsidRPr="005B692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id2bbY</w:t>
      </w:r>
      <w:r w:rsidRPr="005B692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C549B9">
        <w:rPr>
          <w:rFonts w:ascii="Times New Roman" w:hAnsi="Times New Roman" w:cs="Times New Roman"/>
          <w:sz w:val="24"/>
          <w:szCs w:val="24"/>
          <w:lang w:val="en-US"/>
        </w:rPr>
        <w:t xml:space="preserve"> Agarose gel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B692D">
        <w:rPr>
          <w:rFonts w:ascii="Times New Roman" w:hAnsi="Times New Roman" w:cs="Times New Roman"/>
          <w:sz w:val="24"/>
          <w:szCs w:val="24"/>
          <w:lang w:val="en-US"/>
        </w:rPr>
        <w:t xml:space="preserve">lectrophoresis gel resolution of the specific PCR amplification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products </w:t>
      </w:r>
      <w:r w:rsidRPr="005B692D">
        <w:rPr>
          <w:rFonts w:ascii="Times New Roman" w:hAnsi="Times New Roman" w:cs="Times New Roman"/>
          <w:sz w:val="24"/>
          <w:szCs w:val="24"/>
          <w:lang w:val="en-US"/>
        </w:rPr>
        <w:t>of male (</w:t>
      </w:r>
      <w:r w:rsidRPr="005B692D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5B692D">
        <w:rPr>
          <w:rFonts w:ascii="Times New Roman" w:hAnsi="Times New Roman" w:cs="Times New Roman"/>
          <w:sz w:val="24"/>
          <w:szCs w:val="24"/>
          <w:lang w:val="en-US"/>
        </w:rPr>
        <w:t>) and female (</w:t>
      </w:r>
      <w:r w:rsidRPr="005B692D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5B692D">
        <w:rPr>
          <w:rFonts w:ascii="Times New Roman" w:hAnsi="Times New Roman" w:cs="Times New Roman"/>
          <w:sz w:val="24"/>
          <w:szCs w:val="24"/>
          <w:lang w:val="en-US"/>
        </w:rPr>
        <w:t>) used in the RAD-tag analyses from Senador Guiomard (yellow numbers) and Cacoal (red numbers) populations. Histological structure of juvenile testis (</w:t>
      </w:r>
      <w:r w:rsidRPr="005B692D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5B692D">
        <w:rPr>
          <w:rFonts w:ascii="Times New Roman" w:hAnsi="Times New Roman" w:cs="Times New Roman"/>
          <w:sz w:val="24"/>
          <w:szCs w:val="24"/>
          <w:lang w:val="en-US"/>
        </w:rPr>
        <w:t>) and ovary (</w:t>
      </w:r>
      <w:r w:rsidRPr="005B692D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5B692D">
        <w:rPr>
          <w:rFonts w:ascii="Times New Roman" w:hAnsi="Times New Roman" w:cs="Times New Roman"/>
          <w:sz w:val="24"/>
          <w:szCs w:val="24"/>
          <w:lang w:val="en-US"/>
        </w:rPr>
        <w:t>) from the samples used in the test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B692D">
        <w:rPr>
          <w:rFonts w:ascii="Times New Roman" w:hAnsi="Times New Roman" w:cs="Times New Roman"/>
          <w:sz w:val="24"/>
          <w:szCs w:val="24"/>
          <w:lang w:val="en-US"/>
        </w:rPr>
        <w:t xml:space="preserve"> for genotyping. Lu. Lumen, Og. Oogonia, PV. Previtellogenic oocyte,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Se.</w:t>
      </w:r>
      <w:r w:rsidRPr="005B692D">
        <w:rPr>
          <w:rFonts w:ascii="Times New Roman" w:hAnsi="Times New Roman" w:cs="Times New Roman"/>
          <w:sz w:val="24"/>
          <w:szCs w:val="24"/>
          <w:lang w:val="en-US"/>
        </w:rPr>
        <w:t xml:space="preserve"> Sertoli cell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B692D">
        <w:rPr>
          <w:rFonts w:ascii="Times New Roman" w:hAnsi="Times New Roman" w:cs="Times New Roman"/>
          <w:sz w:val="24"/>
          <w:szCs w:val="24"/>
          <w:lang w:val="en-US"/>
        </w:rPr>
        <w:t xml:space="preserve"> Sg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B692D">
        <w:rPr>
          <w:rFonts w:ascii="Times New Roman" w:hAnsi="Times New Roman" w:cs="Times New Roman"/>
          <w:sz w:val="24"/>
          <w:szCs w:val="24"/>
          <w:lang w:val="en-US"/>
        </w:rPr>
        <w:t xml:space="preserve"> Spermatogonia.</w:t>
      </w: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77E890C" w14:textId="77777777" w:rsidR="00F23F2A" w:rsidRDefault="00F23F2A" w:rsidP="00F23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760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  <w:lang w:val="en-US"/>
        </w:rPr>
        <w:t>S3</w:t>
      </w:r>
    </w:p>
    <w:p w14:paraId="47D043A1" w14:textId="0EAB5DA8" w:rsidR="002748D2" w:rsidRDefault="0089164A" w:rsidP="00F23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B9E5D86" wp14:editId="64543CBF">
            <wp:extent cx="5758180" cy="476948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476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C565F" w14:textId="71AA180D" w:rsidR="00F23F2A" w:rsidRDefault="002748D2" w:rsidP="002748D2">
      <w:pPr>
        <w:pStyle w:val="Pr-formataoHTML"/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692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S3. Selection analysis of Id2bbY and Id2b of teleosts. </w:t>
      </w:r>
      <w:r w:rsidRPr="005B69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Phylogeny plot showing arapaima Id2bbY (yellow) has a higher </w:t>
      </w:r>
      <w:r w:rsidRPr="005B692D">
        <w:rPr>
          <w:rFonts w:ascii="Times New Roman" w:hAnsi="Times New Roman" w:cs="Times New Roman"/>
          <w:color w:val="000000"/>
          <w:sz w:val="24"/>
          <w:szCs w:val="24"/>
        </w:rPr>
        <w:t>ω</w:t>
      </w:r>
      <w:r w:rsidRPr="005B69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value (</w:t>
      </w:r>
      <w:r w:rsidRPr="005B692D">
        <w:rPr>
          <w:rFonts w:ascii="Times New Roman" w:hAnsi="Times New Roman" w:cs="Times New Roman"/>
          <w:color w:val="000000"/>
          <w:sz w:val="24"/>
          <w:szCs w:val="24"/>
        </w:rPr>
        <w:t>ω</w:t>
      </w:r>
      <w:r w:rsidRPr="005B692D">
        <w:rPr>
          <w:rFonts w:ascii="Times New Roman" w:hAnsi="Times New Roman" w:cs="Times New Roman"/>
          <w:color w:val="000000"/>
          <w:sz w:val="24"/>
          <w:szCs w:val="24"/>
          <w:lang w:val="en-US"/>
        </w:rPr>
        <w:t>1=0.97) than Id2ba(</w:t>
      </w:r>
      <w:r w:rsidRPr="005B692D">
        <w:rPr>
          <w:rFonts w:ascii="Times New Roman" w:hAnsi="Times New Roman" w:cs="Times New Roman"/>
          <w:color w:val="000000"/>
          <w:sz w:val="24"/>
          <w:szCs w:val="24"/>
        </w:rPr>
        <w:t>ω</w:t>
      </w:r>
      <w:r w:rsidRPr="005B692D">
        <w:rPr>
          <w:rFonts w:ascii="Times New Roman" w:hAnsi="Times New Roman" w:cs="Times New Roman"/>
          <w:color w:val="000000"/>
          <w:sz w:val="24"/>
          <w:szCs w:val="24"/>
          <w:lang w:val="en-US"/>
        </w:rPr>
        <w:t>2=0.25).</w:t>
      </w:r>
      <w:r w:rsidR="00F23F2A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D6A3927" w14:textId="77777777" w:rsidR="00F23F2A" w:rsidRDefault="00F23F2A" w:rsidP="00F23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760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  <w:lang w:val="en-US"/>
        </w:rPr>
        <w:t>S4</w:t>
      </w:r>
    </w:p>
    <w:p w14:paraId="39639500" w14:textId="69278997" w:rsidR="002748D2" w:rsidRDefault="0089164A" w:rsidP="00F23F2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266EE34" wp14:editId="3A68FFBB">
            <wp:extent cx="5758180" cy="515302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C695D" w14:textId="77777777" w:rsidR="004B3A87" w:rsidRPr="00CF3A88" w:rsidRDefault="002748D2" w:rsidP="004B3A87">
      <w:pPr>
        <w:jc w:val="both"/>
        <w:rPr>
          <w:rFonts w:cstheme="minorHAnsi"/>
          <w:lang w:val="en-GB"/>
        </w:rPr>
      </w:pPr>
      <w:r w:rsidRPr="00CF3A88">
        <w:rPr>
          <w:rFonts w:cstheme="minorHAnsi"/>
          <w:b/>
          <w:bCs/>
          <w:lang w:val="en-US"/>
        </w:rPr>
        <w:t>Figure S4. Locations of the Brazilian arapaima populations used in the analyses.</w:t>
      </w:r>
      <w:r w:rsidR="00CF3A88" w:rsidRPr="00CF3A88">
        <w:rPr>
          <w:rFonts w:cstheme="minorHAnsi"/>
          <w:lang w:val="en-US"/>
        </w:rPr>
        <w:t xml:space="preserve"> </w:t>
      </w:r>
      <w:r w:rsidR="004B3A87" w:rsidRPr="00CF3A88">
        <w:rPr>
          <w:rFonts w:cstheme="minorHAnsi"/>
          <w:lang w:val="en-GB"/>
        </w:rPr>
        <w:t xml:space="preserve">Map was generated in R v4.0.2/RStudio v1.3.959 </w:t>
      </w:r>
      <w:r w:rsidR="004B3A87" w:rsidRPr="00CF3A88">
        <w:rPr>
          <w:rFonts w:cstheme="minorHAnsi"/>
          <w:lang w:val="en-GB"/>
        </w:rPr>
        <w:fldChar w:fldCharType="begin"/>
      </w:r>
      <w:r w:rsidR="004B3A87" w:rsidRPr="00CF3A88">
        <w:rPr>
          <w:rFonts w:cstheme="minorHAnsi"/>
          <w:lang w:val="en-GB"/>
        </w:rPr>
        <w:instrText xml:space="preserve"> ADDIN ZOTERO_ITEM CSL_CITATION {"citationID":"x2SlkfVU","properties":{"formattedCitation":"(RStudio Team, 2020)","plainCitation":"(RStudio Team, 2020)","noteIndex":0},"citationItems":[{"id":3419,"uris":["http://zotero.org/users/2111992/items/7HQSQ9UW"],"uri":["http://zotero.org/users/2111992/items/7HQSQ9UW"],"itemData":{"id":3419,"type":"book","event-place":"Boston, MA","publisher":"RStudio, PBC","publisher-place":"Boston, MA","title":"RStudio: Integrated Development Environment for R","URL":"http://www.rstudio.com/","author":[{"family":"RStudio Team","given":""}],"issued":{"date-parts":[["2020"]]}}}],"schema":"https://github.com/citation-style-language/schema/raw/master/csl-citation.json"} </w:instrText>
      </w:r>
      <w:r w:rsidR="004B3A87" w:rsidRPr="00CF3A88">
        <w:rPr>
          <w:rFonts w:cstheme="minorHAnsi"/>
          <w:lang w:val="en-GB"/>
        </w:rPr>
        <w:fldChar w:fldCharType="separate"/>
      </w:r>
      <w:r w:rsidR="004B3A87" w:rsidRPr="00CF3A88">
        <w:rPr>
          <w:rFonts w:cstheme="minorHAnsi"/>
          <w:lang w:val="en-US"/>
        </w:rPr>
        <w:t>(RStudio Team, 2020)</w:t>
      </w:r>
      <w:r w:rsidR="004B3A87" w:rsidRPr="00CF3A88">
        <w:rPr>
          <w:rFonts w:cstheme="minorHAnsi"/>
          <w:lang w:val="en-GB"/>
        </w:rPr>
        <w:fldChar w:fldCharType="end"/>
      </w:r>
      <w:r w:rsidR="004B3A87" w:rsidRPr="00CF3A88">
        <w:rPr>
          <w:rFonts w:cstheme="minorHAnsi"/>
          <w:lang w:val="en-GB"/>
        </w:rPr>
        <w:t xml:space="preserve"> using R packages ‘ggplot2’ (v3.3.2) </w:t>
      </w:r>
      <w:r w:rsidR="004B3A87" w:rsidRPr="00CF3A88">
        <w:rPr>
          <w:rFonts w:cstheme="minorHAnsi"/>
          <w:lang w:val="en-GB"/>
        </w:rPr>
        <w:fldChar w:fldCharType="begin"/>
      </w:r>
      <w:r w:rsidR="004B3A87" w:rsidRPr="00CF3A88">
        <w:rPr>
          <w:rFonts w:cstheme="minorHAnsi"/>
          <w:lang w:val="en-GB"/>
        </w:rPr>
        <w:instrText xml:space="preserve"> ADDIN ZOTERO_ITEM CSL_CITATION {"citationID":"hZtE23fK","properties":{"formattedCitation":"(Wickham, 2016)","plainCitation":"(Wickham, 2016)","noteIndex":0},"citationItems":[{"id":3423,"uris":["http://zotero.org/users/2111992/items/56FZP2CM"],"uri":["http://zotero.org/users/2111992/items/56FZP2CM"],"itemData":{"id":3423,"type":"book","ISBN":"978-3-319-24277-4","publisher":"Springer-Verlag New York","title":"ggplot2: Elegant Graphics for Data Analysis","URL":"https://ggplot2.tidyverse.org","author":[{"family":"Wickham","given":"H"}],"issued":{"date-parts":[["2016"]]}}}],"schema":"https://github.com/citation-style-language/schema/raw/master/csl-citation.json"} </w:instrText>
      </w:r>
      <w:r w:rsidR="004B3A87" w:rsidRPr="00CF3A88">
        <w:rPr>
          <w:rFonts w:cstheme="minorHAnsi"/>
          <w:lang w:val="en-GB"/>
        </w:rPr>
        <w:fldChar w:fldCharType="separate"/>
      </w:r>
      <w:r w:rsidR="004B3A87" w:rsidRPr="00CF3A88">
        <w:rPr>
          <w:rFonts w:cstheme="minorHAnsi"/>
          <w:lang w:val="en-US"/>
        </w:rPr>
        <w:t>(Wickham, 2016)</w:t>
      </w:r>
      <w:r w:rsidR="004B3A87" w:rsidRPr="00CF3A88">
        <w:rPr>
          <w:rFonts w:cstheme="minorHAnsi"/>
          <w:lang w:val="en-GB"/>
        </w:rPr>
        <w:fldChar w:fldCharType="end"/>
      </w:r>
      <w:r w:rsidR="004B3A87" w:rsidRPr="00CF3A88">
        <w:rPr>
          <w:rFonts w:cstheme="minorHAnsi"/>
          <w:lang w:val="en-GB"/>
        </w:rPr>
        <w:t xml:space="preserve"> and ‘sf’ (v0.9-6) (Pebesma, 2018).</w:t>
      </w:r>
    </w:p>
    <w:p w14:paraId="7932FE0E" w14:textId="77777777" w:rsidR="004B3A87" w:rsidRPr="00CF3A88" w:rsidRDefault="004B3A87" w:rsidP="004B3A87">
      <w:pPr>
        <w:pStyle w:val="PargrafodaLista"/>
        <w:numPr>
          <w:ilvl w:val="0"/>
          <w:numId w:val="1"/>
        </w:numPr>
        <w:spacing w:after="0"/>
        <w:jc w:val="both"/>
        <w:rPr>
          <w:rFonts w:cstheme="minorHAnsi"/>
          <w:lang w:val="en-US"/>
        </w:rPr>
      </w:pPr>
      <w:r w:rsidRPr="00CF3A88">
        <w:rPr>
          <w:rFonts w:cstheme="minorHAnsi"/>
          <w:lang w:val="en-US"/>
        </w:rPr>
        <w:t xml:space="preserve">Pebesma, E., 2018. Simple Features for R: Standardized Support for Spatial Vector Data. The R Journal 10 (1), 439-446, </w:t>
      </w:r>
      <w:hyperlink r:id="rId9" w:history="1">
        <w:r w:rsidRPr="00CF3A88">
          <w:rPr>
            <w:rStyle w:val="Hyperlink"/>
            <w:rFonts w:cstheme="minorHAnsi"/>
            <w:lang w:val="en-US"/>
          </w:rPr>
          <w:t>https://doi.org/10.32614/RJ-2018-009</w:t>
        </w:r>
      </w:hyperlink>
    </w:p>
    <w:p w14:paraId="34496728" w14:textId="77777777" w:rsidR="004B3A87" w:rsidRPr="00CF3A88" w:rsidRDefault="004B3A87" w:rsidP="004B3A87">
      <w:pPr>
        <w:pStyle w:val="PargrafodaLista"/>
        <w:numPr>
          <w:ilvl w:val="0"/>
          <w:numId w:val="1"/>
        </w:numPr>
        <w:spacing w:after="0"/>
        <w:jc w:val="both"/>
        <w:rPr>
          <w:rFonts w:cstheme="minorHAnsi"/>
          <w:lang w:val="en-US"/>
        </w:rPr>
      </w:pPr>
      <w:r w:rsidRPr="00CF3A88">
        <w:rPr>
          <w:rFonts w:cstheme="minorHAnsi"/>
          <w:lang w:val="en-US"/>
        </w:rPr>
        <w:t>RStudio Team. (2020). RStudio: Integrated Development Environment for R. Boston, MA: RStudio, PBC.</w:t>
      </w:r>
    </w:p>
    <w:p w14:paraId="1A55F077" w14:textId="0BCFF59A" w:rsidR="004B3A87" w:rsidRPr="004B3A87" w:rsidRDefault="004B3A87" w:rsidP="004B3A8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3A87">
        <w:rPr>
          <w:rFonts w:cstheme="minorHAnsi"/>
          <w:lang w:val="en-US"/>
        </w:rPr>
        <w:t>Wickham, H. (2016). ggplot2: Elegant Graphics for Data Analysis. Springer-Verlag New York.</w:t>
      </w:r>
    </w:p>
    <w:p w14:paraId="0F1F6151" w14:textId="4ABA5D35" w:rsidR="00F23F2A" w:rsidRDefault="00F23F2A" w:rsidP="00CF3A88">
      <w:pPr>
        <w:pStyle w:val="Pr-formataoHTML"/>
        <w:numPr>
          <w:ilvl w:val="0"/>
          <w:numId w:val="1"/>
        </w:num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1E5133A" w14:textId="3753AD32" w:rsidR="00F23F2A" w:rsidRDefault="00F23F2A" w:rsidP="00F23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760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  <w:lang w:val="en-US"/>
        </w:rPr>
        <w:t>S5</w:t>
      </w:r>
    </w:p>
    <w:p w14:paraId="2142C852" w14:textId="0D4A6D53" w:rsidR="00F23F2A" w:rsidRDefault="0089164A" w:rsidP="00F23F2A">
      <w:pPr>
        <w:spacing w:after="0"/>
        <w:rPr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FE736F3" wp14:editId="73513425">
            <wp:extent cx="5758180" cy="407797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40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49B6C" w14:textId="2B53FA15" w:rsidR="002748D2" w:rsidRPr="00F23F2A" w:rsidRDefault="002748D2" w:rsidP="00F23F2A">
      <w:pPr>
        <w:spacing w:after="0"/>
        <w:rPr>
          <w:sz w:val="20"/>
          <w:szCs w:val="20"/>
          <w:lang w:val="en-US"/>
        </w:rPr>
      </w:pPr>
      <w:r w:rsidRPr="005B692D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5B692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cDNA sequence comparison between </w:t>
      </w:r>
      <w:r w:rsidRPr="005B692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id2ba</w:t>
      </w:r>
      <w:r w:rsidRPr="005B692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</w:t>
      </w:r>
      <w:r w:rsidRPr="005B692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id2bbY</w:t>
      </w:r>
      <w:r w:rsidRPr="005B692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5B692D">
        <w:rPr>
          <w:rFonts w:ascii="Times New Roman" w:hAnsi="Times New Roman" w:cs="Times New Roman"/>
          <w:sz w:val="24"/>
          <w:szCs w:val="24"/>
          <w:lang w:val="en-US"/>
        </w:rPr>
        <w:t xml:space="preserve">Nucleotide alignment of both </w:t>
      </w:r>
      <w:r w:rsidRPr="005B692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id2ba </w:t>
      </w:r>
      <w:r w:rsidRPr="005B692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5B692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id2bbY </w:t>
      </w:r>
      <w:r w:rsidRPr="005B692D">
        <w:rPr>
          <w:rFonts w:ascii="Times New Roman" w:hAnsi="Times New Roman" w:cs="Times New Roman"/>
          <w:sz w:val="24"/>
          <w:szCs w:val="24"/>
          <w:lang w:val="en-US"/>
        </w:rPr>
        <w:t xml:space="preserve">showed high similarity in the open reding frame (red). The </w:t>
      </w:r>
      <w:r w:rsidRPr="005B692D">
        <w:rPr>
          <w:rFonts w:ascii="Times New Roman" w:hAnsi="Times New Roman" w:cs="Times New Roman"/>
          <w:i/>
          <w:iCs/>
          <w:sz w:val="24"/>
          <w:szCs w:val="24"/>
          <w:lang w:val="en-US"/>
        </w:rPr>
        <w:t>id2bbY</w:t>
      </w:r>
      <w:r w:rsidRPr="005B692D">
        <w:rPr>
          <w:rFonts w:ascii="Times New Roman" w:hAnsi="Times New Roman" w:cs="Times New Roman"/>
          <w:sz w:val="24"/>
          <w:szCs w:val="24"/>
          <w:lang w:val="en-US"/>
        </w:rPr>
        <w:t xml:space="preserve"> specific primers (arrows) were designed in the 3’UTR region of the gene.</w:t>
      </w:r>
    </w:p>
    <w:sectPr w:rsidR="002748D2" w:rsidRPr="00F23F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E28A0"/>
    <w:multiLevelType w:val="hybridMultilevel"/>
    <w:tmpl w:val="B84A8FAE"/>
    <w:lvl w:ilvl="0" w:tplc="DE643B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EE"/>
    <w:rsid w:val="002748D2"/>
    <w:rsid w:val="004B3A87"/>
    <w:rsid w:val="0073447B"/>
    <w:rsid w:val="0089164A"/>
    <w:rsid w:val="009B5EAF"/>
    <w:rsid w:val="00A1440A"/>
    <w:rsid w:val="00CF3A88"/>
    <w:rsid w:val="00F23F2A"/>
    <w:rsid w:val="00FB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0316"/>
  <w15:chartTrackingRefBased/>
  <w15:docId w15:val="{BD624DB9-C03C-46F7-B2C6-6B6267FB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F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F23F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23F2A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Hyperlink">
    <w:name w:val="Hyperlink"/>
    <w:basedOn w:val="Fontepargpadro"/>
    <w:uiPriority w:val="99"/>
    <w:unhideWhenUsed/>
    <w:rsid w:val="00CF3A88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F3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openxmlformats.org/officeDocument/2006/relationships/hyperlink" Target="https://doi.org/10.32614/RJ-2018-00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676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Adolfi</dc:creator>
  <cp:keywords/>
  <dc:description/>
  <cp:lastModifiedBy>Mateus Adolfi</cp:lastModifiedBy>
  <cp:revision>9</cp:revision>
  <dcterms:created xsi:type="dcterms:W3CDTF">2021-07-12T08:58:00Z</dcterms:created>
  <dcterms:modified xsi:type="dcterms:W3CDTF">2021-10-25T12:55:00Z</dcterms:modified>
</cp:coreProperties>
</file>