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605DC" w14:textId="77777777" w:rsidR="001E40F4" w:rsidRPr="002F7EDF" w:rsidRDefault="001E40F4" w:rsidP="001E40F4">
      <w:pPr>
        <w:autoSpaceDE w:val="0"/>
        <w:autoSpaceDN w:val="0"/>
        <w:adjustRightInd w:val="0"/>
        <w:rPr>
          <w:rFonts w:ascii="Times New Roman" w:hAnsi="Times New Roman" w:cs="Times New Roman"/>
          <w:sz w:val="28"/>
          <w:szCs w:val="28"/>
        </w:rPr>
      </w:pPr>
      <w:r w:rsidRPr="002F7EDF">
        <w:rPr>
          <w:rFonts w:ascii="Times New Roman" w:hAnsi="Times New Roman" w:cs="Times New Roman"/>
          <w:sz w:val="28"/>
          <w:szCs w:val="28"/>
        </w:rPr>
        <w:t>Supplemental Figure 1: (A) Overview of study design. (B) Principal Component Analysis (PCA) of mRNA expression data of sample from five cohorts before batch correction. (C) Principal Component Analysis (PCA) of mRNA expression data of sample from five cohorts before batch correction.</w:t>
      </w:r>
    </w:p>
    <w:p w14:paraId="7CFBCCB8" w14:textId="77777777" w:rsidR="001E40F4" w:rsidRPr="002F7EDF" w:rsidRDefault="001E40F4" w:rsidP="001E40F4">
      <w:pPr>
        <w:autoSpaceDE w:val="0"/>
        <w:autoSpaceDN w:val="0"/>
        <w:adjustRightInd w:val="0"/>
        <w:rPr>
          <w:rFonts w:ascii="Times New Roman" w:hAnsi="Times New Roman" w:cs="Times New Roman"/>
          <w:sz w:val="28"/>
          <w:szCs w:val="28"/>
        </w:rPr>
      </w:pPr>
      <w:bookmarkStart w:id="0" w:name="_GoBack"/>
      <w:bookmarkEnd w:id="0"/>
    </w:p>
    <w:p w14:paraId="62E99C2A" w14:textId="5158009E" w:rsidR="001E40F4" w:rsidRDefault="001E40F4" w:rsidP="001E40F4">
      <w:pPr>
        <w:autoSpaceDE w:val="0"/>
        <w:autoSpaceDN w:val="0"/>
        <w:adjustRightInd w:val="0"/>
        <w:rPr>
          <w:rFonts w:ascii="Times New Roman" w:hAnsi="Times New Roman" w:cs="Times New Roman"/>
          <w:sz w:val="28"/>
          <w:szCs w:val="28"/>
        </w:rPr>
      </w:pPr>
      <w:r w:rsidRPr="002F7EDF">
        <w:rPr>
          <w:rFonts w:ascii="Times New Roman" w:hAnsi="Times New Roman" w:cs="Times New Roman"/>
          <w:sz w:val="28"/>
          <w:szCs w:val="28"/>
        </w:rPr>
        <w:t xml:space="preserve">Supplemental Figure 2: (A-G) Consensus matrixes of PCa samples for each k (k = 2–6) from </w:t>
      </w:r>
      <w:proofErr w:type="gramStart"/>
      <w:r w:rsidRPr="002F7EDF">
        <w:rPr>
          <w:rFonts w:ascii="Times New Roman" w:hAnsi="Times New Roman" w:cs="Times New Roman"/>
          <w:sz w:val="28"/>
          <w:szCs w:val="28"/>
        </w:rPr>
        <w:t>meta</w:t>
      </w:r>
      <w:proofErr w:type="gramEnd"/>
      <w:r w:rsidRPr="002F7EDF">
        <w:rPr>
          <w:rFonts w:ascii="Times New Roman" w:hAnsi="Times New Roman" w:cs="Times New Roman"/>
          <w:sz w:val="28"/>
          <w:szCs w:val="28"/>
        </w:rPr>
        <w:t xml:space="preserve"> cohort based on metabolic ssGSEA score, displaying the clustering stability using 1000 iterations of hierarchical clustering. (H) Principal Component Analysis (PCA) of </w:t>
      </w:r>
      <w:proofErr w:type="gramStart"/>
      <w:r w:rsidRPr="002F7EDF">
        <w:rPr>
          <w:rFonts w:ascii="Times New Roman" w:hAnsi="Times New Roman" w:cs="Times New Roman"/>
          <w:sz w:val="28"/>
          <w:szCs w:val="28"/>
        </w:rPr>
        <w:t>meta</w:t>
      </w:r>
      <w:proofErr w:type="gramEnd"/>
      <w:r w:rsidRPr="002F7EDF">
        <w:rPr>
          <w:rFonts w:ascii="Times New Roman" w:hAnsi="Times New Roman" w:cs="Times New Roman"/>
          <w:sz w:val="28"/>
          <w:szCs w:val="28"/>
        </w:rPr>
        <w:t xml:space="preserve"> cohort based on metabolic ssGSEA score.</w:t>
      </w:r>
    </w:p>
    <w:p w14:paraId="381C8FDB" w14:textId="77777777" w:rsidR="006C1001" w:rsidRPr="002F7EDF" w:rsidRDefault="006C1001" w:rsidP="001E40F4">
      <w:pPr>
        <w:autoSpaceDE w:val="0"/>
        <w:autoSpaceDN w:val="0"/>
        <w:adjustRightInd w:val="0"/>
        <w:rPr>
          <w:rFonts w:ascii="Times New Roman" w:hAnsi="Times New Roman" w:cs="Times New Roman"/>
          <w:sz w:val="28"/>
          <w:szCs w:val="28"/>
        </w:rPr>
      </w:pPr>
    </w:p>
    <w:p w14:paraId="670C9103" w14:textId="77777777" w:rsidR="006C1001" w:rsidRPr="002F7EDF" w:rsidRDefault="006C1001" w:rsidP="006C1001">
      <w:pPr>
        <w:autoSpaceDE w:val="0"/>
        <w:autoSpaceDN w:val="0"/>
        <w:adjustRightInd w:val="0"/>
        <w:rPr>
          <w:rFonts w:ascii="Times New Roman" w:hAnsi="Times New Roman" w:cs="Times New Roman"/>
          <w:sz w:val="28"/>
          <w:szCs w:val="28"/>
        </w:rPr>
      </w:pPr>
      <w:r w:rsidRPr="002F7EDF">
        <w:rPr>
          <w:rFonts w:ascii="Times New Roman" w:hAnsi="Times New Roman" w:cs="Times New Roman"/>
          <w:sz w:val="28"/>
          <w:szCs w:val="28"/>
        </w:rPr>
        <w:t xml:space="preserve">Supplemental Figure </w:t>
      </w:r>
      <w:r>
        <w:rPr>
          <w:rFonts w:ascii="Times New Roman" w:hAnsi="Times New Roman" w:cs="Times New Roman" w:hint="eastAsia"/>
          <w:sz w:val="28"/>
          <w:szCs w:val="28"/>
        </w:rPr>
        <w:t>3</w:t>
      </w:r>
      <w:r w:rsidRPr="002F7EDF">
        <w:rPr>
          <w:rFonts w:ascii="Times New Roman" w:hAnsi="Times New Roman" w:cs="Times New Roman"/>
          <w:sz w:val="28"/>
          <w:szCs w:val="28"/>
        </w:rPr>
        <w:t>: The correlation of the metabolic ssGSEA score of PCa samples.</w:t>
      </w:r>
    </w:p>
    <w:p w14:paraId="3718D1B2" w14:textId="77777777" w:rsidR="001E40F4" w:rsidRPr="006C1001" w:rsidRDefault="001E40F4" w:rsidP="001E40F4">
      <w:pPr>
        <w:autoSpaceDE w:val="0"/>
        <w:autoSpaceDN w:val="0"/>
        <w:adjustRightInd w:val="0"/>
        <w:rPr>
          <w:rFonts w:ascii="Times New Roman" w:hAnsi="Times New Roman" w:cs="Times New Roman"/>
          <w:sz w:val="28"/>
          <w:szCs w:val="28"/>
        </w:rPr>
      </w:pPr>
    </w:p>
    <w:p w14:paraId="4E317CB8" w14:textId="69DB5587" w:rsidR="001E40F4" w:rsidRPr="002F7EDF" w:rsidRDefault="001E40F4" w:rsidP="001E40F4">
      <w:pPr>
        <w:autoSpaceDE w:val="0"/>
        <w:autoSpaceDN w:val="0"/>
        <w:adjustRightInd w:val="0"/>
        <w:rPr>
          <w:rFonts w:ascii="Times New Roman" w:hAnsi="Times New Roman" w:cs="Times New Roman"/>
          <w:sz w:val="28"/>
          <w:szCs w:val="28"/>
        </w:rPr>
      </w:pPr>
      <w:r w:rsidRPr="002F7EDF">
        <w:rPr>
          <w:rFonts w:ascii="Times New Roman" w:hAnsi="Times New Roman" w:cs="Times New Roman"/>
          <w:sz w:val="28"/>
          <w:szCs w:val="28"/>
        </w:rPr>
        <w:t xml:space="preserve">Supplemental Figure </w:t>
      </w:r>
      <w:r w:rsidR="006C1001">
        <w:rPr>
          <w:rFonts w:ascii="Times New Roman" w:hAnsi="Times New Roman" w:cs="Times New Roman" w:hint="eastAsia"/>
          <w:sz w:val="28"/>
          <w:szCs w:val="28"/>
        </w:rPr>
        <w:t>4</w:t>
      </w:r>
      <w:r w:rsidRPr="002F7EDF">
        <w:rPr>
          <w:rFonts w:ascii="Times New Roman" w:hAnsi="Times New Roman" w:cs="Times New Roman"/>
          <w:sz w:val="28"/>
          <w:szCs w:val="28"/>
        </w:rPr>
        <w:t xml:space="preserve">: (A-G) Consensus matrixes of PCa samples for each k (k = 2–6) from </w:t>
      </w:r>
      <w:proofErr w:type="gramStart"/>
      <w:r w:rsidRPr="002F7EDF">
        <w:rPr>
          <w:rFonts w:ascii="Times New Roman" w:hAnsi="Times New Roman" w:cs="Times New Roman"/>
          <w:sz w:val="28"/>
          <w:szCs w:val="28"/>
        </w:rPr>
        <w:t>meta</w:t>
      </w:r>
      <w:proofErr w:type="gramEnd"/>
      <w:r w:rsidRPr="002F7EDF">
        <w:rPr>
          <w:rFonts w:ascii="Times New Roman" w:hAnsi="Times New Roman" w:cs="Times New Roman"/>
          <w:sz w:val="28"/>
          <w:szCs w:val="28"/>
        </w:rPr>
        <w:t xml:space="preserve"> cohort based on DEGs expression abundance, displaying the clustering stability using 1000 iterations of hierarchical clustering. </w:t>
      </w:r>
    </w:p>
    <w:p w14:paraId="545ECE0F" w14:textId="35D6F6D6" w:rsidR="001E40F4" w:rsidRDefault="001E40F4" w:rsidP="001E40F4">
      <w:pPr>
        <w:autoSpaceDE w:val="0"/>
        <w:autoSpaceDN w:val="0"/>
        <w:adjustRightInd w:val="0"/>
        <w:rPr>
          <w:rFonts w:ascii="Times New Roman" w:hAnsi="Times New Roman" w:cs="Times New Roman"/>
          <w:sz w:val="28"/>
          <w:szCs w:val="28"/>
        </w:rPr>
      </w:pPr>
    </w:p>
    <w:p w14:paraId="25BED066" w14:textId="1B1843DC" w:rsidR="004760E9" w:rsidRPr="00434661" w:rsidRDefault="004760E9" w:rsidP="004760E9">
      <w:pPr>
        <w:autoSpaceDE w:val="0"/>
        <w:autoSpaceDN w:val="0"/>
        <w:adjustRightInd w:val="0"/>
        <w:rPr>
          <w:rFonts w:ascii="Times New Roman" w:hAnsi="Times New Roman" w:cs="Times New Roman"/>
          <w:sz w:val="28"/>
          <w:szCs w:val="28"/>
        </w:rPr>
      </w:pPr>
      <w:r w:rsidRPr="00434661">
        <w:rPr>
          <w:rFonts w:ascii="Times New Roman" w:hAnsi="Times New Roman" w:cs="Times New Roman"/>
          <w:sz w:val="28"/>
          <w:szCs w:val="28"/>
        </w:rPr>
        <w:t xml:space="preserve">Supplemental Figure </w:t>
      </w:r>
      <w:r w:rsidRPr="00434661">
        <w:rPr>
          <w:rFonts w:ascii="Times New Roman" w:hAnsi="Times New Roman" w:cs="Times New Roman" w:hint="eastAsia"/>
          <w:sz w:val="28"/>
          <w:szCs w:val="28"/>
        </w:rPr>
        <w:t>5</w:t>
      </w:r>
      <w:r w:rsidRPr="00434661">
        <w:rPr>
          <w:rFonts w:ascii="Times New Roman" w:hAnsi="Times New Roman" w:cs="Times New Roman"/>
          <w:sz w:val="28"/>
          <w:szCs w:val="28"/>
        </w:rPr>
        <w:t xml:space="preserve">: The differences of </w:t>
      </w:r>
      <w:r w:rsidRPr="00434661">
        <w:rPr>
          <w:rFonts w:ascii="Times New Roman" w:hAnsi="Times New Roman" w:cs="Times New Roman" w:hint="eastAsia"/>
          <w:sz w:val="28"/>
          <w:szCs w:val="28"/>
        </w:rPr>
        <w:t>metabolic</w:t>
      </w:r>
      <w:r w:rsidRPr="00434661">
        <w:rPr>
          <w:rFonts w:ascii="Times New Roman" w:hAnsi="Times New Roman" w:cs="Times New Roman"/>
          <w:sz w:val="28"/>
          <w:szCs w:val="28"/>
        </w:rPr>
        <w:t xml:space="preserve"> </w:t>
      </w:r>
      <w:r w:rsidRPr="00434661">
        <w:rPr>
          <w:rFonts w:ascii="Times New Roman" w:hAnsi="Times New Roman" w:cs="Times New Roman" w:hint="eastAsia"/>
          <w:sz w:val="28"/>
          <w:szCs w:val="28"/>
        </w:rPr>
        <w:t>score</w:t>
      </w:r>
      <w:r w:rsidRPr="00434661">
        <w:rPr>
          <w:rFonts w:ascii="Times New Roman" w:hAnsi="Times New Roman" w:cs="Times New Roman"/>
          <w:sz w:val="28"/>
          <w:szCs w:val="28"/>
        </w:rPr>
        <w:t xml:space="preserve"> between black and white </w:t>
      </w:r>
      <w:r w:rsidRPr="00434661">
        <w:rPr>
          <w:rFonts w:ascii="Times New Roman" w:hAnsi="Times New Roman" w:cs="Times New Roman" w:hint="eastAsia"/>
          <w:sz w:val="28"/>
          <w:szCs w:val="28"/>
        </w:rPr>
        <w:t>races</w:t>
      </w:r>
      <w:r w:rsidRPr="00434661">
        <w:rPr>
          <w:rFonts w:ascii="Times New Roman" w:hAnsi="Times New Roman" w:cs="Times New Roman"/>
          <w:sz w:val="28"/>
          <w:szCs w:val="28"/>
        </w:rPr>
        <w:t xml:space="preserve"> in MSKCC cohort </w:t>
      </w:r>
      <w:r w:rsidR="001C374F" w:rsidRPr="00434661">
        <w:rPr>
          <w:rFonts w:ascii="Times New Roman" w:hAnsi="Times New Roman" w:cs="Times New Roman"/>
          <w:sz w:val="28"/>
          <w:szCs w:val="28"/>
        </w:rPr>
        <w:t>(A) (Wilcoxon test, p = 0.065)</w:t>
      </w:r>
      <w:r w:rsidRPr="00434661">
        <w:rPr>
          <w:rFonts w:ascii="Times New Roman" w:hAnsi="Times New Roman" w:cs="Times New Roman"/>
          <w:sz w:val="28"/>
          <w:szCs w:val="28"/>
        </w:rPr>
        <w:t xml:space="preserve"> and TCGA cohort (B)</w:t>
      </w:r>
      <w:r w:rsidR="001C374F" w:rsidRPr="00434661">
        <w:rPr>
          <w:rFonts w:ascii="Times New Roman" w:hAnsi="Times New Roman" w:cs="Times New Roman"/>
          <w:sz w:val="28"/>
          <w:szCs w:val="28"/>
        </w:rPr>
        <w:t xml:space="preserve"> (Wilcoxon test, p = 0.038)</w:t>
      </w:r>
      <w:r w:rsidRPr="00434661">
        <w:rPr>
          <w:rFonts w:ascii="Times New Roman" w:hAnsi="Times New Roman" w:cs="Times New Roman"/>
          <w:sz w:val="28"/>
          <w:szCs w:val="28"/>
        </w:rPr>
        <w:t xml:space="preserve">, and between different Node stages (C) </w:t>
      </w:r>
      <w:r w:rsidR="001C374F" w:rsidRPr="00434661">
        <w:rPr>
          <w:rFonts w:ascii="Times New Roman" w:hAnsi="Times New Roman" w:cs="Times New Roman"/>
          <w:sz w:val="28"/>
          <w:szCs w:val="28"/>
        </w:rPr>
        <w:t xml:space="preserve">(Wilcoxon test, p &lt; 0.001) </w:t>
      </w:r>
      <w:r w:rsidRPr="00434661">
        <w:rPr>
          <w:rFonts w:ascii="Times New Roman" w:hAnsi="Times New Roman" w:cs="Times New Roman"/>
          <w:sz w:val="28"/>
          <w:szCs w:val="28"/>
        </w:rPr>
        <w:t>and metastasis stages (D)</w:t>
      </w:r>
      <w:r w:rsidR="001C374F" w:rsidRPr="00434661">
        <w:rPr>
          <w:rFonts w:ascii="Times New Roman" w:hAnsi="Times New Roman" w:cs="Times New Roman"/>
          <w:sz w:val="28"/>
          <w:szCs w:val="28"/>
        </w:rPr>
        <w:t xml:space="preserve"> (Wilcoxon test, p &lt; 0.001)</w:t>
      </w:r>
      <w:r w:rsidRPr="00434661">
        <w:rPr>
          <w:rFonts w:ascii="Times New Roman" w:hAnsi="Times New Roman" w:cs="Times New Roman"/>
          <w:sz w:val="28"/>
          <w:szCs w:val="28"/>
        </w:rPr>
        <w:t xml:space="preserve"> in MSKCC cohort.</w:t>
      </w:r>
    </w:p>
    <w:p w14:paraId="35573E77" w14:textId="77777777" w:rsidR="00C8273C" w:rsidRPr="00434661" w:rsidRDefault="00C8273C" w:rsidP="001E40F4">
      <w:pPr>
        <w:autoSpaceDE w:val="0"/>
        <w:autoSpaceDN w:val="0"/>
        <w:adjustRightInd w:val="0"/>
        <w:rPr>
          <w:rFonts w:ascii="Times New Roman" w:hAnsi="Times New Roman" w:cs="Times New Roman"/>
          <w:sz w:val="28"/>
          <w:szCs w:val="28"/>
        </w:rPr>
      </w:pPr>
    </w:p>
    <w:p w14:paraId="5413FC7A" w14:textId="181B681A" w:rsidR="001E40F4" w:rsidRPr="00434661" w:rsidRDefault="001E40F4" w:rsidP="001E40F4">
      <w:pPr>
        <w:autoSpaceDE w:val="0"/>
        <w:autoSpaceDN w:val="0"/>
        <w:adjustRightInd w:val="0"/>
        <w:rPr>
          <w:rFonts w:ascii="Times New Roman" w:hAnsi="Times New Roman" w:cs="Times New Roman"/>
          <w:sz w:val="28"/>
          <w:szCs w:val="28"/>
        </w:rPr>
      </w:pPr>
      <w:r w:rsidRPr="00434661">
        <w:rPr>
          <w:rFonts w:ascii="Times New Roman" w:hAnsi="Times New Roman" w:cs="Times New Roman"/>
          <w:sz w:val="28"/>
          <w:szCs w:val="28"/>
        </w:rPr>
        <w:t xml:space="preserve">Supplemental Figure </w:t>
      </w:r>
      <w:r w:rsidR="00C8273C" w:rsidRPr="00434661">
        <w:rPr>
          <w:rFonts w:ascii="Times New Roman" w:hAnsi="Times New Roman" w:cs="Times New Roman"/>
          <w:sz w:val="28"/>
          <w:szCs w:val="28"/>
        </w:rPr>
        <w:t>6</w:t>
      </w:r>
      <w:r w:rsidRPr="00434661">
        <w:rPr>
          <w:rFonts w:ascii="Times New Roman" w:hAnsi="Times New Roman" w:cs="Times New Roman"/>
          <w:sz w:val="28"/>
          <w:szCs w:val="28"/>
        </w:rPr>
        <w:t>. Kaplan-Meier curves for the low/high metabolic score groups in DKFZ cohort (A)</w:t>
      </w:r>
      <w:r w:rsidR="001C374F" w:rsidRPr="00434661">
        <w:rPr>
          <w:rFonts w:ascii="Times New Roman" w:hAnsi="Times New Roman" w:cs="Times New Roman"/>
          <w:sz w:val="28"/>
          <w:szCs w:val="28"/>
        </w:rPr>
        <w:t xml:space="preserve"> (Log-rank test, p &lt; 0.001)</w:t>
      </w:r>
      <w:r w:rsidRPr="00434661">
        <w:rPr>
          <w:rFonts w:ascii="Times New Roman" w:hAnsi="Times New Roman" w:cs="Times New Roman"/>
          <w:sz w:val="28"/>
          <w:szCs w:val="28"/>
        </w:rPr>
        <w:t>, GSE54460 cohort (B)</w:t>
      </w:r>
      <w:r w:rsidR="001C374F" w:rsidRPr="00434661">
        <w:rPr>
          <w:rFonts w:ascii="Times New Roman" w:hAnsi="Times New Roman" w:cs="Times New Roman"/>
          <w:sz w:val="28"/>
          <w:szCs w:val="28"/>
        </w:rPr>
        <w:t xml:space="preserve"> (Log-rank test, p = 0.036)</w:t>
      </w:r>
      <w:r w:rsidRPr="00434661">
        <w:rPr>
          <w:rFonts w:ascii="Times New Roman" w:hAnsi="Times New Roman" w:cs="Times New Roman"/>
          <w:sz w:val="28"/>
          <w:szCs w:val="28"/>
        </w:rPr>
        <w:t>, GSE70768 (C)</w:t>
      </w:r>
      <w:r w:rsidR="001C374F" w:rsidRPr="00434661">
        <w:rPr>
          <w:rFonts w:ascii="Times New Roman" w:hAnsi="Times New Roman" w:cs="Times New Roman"/>
          <w:sz w:val="28"/>
          <w:szCs w:val="28"/>
        </w:rPr>
        <w:t xml:space="preserve"> (Log-rank test, p = 0.224)</w:t>
      </w:r>
      <w:r w:rsidRPr="00434661">
        <w:rPr>
          <w:rFonts w:ascii="Times New Roman" w:hAnsi="Times New Roman" w:cs="Times New Roman"/>
          <w:sz w:val="28"/>
          <w:szCs w:val="28"/>
        </w:rPr>
        <w:t>, GSE116918 (D)</w:t>
      </w:r>
      <w:r w:rsidR="001C374F" w:rsidRPr="00434661">
        <w:rPr>
          <w:rFonts w:ascii="Times New Roman" w:hAnsi="Times New Roman" w:cs="Times New Roman"/>
          <w:sz w:val="28"/>
          <w:szCs w:val="28"/>
        </w:rPr>
        <w:t xml:space="preserve"> (Log-rank test, p &lt; 0.001)</w:t>
      </w:r>
      <w:r w:rsidRPr="00434661">
        <w:rPr>
          <w:rFonts w:ascii="Times New Roman" w:hAnsi="Times New Roman" w:cs="Times New Roman"/>
          <w:sz w:val="28"/>
          <w:szCs w:val="28"/>
        </w:rPr>
        <w:t>, and MSKCC (E)</w:t>
      </w:r>
      <w:r w:rsidR="001C374F" w:rsidRPr="00434661">
        <w:rPr>
          <w:rFonts w:ascii="Times New Roman" w:hAnsi="Times New Roman" w:cs="Times New Roman"/>
          <w:sz w:val="28"/>
          <w:szCs w:val="28"/>
        </w:rPr>
        <w:t xml:space="preserve"> (Log-rank test, p &lt; 0.001)</w:t>
      </w:r>
      <w:r w:rsidRPr="00434661">
        <w:rPr>
          <w:rFonts w:ascii="Times New Roman" w:hAnsi="Times New Roman" w:cs="Times New Roman"/>
          <w:sz w:val="28"/>
          <w:szCs w:val="28"/>
        </w:rPr>
        <w:t>.</w:t>
      </w:r>
    </w:p>
    <w:p w14:paraId="1DC9A4CC" w14:textId="77777777" w:rsidR="001E40F4" w:rsidRPr="00434661" w:rsidRDefault="001E40F4" w:rsidP="001E40F4">
      <w:pPr>
        <w:autoSpaceDE w:val="0"/>
        <w:autoSpaceDN w:val="0"/>
        <w:adjustRightInd w:val="0"/>
        <w:rPr>
          <w:rFonts w:ascii="Times New Roman" w:hAnsi="Times New Roman" w:cs="Times New Roman"/>
          <w:sz w:val="28"/>
          <w:szCs w:val="28"/>
        </w:rPr>
      </w:pPr>
    </w:p>
    <w:p w14:paraId="5BC3DCBB" w14:textId="63B17675" w:rsidR="001E40F4" w:rsidRPr="00434661" w:rsidRDefault="001E40F4" w:rsidP="001E40F4">
      <w:pPr>
        <w:autoSpaceDE w:val="0"/>
        <w:autoSpaceDN w:val="0"/>
        <w:adjustRightInd w:val="0"/>
        <w:rPr>
          <w:rFonts w:ascii="Times New Roman" w:hAnsi="Times New Roman" w:cs="Times New Roman"/>
          <w:sz w:val="28"/>
          <w:szCs w:val="28"/>
        </w:rPr>
      </w:pPr>
      <w:r w:rsidRPr="00434661">
        <w:rPr>
          <w:rFonts w:ascii="Times New Roman" w:hAnsi="Times New Roman" w:cs="Times New Roman"/>
          <w:sz w:val="28"/>
          <w:szCs w:val="28"/>
        </w:rPr>
        <w:t xml:space="preserve">Supplemental Figure </w:t>
      </w:r>
      <w:r w:rsidR="00C8273C" w:rsidRPr="00434661">
        <w:rPr>
          <w:rFonts w:ascii="Times New Roman" w:hAnsi="Times New Roman" w:cs="Times New Roman"/>
          <w:sz w:val="28"/>
          <w:szCs w:val="28"/>
        </w:rPr>
        <w:t>7</w:t>
      </w:r>
      <w:r w:rsidRPr="00434661">
        <w:rPr>
          <w:rFonts w:ascii="Times New Roman" w:hAnsi="Times New Roman" w:cs="Times New Roman"/>
          <w:sz w:val="28"/>
          <w:szCs w:val="28"/>
        </w:rPr>
        <w:t xml:space="preserve">. Hazard stratification analysis in </w:t>
      </w:r>
      <w:proofErr w:type="gramStart"/>
      <w:r w:rsidRPr="00434661">
        <w:rPr>
          <w:rFonts w:ascii="Times New Roman" w:hAnsi="Times New Roman" w:cs="Times New Roman"/>
          <w:sz w:val="28"/>
          <w:szCs w:val="28"/>
        </w:rPr>
        <w:t>meta</w:t>
      </w:r>
      <w:proofErr w:type="gramEnd"/>
      <w:r w:rsidRPr="00434661">
        <w:rPr>
          <w:rFonts w:ascii="Times New Roman" w:hAnsi="Times New Roman" w:cs="Times New Roman"/>
          <w:sz w:val="28"/>
          <w:szCs w:val="28"/>
        </w:rPr>
        <w:t xml:space="preserve"> cohort. age</w:t>
      </w:r>
      <w:r w:rsidR="001C374F" w:rsidRPr="00434661">
        <w:rPr>
          <w:rFonts w:ascii="Times New Roman" w:hAnsi="Times New Roman" w:cs="Times New Roman"/>
          <w:sz w:val="28"/>
          <w:szCs w:val="28"/>
        </w:rPr>
        <w:t xml:space="preserve"> </w:t>
      </w:r>
      <w:r w:rsidRPr="00434661">
        <w:rPr>
          <w:rFonts w:ascii="Times New Roman" w:hAnsi="Times New Roman" w:cs="Times New Roman"/>
          <w:sz w:val="28"/>
          <w:szCs w:val="28"/>
        </w:rPr>
        <w:t>&gt;=</w:t>
      </w:r>
      <w:r w:rsidR="001C374F" w:rsidRPr="00434661">
        <w:rPr>
          <w:rFonts w:ascii="Times New Roman" w:hAnsi="Times New Roman" w:cs="Times New Roman"/>
          <w:sz w:val="28"/>
          <w:szCs w:val="28"/>
        </w:rPr>
        <w:t xml:space="preserve"> </w:t>
      </w:r>
      <w:r w:rsidRPr="00434661">
        <w:rPr>
          <w:rFonts w:ascii="Times New Roman" w:hAnsi="Times New Roman" w:cs="Times New Roman"/>
          <w:sz w:val="28"/>
          <w:szCs w:val="28"/>
        </w:rPr>
        <w:t>60 (A)</w:t>
      </w:r>
      <w:r w:rsidR="001C374F" w:rsidRPr="00434661">
        <w:rPr>
          <w:rFonts w:ascii="Times New Roman" w:hAnsi="Times New Roman" w:cs="Times New Roman"/>
          <w:sz w:val="28"/>
          <w:szCs w:val="28"/>
        </w:rPr>
        <w:t xml:space="preserve"> ((Log-rank test, p &lt; 0.001)</w:t>
      </w:r>
      <w:r w:rsidRPr="00434661">
        <w:rPr>
          <w:rFonts w:ascii="Times New Roman" w:hAnsi="Times New Roman" w:cs="Times New Roman"/>
          <w:sz w:val="28"/>
          <w:szCs w:val="28"/>
        </w:rPr>
        <w:t xml:space="preserve">, </w:t>
      </w:r>
      <w:r w:rsidR="001C374F" w:rsidRPr="00434661">
        <w:rPr>
          <w:rFonts w:ascii="Times New Roman" w:hAnsi="Times New Roman" w:cs="Times New Roman"/>
          <w:sz w:val="28"/>
          <w:szCs w:val="28"/>
        </w:rPr>
        <w:t xml:space="preserve">age </w:t>
      </w:r>
      <w:r w:rsidRPr="00434661">
        <w:rPr>
          <w:rFonts w:ascii="Times New Roman" w:hAnsi="Times New Roman" w:cs="Times New Roman"/>
          <w:sz w:val="28"/>
          <w:szCs w:val="28"/>
        </w:rPr>
        <w:t>&lt;</w:t>
      </w:r>
      <w:r w:rsidR="001C374F" w:rsidRPr="00434661">
        <w:rPr>
          <w:rFonts w:ascii="Times New Roman" w:hAnsi="Times New Roman" w:cs="Times New Roman"/>
          <w:sz w:val="28"/>
          <w:szCs w:val="28"/>
        </w:rPr>
        <w:t xml:space="preserve"> </w:t>
      </w:r>
      <w:r w:rsidRPr="00434661">
        <w:rPr>
          <w:rFonts w:ascii="Times New Roman" w:hAnsi="Times New Roman" w:cs="Times New Roman"/>
          <w:sz w:val="28"/>
          <w:szCs w:val="28"/>
        </w:rPr>
        <w:t>60 (B)</w:t>
      </w:r>
      <w:r w:rsidR="001C374F" w:rsidRPr="00434661">
        <w:rPr>
          <w:rFonts w:ascii="Times New Roman" w:hAnsi="Times New Roman" w:cs="Times New Roman"/>
          <w:sz w:val="28"/>
          <w:szCs w:val="28"/>
        </w:rPr>
        <w:t xml:space="preserve"> (Log-rank test, p &lt; 0.001)</w:t>
      </w:r>
      <w:r w:rsidRPr="00434661">
        <w:rPr>
          <w:rFonts w:ascii="Times New Roman" w:hAnsi="Times New Roman" w:cs="Times New Roman"/>
          <w:sz w:val="28"/>
          <w:szCs w:val="28"/>
        </w:rPr>
        <w:t>, Gleason score</w:t>
      </w:r>
      <w:r w:rsidR="001C374F" w:rsidRPr="00434661">
        <w:rPr>
          <w:rFonts w:ascii="Times New Roman" w:hAnsi="Times New Roman" w:cs="Times New Roman"/>
          <w:sz w:val="28"/>
          <w:szCs w:val="28"/>
        </w:rPr>
        <w:t xml:space="preserve"> </w:t>
      </w:r>
      <w:r w:rsidRPr="00434661">
        <w:rPr>
          <w:rFonts w:ascii="Times New Roman" w:hAnsi="Times New Roman" w:cs="Times New Roman"/>
          <w:sz w:val="28"/>
          <w:szCs w:val="28"/>
        </w:rPr>
        <w:t>&gt;</w:t>
      </w:r>
      <w:r w:rsidR="001C374F" w:rsidRPr="00434661">
        <w:rPr>
          <w:rFonts w:ascii="Times New Roman" w:hAnsi="Times New Roman" w:cs="Times New Roman"/>
          <w:sz w:val="28"/>
          <w:szCs w:val="28"/>
        </w:rPr>
        <w:t xml:space="preserve"> </w:t>
      </w:r>
      <w:r w:rsidRPr="00434661">
        <w:rPr>
          <w:rFonts w:ascii="Times New Roman" w:hAnsi="Times New Roman" w:cs="Times New Roman"/>
          <w:sz w:val="28"/>
          <w:szCs w:val="28"/>
        </w:rPr>
        <w:t>7 (C)</w:t>
      </w:r>
      <w:r w:rsidR="001C374F" w:rsidRPr="00434661">
        <w:rPr>
          <w:rFonts w:ascii="Times New Roman" w:hAnsi="Times New Roman" w:cs="Times New Roman"/>
          <w:sz w:val="28"/>
          <w:szCs w:val="28"/>
        </w:rPr>
        <w:t xml:space="preserve"> (Log-rank test, p &lt; 0.001)</w:t>
      </w:r>
      <w:r w:rsidRPr="00434661">
        <w:rPr>
          <w:rFonts w:ascii="Times New Roman" w:hAnsi="Times New Roman" w:cs="Times New Roman"/>
          <w:sz w:val="28"/>
          <w:szCs w:val="28"/>
        </w:rPr>
        <w:t>, Gleason score</w:t>
      </w:r>
      <w:r w:rsidR="001C374F" w:rsidRPr="00434661">
        <w:rPr>
          <w:rFonts w:ascii="Times New Roman" w:hAnsi="Times New Roman" w:cs="Times New Roman"/>
          <w:sz w:val="28"/>
          <w:szCs w:val="28"/>
        </w:rPr>
        <w:t xml:space="preserve"> </w:t>
      </w:r>
      <w:r w:rsidRPr="00434661">
        <w:rPr>
          <w:rFonts w:ascii="Times New Roman" w:hAnsi="Times New Roman" w:cs="Times New Roman"/>
          <w:sz w:val="28"/>
          <w:szCs w:val="28"/>
        </w:rPr>
        <w:t>&lt;=</w:t>
      </w:r>
      <w:r w:rsidR="001C374F" w:rsidRPr="00434661">
        <w:rPr>
          <w:rFonts w:ascii="Times New Roman" w:hAnsi="Times New Roman" w:cs="Times New Roman"/>
          <w:sz w:val="28"/>
          <w:szCs w:val="28"/>
        </w:rPr>
        <w:t xml:space="preserve"> </w:t>
      </w:r>
      <w:r w:rsidRPr="00434661">
        <w:rPr>
          <w:rFonts w:ascii="Times New Roman" w:hAnsi="Times New Roman" w:cs="Times New Roman"/>
          <w:sz w:val="28"/>
          <w:szCs w:val="28"/>
        </w:rPr>
        <w:t>7 (D)</w:t>
      </w:r>
      <w:r w:rsidR="001C374F" w:rsidRPr="00434661">
        <w:rPr>
          <w:rFonts w:ascii="Times New Roman" w:hAnsi="Times New Roman" w:cs="Times New Roman"/>
          <w:sz w:val="28"/>
          <w:szCs w:val="28"/>
        </w:rPr>
        <w:t xml:space="preserve"> (Log-rank test, p &lt; 0.001)</w:t>
      </w:r>
      <w:r w:rsidRPr="00434661">
        <w:rPr>
          <w:rFonts w:ascii="Times New Roman" w:hAnsi="Times New Roman" w:cs="Times New Roman"/>
          <w:sz w:val="28"/>
          <w:szCs w:val="28"/>
        </w:rPr>
        <w:t>, T1-T2 (E)</w:t>
      </w:r>
      <w:r w:rsidR="001C374F" w:rsidRPr="00434661">
        <w:rPr>
          <w:rFonts w:ascii="Times New Roman" w:hAnsi="Times New Roman" w:cs="Times New Roman"/>
          <w:sz w:val="28"/>
          <w:szCs w:val="28"/>
        </w:rPr>
        <w:t xml:space="preserve"> (Log-rank test, p &lt; 0.001)</w:t>
      </w:r>
      <w:r w:rsidRPr="00434661">
        <w:rPr>
          <w:rFonts w:ascii="Times New Roman" w:hAnsi="Times New Roman" w:cs="Times New Roman"/>
          <w:sz w:val="28"/>
          <w:szCs w:val="28"/>
        </w:rPr>
        <w:t>, T3-T4 (F)</w:t>
      </w:r>
      <w:r w:rsidR="001C374F" w:rsidRPr="00434661">
        <w:rPr>
          <w:rFonts w:ascii="Times New Roman" w:hAnsi="Times New Roman" w:cs="Times New Roman"/>
          <w:sz w:val="28"/>
          <w:szCs w:val="28"/>
        </w:rPr>
        <w:t xml:space="preserve"> (Log-rank test, p &lt; 0.001)</w:t>
      </w:r>
      <w:r w:rsidR="00DD5968" w:rsidRPr="00434661">
        <w:rPr>
          <w:rFonts w:ascii="Times New Roman" w:hAnsi="Times New Roman" w:cs="Times New Roman"/>
          <w:sz w:val="28"/>
          <w:szCs w:val="28"/>
        </w:rPr>
        <w:t>, CAPRA score</w:t>
      </w:r>
      <w:r w:rsidR="001F1E62" w:rsidRPr="00434661">
        <w:rPr>
          <w:rFonts w:ascii="Times New Roman" w:hAnsi="Times New Roman" w:cs="Times New Roman"/>
          <w:sz w:val="28"/>
          <w:szCs w:val="28"/>
        </w:rPr>
        <w:t xml:space="preserve"> </w:t>
      </w:r>
      <w:r w:rsidR="00DD5968" w:rsidRPr="00434661">
        <w:rPr>
          <w:rFonts w:ascii="Times New Roman" w:hAnsi="Times New Roman" w:cs="Times New Roman"/>
          <w:sz w:val="28"/>
          <w:szCs w:val="28"/>
        </w:rPr>
        <w:t>&lt;=</w:t>
      </w:r>
      <w:r w:rsidR="001F1E62" w:rsidRPr="00434661">
        <w:rPr>
          <w:rFonts w:ascii="Times New Roman" w:hAnsi="Times New Roman" w:cs="Times New Roman"/>
          <w:sz w:val="28"/>
          <w:szCs w:val="28"/>
        </w:rPr>
        <w:t xml:space="preserve"> </w:t>
      </w:r>
      <w:r w:rsidR="00DD5968" w:rsidRPr="00434661">
        <w:rPr>
          <w:rFonts w:ascii="Times New Roman" w:hAnsi="Times New Roman" w:cs="Times New Roman"/>
          <w:sz w:val="28"/>
          <w:szCs w:val="28"/>
        </w:rPr>
        <w:t>3 (G)</w:t>
      </w:r>
      <w:r w:rsidR="001F1E62" w:rsidRPr="00434661">
        <w:rPr>
          <w:rFonts w:ascii="Times New Roman" w:hAnsi="Times New Roman" w:cs="Times New Roman"/>
          <w:sz w:val="28"/>
          <w:szCs w:val="28"/>
        </w:rPr>
        <w:t xml:space="preserve"> (Log-rank test, p &lt; 0.001)</w:t>
      </w:r>
      <w:r w:rsidR="00DD5968" w:rsidRPr="00434661">
        <w:rPr>
          <w:rFonts w:ascii="Times New Roman" w:hAnsi="Times New Roman" w:cs="Times New Roman"/>
          <w:sz w:val="28"/>
          <w:szCs w:val="28"/>
        </w:rPr>
        <w:t>, CAPRA score</w:t>
      </w:r>
      <w:r w:rsidR="001F1E62" w:rsidRPr="00434661">
        <w:rPr>
          <w:rFonts w:ascii="Times New Roman" w:hAnsi="Times New Roman" w:cs="Times New Roman"/>
          <w:sz w:val="28"/>
          <w:szCs w:val="28"/>
        </w:rPr>
        <w:t xml:space="preserve"> </w:t>
      </w:r>
      <w:r w:rsidR="00DD5968" w:rsidRPr="00434661">
        <w:rPr>
          <w:rFonts w:ascii="Times New Roman" w:hAnsi="Times New Roman" w:cs="Times New Roman"/>
          <w:sz w:val="28"/>
          <w:szCs w:val="28"/>
        </w:rPr>
        <w:t>&gt;</w:t>
      </w:r>
      <w:r w:rsidR="001F1E62" w:rsidRPr="00434661">
        <w:rPr>
          <w:rFonts w:ascii="Times New Roman" w:hAnsi="Times New Roman" w:cs="Times New Roman"/>
          <w:sz w:val="28"/>
          <w:szCs w:val="28"/>
        </w:rPr>
        <w:t xml:space="preserve"> </w:t>
      </w:r>
      <w:r w:rsidR="00DD5968" w:rsidRPr="00434661">
        <w:rPr>
          <w:rFonts w:ascii="Times New Roman" w:hAnsi="Times New Roman" w:cs="Times New Roman"/>
          <w:sz w:val="28"/>
          <w:szCs w:val="28"/>
        </w:rPr>
        <w:t>3 (H)</w:t>
      </w:r>
      <w:r w:rsidR="001F1E62" w:rsidRPr="00434661">
        <w:rPr>
          <w:rFonts w:ascii="Times New Roman" w:hAnsi="Times New Roman" w:cs="Times New Roman"/>
          <w:sz w:val="28"/>
          <w:szCs w:val="28"/>
        </w:rPr>
        <w:t xml:space="preserve"> (Log-rank test, p &lt; 0.001)</w:t>
      </w:r>
      <w:r w:rsidR="00DD5968" w:rsidRPr="00434661">
        <w:rPr>
          <w:rFonts w:ascii="Times New Roman" w:hAnsi="Times New Roman" w:cs="Times New Roman"/>
          <w:sz w:val="28"/>
          <w:szCs w:val="28"/>
        </w:rPr>
        <w:t>, low &amp; intermediate NCCN stages (I)</w:t>
      </w:r>
      <w:r w:rsidR="001F1E62" w:rsidRPr="00434661">
        <w:rPr>
          <w:rFonts w:ascii="Times New Roman" w:hAnsi="Times New Roman" w:cs="Times New Roman"/>
          <w:sz w:val="28"/>
          <w:szCs w:val="28"/>
        </w:rPr>
        <w:t xml:space="preserve"> (Log-rank test, p &lt; 0.001)</w:t>
      </w:r>
      <w:r w:rsidR="00DD5968" w:rsidRPr="00434661">
        <w:rPr>
          <w:rFonts w:ascii="Times New Roman" w:hAnsi="Times New Roman" w:cs="Times New Roman"/>
          <w:sz w:val="28"/>
          <w:szCs w:val="28"/>
        </w:rPr>
        <w:t>, and high &amp; very high NCCN stage (J)</w:t>
      </w:r>
      <w:r w:rsidR="001F1E62" w:rsidRPr="00434661">
        <w:rPr>
          <w:rFonts w:ascii="Times New Roman" w:hAnsi="Times New Roman" w:cs="Times New Roman"/>
          <w:sz w:val="28"/>
          <w:szCs w:val="28"/>
        </w:rPr>
        <w:t xml:space="preserve"> (Log-rank test, p &lt; 0.001)</w:t>
      </w:r>
      <w:r w:rsidRPr="00434661">
        <w:rPr>
          <w:rFonts w:ascii="Times New Roman" w:hAnsi="Times New Roman" w:cs="Times New Roman"/>
          <w:sz w:val="28"/>
          <w:szCs w:val="28"/>
        </w:rPr>
        <w:t>.</w:t>
      </w:r>
    </w:p>
    <w:p w14:paraId="03F7DBBD" w14:textId="77777777" w:rsidR="001E40F4" w:rsidRPr="00434661" w:rsidRDefault="001E40F4" w:rsidP="001E40F4">
      <w:pPr>
        <w:autoSpaceDE w:val="0"/>
        <w:autoSpaceDN w:val="0"/>
        <w:adjustRightInd w:val="0"/>
        <w:rPr>
          <w:rFonts w:ascii="Times New Roman" w:hAnsi="Times New Roman" w:cs="Times New Roman"/>
          <w:sz w:val="28"/>
          <w:szCs w:val="28"/>
        </w:rPr>
      </w:pPr>
    </w:p>
    <w:p w14:paraId="56B5810E" w14:textId="58EE55E0" w:rsidR="001E40F4" w:rsidRPr="00434661" w:rsidRDefault="001E40F4" w:rsidP="001E40F4">
      <w:pPr>
        <w:autoSpaceDE w:val="0"/>
        <w:autoSpaceDN w:val="0"/>
        <w:adjustRightInd w:val="0"/>
        <w:rPr>
          <w:rFonts w:ascii="Times New Roman" w:hAnsi="Times New Roman" w:cs="Times New Roman"/>
          <w:sz w:val="28"/>
          <w:szCs w:val="28"/>
        </w:rPr>
      </w:pPr>
      <w:r w:rsidRPr="00434661">
        <w:rPr>
          <w:rFonts w:ascii="Times New Roman" w:hAnsi="Times New Roman" w:cs="Times New Roman"/>
          <w:sz w:val="28"/>
          <w:szCs w:val="28"/>
        </w:rPr>
        <w:t xml:space="preserve">Supplemental Figure </w:t>
      </w:r>
      <w:r w:rsidR="00C8273C" w:rsidRPr="00434661">
        <w:rPr>
          <w:rFonts w:ascii="Times New Roman" w:hAnsi="Times New Roman" w:cs="Times New Roman"/>
          <w:sz w:val="28"/>
          <w:szCs w:val="28"/>
        </w:rPr>
        <w:t>8</w:t>
      </w:r>
      <w:r w:rsidRPr="00434661">
        <w:rPr>
          <w:rFonts w:ascii="Times New Roman" w:hAnsi="Times New Roman" w:cs="Times New Roman"/>
          <w:sz w:val="28"/>
          <w:szCs w:val="28"/>
        </w:rPr>
        <w:t xml:space="preserve">. The predict value of nomogram. The ROC analysis for nomogram in 1-year (A), 3-year (B), and 5-year (C). Kaplan-Meier curves for the low/high total points groups in </w:t>
      </w:r>
      <w:proofErr w:type="gramStart"/>
      <w:r w:rsidRPr="00434661">
        <w:rPr>
          <w:rFonts w:ascii="Times New Roman" w:hAnsi="Times New Roman" w:cs="Times New Roman"/>
          <w:sz w:val="28"/>
          <w:szCs w:val="28"/>
        </w:rPr>
        <w:t>meta</w:t>
      </w:r>
      <w:proofErr w:type="gramEnd"/>
      <w:r w:rsidRPr="00434661">
        <w:rPr>
          <w:rFonts w:ascii="Times New Roman" w:hAnsi="Times New Roman" w:cs="Times New Roman"/>
          <w:sz w:val="28"/>
          <w:szCs w:val="28"/>
        </w:rPr>
        <w:t xml:space="preserve"> (training) (D) cohort and TCGA (validation) (E) cohort.</w:t>
      </w:r>
      <w:r w:rsidR="00DD5968" w:rsidRPr="00434661">
        <w:rPr>
          <w:rFonts w:ascii="Times New Roman" w:hAnsi="Times New Roman" w:cs="Times New Roman"/>
          <w:sz w:val="28"/>
          <w:szCs w:val="28"/>
        </w:rPr>
        <w:t xml:space="preserve"> The ROC analysis for CAPRA score (F), NCCN stage (G), TMB (H), and MSI (I) in 1-year, 3-year, and 5-year.</w:t>
      </w:r>
    </w:p>
    <w:p w14:paraId="78F0B3AC" w14:textId="4529C1B3" w:rsidR="00311883" w:rsidRPr="00434661" w:rsidRDefault="00311883" w:rsidP="001E40F4">
      <w:pPr>
        <w:autoSpaceDE w:val="0"/>
        <w:autoSpaceDN w:val="0"/>
        <w:adjustRightInd w:val="0"/>
        <w:rPr>
          <w:rFonts w:ascii="Times New Roman" w:hAnsi="Times New Roman" w:cs="Times New Roman"/>
          <w:sz w:val="28"/>
          <w:szCs w:val="28"/>
        </w:rPr>
      </w:pPr>
    </w:p>
    <w:p w14:paraId="6DF8BF60" w14:textId="77777777" w:rsidR="00311883" w:rsidRPr="00434661" w:rsidRDefault="00311883" w:rsidP="001E40F4">
      <w:pPr>
        <w:autoSpaceDE w:val="0"/>
        <w:autoSpaceDN w:val="0"/>
        <w:adjustRightInd w:val="0"/>
        <w:rPr>
          <w:rFonts w:ascii="Times New Roman" w:hAnsi="Times New Roman" w:cs="Times New Roman"/>
          <w:sz w:val="28"/>
          <w:szCs w:val="28"/>
        </w:rPr>
      </w:pPr>
    </w:p>
    <w:p w14:paraId="0C24D40D" w14:textId="77777777" w:rsidR="001E40F4" w:rsidRPr="00434661" w:rsidRDefault="001E40F4" w:rsidP="001E40F4">
      <w:pPr>
        <w:autoSpaceDE w:val="0"/>
        <w:autoSpaceDN w:val="0"/>
        <w:adjustRightInd w:val="0"/>
        <w:rPr>
          <w:rFonts w:ascii="Times New Roman" w:hAnsi="Times New Roman" w:cs="Times New Roman"/>
          <w:sz w:val="28"/>
          <w:szCs w:val="28"/>
        </w:rPr>
      </w:pPr>
    </w:p>
    <w:p w14:paraId="7BE7A1A7" w14:textId="3263DE86" w:rsidR="001E40F4" w:rsidRPr="00434661" w:rsidRDefault="001E40F4" w:rsidP="001E40F4">
      <w:pPr>
        <w:autoSpaceDE w:val="0"/>
        <w:autoSpaceDN w:val="0"/>
        <w:adjustRightInd w:val="0"/>
        <w:rPr>
          <w:rFonts w:ascii="Times New Roman" w:hAnsi="Times New Roman" w:cs="Times New Roman"/>
          <w:sz w:val="28"/>
          <w:szCs w:val="28"/>
        </w:rPr>
      </w:pPr>
      <w:r w:rsidRPr="00434661">
        <w:rPr>
          <w:rFonts w:ascii="Times New Roman" w:hAnsi="Times New Roman" w:cs="Times New Roman"/>
          <w:sz w:val="28"/>
          <w:szCs w:val="28"/>
        </w:rPr>
        <w:t xml:space="preserve">Supplemental Figure </w:t>
      </w:r>
      <w:r w:rsidR="00C8273C" w:rsidRPr="00434661">
        <w:rPr>
          <w:rFonts w:ascii="Times New Roman" w:hAnsi="Times New Roman" w:cs="Times New Roman"/>
          <w:sz w:val="28"/>
          <w:szCs w:val="28"/>
        </w:rPr>
        <w:t>9</w:t>
      </w:r>
      <w:r w:rsidRPr="00434661">
        <w:rPr>
          <w:rFonts w:ascii="Times New Roman" w:hAnsi="Times New Roman" w:cs="Times New Roman"/>
          <w:sz w:val="28"/>
          <w:szCs w:val="28"/>
        </w:rPr>
        <w:t>: The Correlation between the metabolism-score and somatic variants in DKFZ cohort. (A) The summary information of Somatic Variants. (B) TMB difference in the high and low metabolism-score subgroups. Wilcoxon test, p&lt;0.001. (C) Scatterplots depicting the negative correlation between metabolism-scores and mutation load. The Spearman correlation between metabolism-scores and mutation load is shown (p&lt;0.001). (D) Kaplan-Meier curves for high and low TMB groups. Log-rank test, p=0.021. (</w:t>
      </w:r>
      <w:r w:rsidR="004C10C3" w:rsidRPr="00434661">
        <w:rPr>
          <w:rFonts w:ascii="Times New Roman" w:hAnsi="Times New Roman" w:cs="Times New Roman"/>
          <w:sz w:val="28"/>
          <w:szCs w:val="28"/>
        </w:rPr>
        <w:t>E</w:t>
      </w:r>
      <w:r w:rsidRPr="00434661">
        <w:rPr>
          <w:rFonts w:ascii="Times New Roman" w:hAnsi="Times New Roman" w:cs="Times New Roman"/>
          <w:sz w:val="28"/>
          <w:szCs w:val="28"/>
        </w:rPr>
        <w:t>) Kaplan-Meier curves for patients stratified by both TMB and metabolism-scores. Log-rank test, p=0.020. (</w:t>
      </w:r>
      <w:r w:rsidR="004C10C3" w:rsidRPr="00434661">
        <w:rPr>
          <w:rFonts w:ascii="Times New Roman" w:hAnsi="Times New Roman" w:cs="Times New Roman"/>
          <w:sz w:val="28"/>
          <w:szCs w:val="28"/>
        </w:rPr>
        <w:t>F</w:t>
      </w:r>
      <w:r w:rsidRPr="00434661">
        <w:rPr>
          <w:rFonts w:ascii="Times New Roman" w:hAnsi="Times New Roman" w:cs="Times New Roman"/>
          <w:sz w:val="28"/>
          <w:szCs w:val="28"/>
        </w:rPr>
        <w:t xml:space="preserve">) The </w:t>
      </w:r>
      <w:proofErr w:type="spellStart"/>
      <w:r w:rsidRPr="00434661">
        <w:rPr>
          <w:rFonts w:ascii="Times New Roman" w:hAnsi="Times New Roman" w:cs="Times New Roman"/>
          <w:sz w:val="28"/>
          <w:szCs w:val="28"/>
        </w:rPr>
        <w:t>oncoPrint</w:t>
      </w:r>
      <w:proofErr w:type="spellEnd"/>
      <w:r w:rsidRPr="00434661">
        <w:rPr>
          <w:rFonts w:ascii="Times New Roman" w:hAnsi="Times New Roman" w:cs="Times New Roman"/>
          <w:sz w:val="28"/>
          <w:szCs w:val="28"/>
        </w:rPr>
        <w:t xml:space="preserve"> was constructed using high metabolism-scores on the left and low metabolism-scores on the right. Individual patients are represented in each column.</w:t>
      </w:r>
    </w:p>
    <w:p w14:paraId="003186F2" w14:textId="77777777" w:rsidR="001E40F4" w:rsidRPr="00434661" w:rsidRDefault="001E40F4" w:rsidP="001E40F4">
      <w:pPr>
        <w:autoSpaceDE w:val="0"/>
        <w:autoSpaceDN w:val="0"/>
        <w:adjustRightInd w:val="0"/>
        <w:rPr>
          <w:rFonts w:ascii="Times New Roman" w:hAnsi="Times New Roman" w:cs="Times New Roman"/>
          <w:sz w:val="28"/>
          <w:szCs w:val="28"/>
        </w:rPr>
      </w:pPr>
    </w:p>
    <w:p w14:paraId="0712AE63" w14:textId="11F8E00D" w:rsidR="001E40F4" w:rsidRPr="00434661" w:rsidRDefault="001E40F4" w:rsidP="001E40F4">
      <w:pPr>
        <w:autoSpaceDE w:val="0"/>
        <w:autoSpaceDN w:val="0"/>
        <w:adjustRightInd w:val="0"/>
        <w:rPr>
          <w:rFonts w:ascii="Times New Roman" w:hAnsi="Times New Roman" w:cs="Times New Roman"/>
          <w:sz w:val="28"/>
          <w:szCs w:val="28"/>
        </w:rPr>
      </w:pPr>
      <w:r w:rsidRPr="00434661">
        <w:rPr>
          <w:rFonts w:ascii="Times New Roman" w:hAnsi="Times New Roman" w:cs="Times New Roman"/>
          <w:sz w:val="28"/>
          <w:szCs w:val="28"/>
        </w:rPr>
        <w:t xml:space="preserve">Supplemental Figure </w:t>
      </w:r>
      <w:r w:rsidR="00C8273C" w:rsidRPr="00434661">
        <w:rPr>
          <w:rFonts w:ascii="Times New Roman" w:hAnsi="Times New Roman" w:cs="Times New Roman"/>
          <w:sz w:val="28"/>
          <w:szCs w:val="28"/>
        </w:rPr>
        <w:t>10</w:t>
      </w:r>
      <w:r w:rsidRPr="00434661">
        <w:rPr>
          <w:rFonts w:ascii="Times New Roman" w:hAnsi="Times New Roman" w:cs="Times New Roman"/>
          <w:sz w:val="28"/>
          <w:szCs w:val="28"/>
        </w:rPr>
        <w:t xml:space="preserve">: (A-C) </w:t>
      </w:r>
      <w:proofErr w:type="gramStart"/>
      <w:r w:rsidRPr="00434661">
        <w:rPr>
          <w:rFonts w:ascii="Times New Roman" w:hAnsi="Times New Roman" w:cs="Times New Roman"/>
          <w:sz w:val="28"/>
          <w:szCs w:val="28"/>
        </w:rPr>
        <w:t>The</w:t>
      </w:r>
      <w:proofErr w:type="gramEnd"/>
      <w:r w:rsidRPr="00434661">
        <w:rPr>
          <w:rFonts w:ascii="Times New Roman" w:hAnsi="Times New Roman" w:cs="Times New Roman"/>
          <w:sz w:val="28"/>
          <w:szCs w:val="28"/>
        </w:rPr>
        <w:t xml:space="preserve"> Correlation between the metabolism-score and CNV in TCGA cohort. (D-E) The correlation between the metabolism-score and MSI in the TCGA cohort.</w:t>
      </w:r>
    </w:p>
    <w:p w14:paraId="72B8AF7B" w14:textId="77777777" w:rsidR="001E40F4" w:rsidRPr="00434661" w:rsidRDefault="001E40F4" w:rsidP="001E40F4">
      <w:pPr>
        <w:autoSpaceDE w:val="0"/>
        <w:autoSpaceDN w:val="0"/>
        <w:adjustRightInd w:val="0"/>
        <w:jc w:val="left"/>
        <w:rPr>
          <w:rFonts w:ascii="Times New Roman" w:hAnsi="Times New Roman" w:cs="Times New Roman"/>
          <w:sz w:val="28"/>
          <w:szCs w:val="28"/>
        </w:rPr>
      </w:pPr>
    </w:p>
    <w:p w14:paraId="3230EDA6" w14:textId="77777777" w:rsidR="001E40F4" w:rsidRPr="00434661" w:rsidRDefault="001E40F4" w:rsidP="001E40F4">
      <w:pPr>
        <w:autoSpaceDE w:val="0"/>
        <w:autoSpaceDN w:val="0"/>
        <w:adjustRightInd w:val="0"/>
        <w:jc w:val="left"/>
        <w:rPr>
          <w:rFonts w:ascii="Times New Roman" w:hAnsi="Times New Roman" w:cs="Times New Roman"/>
          <w:sz w:val="28"/>
          <w:szCs w:val="28"/>
        </w:rPr>
      </w:pPr>
      <w:r w:rsidRPr="00434661">
        <w:rPr>
          <w:rFonts w:ascii="Times New Roman" w:hAnsi="Times New Roman" w:cs="Times New Roman"/>
          <w:sz w:val="28"/>
          <w:szCs w:val="28"/>
        </w:rPr>
        <w:t>Supplemental Table 1: Clinical information of PCa patients from six cohorts.</w:t>
      </w:r>
    </w:p>
    <w:p w14:paraId="1A19BA1F" w14:textId="77777777" w:rsidR="001E40F4" w:rsidRPr="00434661" w:rsidRDefault="001E40F4" w:rsidP="001E40F4">
      <w:pPr>
        <w:autoSpaceDE w:val="0"/>
        <w:autoSpaceDN w:val="0"/>
        <w:adjustRightInd w:val="0"/>
        <w:jc w:val="left"/>
        <w:rPr>
          <w:rFonts w:ascii="Times New Roman" w:hAnsi="Times New Roman" w:cs="Times New Roman"/>
          <w:sz w:val="28"/>
          <w:szCs w:val="28"/>
        </w:rPr>
      </w:pPr>
    </w:p>
    <w:p w14:paraId="6805EF4E" w14:textId="77777777" w:rsidR="001E40F4" w:rsidRPr="00434661" w:rsidRDefault="001E40F4" w:rsidP="001E40F4">
      <w:pPr>
        <w:autoSpaceDE w:val="0"/>
        <w:autoSpaceDN w:val="0"/>
        <w:adjustRightInd w:val="0"/>
        <w:jc w:val="left"/>
        <w:rPr>
          <w:rFonts w:ascii="Times New Roman" w:hAnsi="Times New Roman" w:cs="Times New Roman"/>
          <w:sz w:val="28"/>
          <w:szCs w:val="28"/>
        </w:rPr>
      </w:pPr>
      <w:r w:rsidRPr="00434661">
        <w:rPr>
          <w:rFonts w:ascii="Times New Roman" w:hAnsi="Times New Roman" w:cs="Times New Roman"/>
          <w:sz w:val="28"/>
          <w:szCs w:val="28"/>
        </w:rPr>
        <w:t>Supplemental Table 2: Gene sets analyzed in the article.</w:t>
      </w:r>
    </w:p>
    <w:p w14:paraId="46BA7E71" w14:textId="77777777" w:rsidR="001E40F4" w:rsidRPr="00434661" w:rsidRDefault="001E40F4" w:rsidP="001E40F4">
      <w:pPr>
        <w:autoSpaceDE w:val="0"/>
        <w:autoSpaceDN w:val="0"/>
        <w:adjustRightInd w:val="0"/>
        <w:jc w:val="left"/>
        <w:rPr>
          <w:rFonts w:ascii="Times New Roman" w:hAnsi="Times New Roman" w:cs="Times New Roman"/>
          <w:sz w:val="28"/>
          <w:szCs w:val="28"/>
        </w:rPr>
      </w:pPr>
    </w:p>
    <w:p w14:paraId="7B919F98" w14:textId="77777777" w:rsidR="001E40F4" w:rsidRPr="00434661" w:rsidRDefault="001E40F4" w:rsidP="001E40F4">
      <w:pPr>
        <w:autoSpaceDE w:val="0"/>
        <w:autoSpaceDN w:val="0"/>
        <w:adjustRightInd w:val="0"/>
        <w:jc w:val="left"/>
        <w:rPr>
          <w:rFonts w:ascii="Times New Roman" w:hAnsi="Times New Roman" w:cs="Times New Roman"/>
          <w:sz w:val="28"/>
          <w:szCs w:val="28"/>
        </w:rPr>
      </w:pPr>
      <w:r w:rsidRPr="00434661">
        <w:rPr>
          <w:rFonts w:ascii="Times New Roman" w:hAnsi="Times New Roman" w:cs="Times New Roman"/>
          <w:sz w:val="28"/>
          <w:szCs w:val="28"/>
        </w:rPr>
        <w:t xml:space="preserve">Supplemental Table 3: The univariate cox analysis and K-M survival analysis of ssGSEA score of 41 metabolic pathways in </w:t>
      </w:r>
      <w:proofErr w:type="gramStart"/>
      <w:r w:rsidRPr="00434661">
        <w:rPr>
          <w:rFonts w:ascii="Times New Roman" w:hAnsi="Times New Roman" w:cs="Times New Roman"/>
          <w:sz w:val="28"/>
          <w:szCs w:val="28"/>
        </w:rPr>
        <w:t>meta</w:t>
      </w:r>
      <w:proofErr w:type="gramEnd"/>
      <w:r w:rsidRPr="00434661">
        <w:rPr>
          <w:rFonts w:ascii="Times New Roman" w:hAnsi="Times New Roman" w:cs="Times New Roman"/>
          <w:sz w:val="28"/>
          <w:szCs w:val="28"/>
        </w:rPr>
        <w:t xml:space="preserve"> cohort.</w:t>
      </w:r>
    </w:p>
    <w:p w14:paraId="1CA495AA" w14:textId="77777777" w:rsidR="001E40F4" w:rsidRPr="00434661" w:rsidRDefault="001E40F4" w:rsidP="001E40F4">
      <w:pPr>
        <w:autoSpaceDE w:val="0"/>
        <w:autoSpaceDN w:val="0"/>
        <w:adjustRightInd w:val="0"/>
        <w:jc w:val="left"/>
        <w:rPr>
          <w:rFonts w:ascii="Times New Roman" w:hAnsi="Times New Roman" w:cs="Times New Roman"/>
          <w:sz w:val="28"/>
          <w:szCs w:val="28"/>
        </w:rPr>
      </w:pPr>
    </w:p>
    <w:p w14:paraId="710E4F94" w14:textId="77777777" w:rsidR="001E40F4" w:rsidRPr="00434661" w:rsidRDefault="001E40F4" w:rsidP="001E40F4">
      <w:pPr>
        <w:autoSpaceDE w:val="0"/>
        <w:autoSpaceDN w:val="0"/>
        <w:adjustRightInd w:val="0"/>
        <w:jc w:val="left"/>
        <w:rPr>
          <w:rFonts w:ascii="Times New Roman" w:hAnsi="Times New Roman" w:cs="Times New Roman"/>
          <w:sz w:val="28"/>
          <w:szCs w:val="28"/>
        </w:rPr>
      </w:pPr>
      <w:r w:rsidRPr="00434661">
        <w:rPr>
          <w:rFonts w:ascii="Times New Roman" w:hAnsi="Times New Roman" w:cs="Times New Roman"/>
          <w:sz w:val="28"/>
          <w:szCs w:val="28"/>
        </w:rPr>
        <w:t>Supplemental Table 4: DEGs between metabolism clusters</w:t>
      </w:r>
    </w:p>
    <w:p w14:paraId="4D0FE324" w14:textId="77777777" w:rsidR="001E40F4" w:rsidRPr="00434661" w:rsidRDefault="001E40F4" w:rsidP="001E40F4">
      <w:pPr>
        <w:autoSpaceDE w:val="0"/>
        <w:autoSpaceDN w:val="0"/>
        <w:adjustRightInd w:val="0"/>
        <w:jc w:val="left"/>
        <w:rPr>
          <w:rFonts w:ascii="Times New Roman" w:hAnsi="Times New Roman" w:cs="Times New Roman"/>
          <w:sz w:val="28"/>
          <w:szCs w:val="28"/>
        </w:rPr>
      </w:pPr>
    </w:p>
    <w:p w14:paraId="7589B803" w14:textId="77777777" w:rsidR="001E40F4" w:rsidRPr="00434661" w:rsidRDefault="001E40F4" w:rsidP="001E40F4">
      <w:pPr>
        <w:autoSpaceDE w:val="0"/>
        <w:autoSpaceDN w:val="0"/>
        <w:adjustRightInd w:val="0"/>
        <w:jc w:val="left"/>
        <w:rPr>
          <w:rFonts w:ascii="Times New Roman" w:hAnsi="Times New Roman" w:cs="Times New Roman"/>
          <w:sz w:val="28"/>
          <w:szCs w:val="28"/>
        </w:rPr>
      </w:pPr>
      <w:r w:rsidRPr="00434661">
        <w:rPr>
          <w:rFonts w:ascii="Times New Roman" w:hAnsi="Times New Roman" w:cs="Times New Roman"/>
          <w:sz w:val="28"/>
          <w:szCs w:val="28"/>
        </w:rPr>
        <w:t>Supplemental Table 5: Univariate cox analysis of prognostic DEGs.</w:t>
      </w:r>
    </w:p>
    <w:p w14:paraId="3F65466C" w14:textId="77777777" w:rsidR="001E40F4" w:rsidRPr="00434661" w:rsidRDefault="001E40F4" w:rsidP="001E40F4">
      <w:pPr>
        <w:autoSpaceDE w:val="0"/>
        <w:autoSpaceDN w:val="0"/>
        <w:adjustRightInd w:val="0"/>
        <w:jc w:val="left"/>
        <w:rPr>
          <w:rFonts w:ascii="Times New Roman" w:hAnsi="Times New Roman" w:cs="Times New Roman"/>
          <w:sz w:val="28"/>
          <w:szCs w:val="28"/>
        </w:rPr>
      </w:pPr>
    </w:p>
    <w:p w14:paraId="2B4B767A" w14:textId="77777777" w:rsidR="001E40F4" w:rsidRPr="00434661" w:rsidRDefault="001E40F4" w:rsidP="001E40F4">
      <w:pPr>
        <w:autoSpaceDE w:val="0"/>
        <w:autoSpaceDN w:val="0"/>
        <w:adjustRightInd w:val="0"/>
        <w:jc w:val="left"/>
        <w:rPr>
          <w:rFonts w:ascii="Times New Roman" w:hAnsi="Times New Roman" w:cs="Times New Roman"/>
          <w:sz w:val="28"/>
          <w:szCs w:val="28"/>
        </w:rPr>
      </w:pPr>
    </w:p>
    <w:p w14:paraId="090CE69D" w14:textId="77777777" w:rsidR="001E40F4" w:rsidRPr="00434661" w:rsidRDefault="001E40F4" w:rsidP="001E40F4">
      <w:pPr>
        <w:autoSpaceDE w:val="0"/>
        <w:autoSpaceDN w:val="0"/>
        <w:adjustRightInd w:val="0"/>
        <w:jc w:val="left"/>
        <w:rPr>
          <w:rFonts w:ascii="Times New Roman" w:hAnsi="Times New Roman" w:cs="Times New Roman"/>
          <w:sz w:val="28"/>
          <w:szCs w:val="28"/>
        </w:rPr>
      </w:pPr>
      <w:r w:rsidRPr="00434661">
        <w:rPr>
          <w:rFonts w:ascii="Times New Roman" w:hAnsi="Times New Roman" w:cs="Times New Roman"/>
          <w:sz w:val="28"/>
          <w:szCs w:val="28"/>
        </w:rPr>
        <w:t xml:space="preserve">Supplemental Table 6: GO and KEGG analysis of DEGs gene cluster related genes </w:t>
      </w:r>
    </w:p>
    <w:p w14:paraId="4EF7C2AA" w14:textId="77777777" w:rsidR="001E40F4" w:rsidRPr="00434661" w:rsidRDefault="001E40F4" w:rsidP="001E40F4">
      <w:pPr>
        <w:autoSpaceDE w:val="0"/>
        <w:autoSpaceDN w:val="0"/>
        <w:adjustRightInd w:val="0"/>
        <w:jc w:val="left"/>
        <w:rPr>
          <w:rFonts w:ascii="Times New Roman" w:hAnsi="Times New Roman" w:cs="Times New Roman"/>
          <w:sz w:val="28"/>
          <w:szCs w:val="28"/>
        </w:rPr>
      </w:pPr>
    </w:p>
    <w:p w14:paraId="11F3E55A" w14:textId="77777777" w:rsidR="001E40F4" w:rsidRPr="00434661" w:rsidRDefault="001E40F4" w:rsidP="001E40F4">
      <w:pPr>
        <w:autoSpaceDE w:val="0"/>
        <w:autoSpaceDN w:val="0"/>
        <w:adjustRightInd w:val="0"/>
        <w:rPr>
          <w:rFonts w:ascii="Times New Roman" w:hAnsi="Times New Roman" w:cs="Times New Roman"/>
          <w:sz w:val="28"/>
          <w:szCs w:val="28"/>
        </w:rPr>
      </w:pPr>
      <w:r w:rsidRPr="00434661">
        <w:rPr>
          <w:rFonts w:ascii="Times New Roman" w:hAnsi="Times New Roman" w:cs="Times New Roman"/>
          <w:sz w:val="28"/>
          <w:szCs w:val="28"/>
        </w:rPr>
        <w:t>Supplemental Table 7: PCA analysis and PCA coefficient to calculated metabolic score.</w:t>
      </w:r>
    </w:p>
    <w:p w14:paraId="54B26F42" w14:textId="77777777" w:rsidR="001E40F4" w:rsidRPr="002F7EDF" w:rsidRDefault="001E40F4" w:rsidP="001E40F4">
      <w:pPr>
        <w:autoSpaceDE w:val="0"/>
        <w:autoSpaceDN w:val="0"/>
        <w:adjustRightInd w:val="0"/>
        <w:jc w:val="left"/>
        <w:rPr>
          <w:rFonts w:ascii="Times New Roman" w:hAnsi="Times New Roman" w:cs="Times New Roman"/>
          <w:sz w:val="28"/>
          <w:szCs w:val="28"/>
        </w:rPr>
      </w:pPr>
    </w:p>
    <w:p w14:paraId="5C630E57" w14:textId="77777777" w:rsidR="001E40F4" w:rsidRDefault="001E40F4" w:rsidP="001E40F4">
      <w:pPr>
        <w:autoSpaceDE w:val="0"/>
        <w:autoSpaceDN w:val="0"/>
        <w:adjustRightInd w:val="0"/>
        <w:jc w:val="left"/>
        <w:rPr>
          <w:rFonts w:ascii="Times New Roman" w:hAnsi="Times New Roman" w:cs="Times New Roman"/>
          <w:sz w:val="28"/>
          <w:szCs w:val="28"/>
        </w:rPr>
      </w:pPr>
      <w:r w:rsidRPr="002F7EDF">
        <w:rPr>
          <w:rFonts w:ascii="Times New Roman" w:hAnsi="Times New Roman" w:cs="Times New Roman"/>
          <w:sz w:val="28"/>
          <w:szCs w:val="28"/>
        </w:rPr>
        <w:t>Supplemental Table 8: GSEA analysis between high and low metabolism-score group.</w:t>
      </w:r>
    </w:p>
    <w:p w14:paraId="5F2A17DD" w14:textId="77777777" w:rsidR="001E40F4" w:rsidRPr="007D0622" w:rsidRDefault="001E40F4" w:rsidP="001E40F4">
      <w:pPr>
        <w:autoSpaceDE w:val="0"/>
        <w:autoSpaceDN w:val="0"/>
        <w:adjustRightInd w:val="0"/>
        <w:jc w:val="left"/>
        <w:rPr>
          <w:rFonts w:ascii="Times New Roman" w:hAnsi="Times New Roman" w:cs="Times New Roman"/>
          <w:sz w:val="28"/>
          <w:szCs w:val="28"/>
        </w:rPr>
      </w:pPr>
    </w:p>
    <w:p w14:paraId="6CE26794" w14:textId="17FDE13D" w:rsidR="001E40F4" w:rsidRPr="00147A20" w:rsidRDefault="001E40F4" w:rsidP="001E40F4">
      <w:pPr>
        <w:autoSpaceDE w:val="0"/>
        <w:autoSpaceDN w:val="0"/>
        <w:adjustRightInd w:val="0"/>
        <w:jc w:val="left"/>
        <w:rPr>
          <w:rFonts w:ascii="Times New Roman" w:hAnsi="Times New Roman" w:cs="Times New Roman"/>
          <w:sz w:val="28"/>
          <w:szCs w:val="28"/>
        </w:rPr>
      </w:pPr>
      <w:r w:rsidRPr="002F7EDF">
        <w:rPr>
          <w:rFonts w:ascii="Times New Roman" w:hAnsi="Times New Roman" w:cs="Times New Roman"/>
          <w:sz w:val="28"/>
          <w:szCs w:val="28"/>
        </w:rPr>
        <w:t xml:space="preserve">Supplemental Table </w:t>
      </w:r>
      <w:r>
        <w:rPr>
          <w:rFonts w:ascii="Times New Roman" w:hAnsi="Times New Roman" w:cs="Times New Roman"/>
          <w:sz w:val="28"/>
          <w:szCs w:val="28"/>
        </w:rPr>
        <w:t xml:space="preserve">9: Univariate and </w:t>
      </w:r>
      <w:r w:rsidR="00501B10">
        <w:rPr>
          <w:rFonts w:ascii="Times New Roman" w:hAnsi="Times New Roman" w:cs="Times New Roman"/>
          <w:sz w:val="28"/>
          <w:szCs w:val="28"/>
        </w:rPr>
        <w:t>multivariate</w:t>
      </w:r>
      <w:r>
        <w:rPr>
          <w:rFonts w:ascii="Times New Roman" w:hAnsi="Times New Roman" w:cs="Times New Roman"/>
          <w:sz w:val="28"/>
          <w:szCs w:val="28"/>
        </w:rPr>
        <w:t xml:space="preserve"> cox analysis of clinical variate and metabolic score.</w:t>
      </w:r>
    </w:p>
    <w:p w14:paraId="2AECD098" w14:textId="5B50D87F" w:rsidR="008A234A" w:rsidRPr="001E40F4" w:rsidRDefault="008A234A" w:rsidP="0096294D">
      <w:pPr>
        <w:autoSpaceDE w:val="0"/>
        <w:autoSpaceDN w:val="0"/>
        <w:adjustRightInd w:val="0"/>
        <w:spacing w:beforeLines="100" w:before="312" w:afterLines="100" w:after="312" w:line="360" w:lineRule="auto"/>
        <w:jc w:val="left"/>
        <w:rPr>
          <w:rFonts w:ascii="Times New Roman" w:hAnsi="Times New Roman" w:cs="Times New Roman"/>
          <w:kern w:val="0"/>
          <w:sz w:val="24"/>
          <w:szCs w:val="24"/>
        </w:rPr>
      </w:pPr>
    </w:p>
    <w:sectPr w:rsidR="008A234A" w:rsidRPr="001E40F4" w:rsidSect="00EF4E65">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CC9D6" w14:textId="77777777" w:rsidR="0079778F" w:rsidRDefault="0079778F">
      <w:r>
        <w:separator/>
      </w:r>
    </w:p>
  </w:endnote>
  <w:endnote w:type="continuationSeparator" w:id="0">
    <w:p w14:paraId="085652E3" w14:textId="77777777" w:rsidR="0079778F" w:rsidRDefault="00797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Arial Unicode MS"/>
    <w:charset w:val="86"/>
    <w:family w:val="auto"/>
    <w:pitch w:val="default"/>
    <w:sig w:usb0="00000000" w:usb1="38CF7CFA" w:usb2="00000016" w:usb3="00000000" w:csb0="0004000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7592384"/>
      <w:docPartObj>
        <w:docPartGallery w:val="Page Numbers (Bottom of Page)"/>
        <w:docPartUnique/>
      </w:docPartObj>
    </w:sdtPr>
    <w:sdtEndPr/>
    <w:sdtContent>
      <w:p w14:paraId="157D1D65" w14:textId="77777777" w:rsidR="00583EB4" w:rsidRPr="00C94A6B" w:rsidRDefault="00583EB4">
        <w:pPr>
          <w:pStyle w:val="Footer"/>
          <w:jc w:val="center"/>
        </w:pPr>
        <w:r w:rsidRPr="00C94A6B">
          <w:fldChar w:fldCharType="begin"/>
        </w:r>
        <w:r w:rsidRPr="00C94A6B">
          <w:instrText>PAGE   \* MERGEFORMAT</w:instrText>
        </w:r>
        <w:r w:rsidRPr="00C94A6B">
          <w:fldChar w:fldCharType="separate"/>
        </w:r>
        <w:r w:rsidR="00EF4E65">
          <w:rPr>
            <w:noProof/>
          </w:rPr>
          <w:t>1</w:t>
        </w:r>
        <w:r w:rsidRPr="00C94A6B">
          <w:fldChar w:fldCharType="end"/>
        </w:r>
      </w:p>
    </w:sdtContent>
  </w:sdt>
  <w:p w14:paraId="7BDD7365" w14:textId="77777777" w:rsidR="00583EB4" w:rsidRPr="00C94A6B" w:rsidRDefault="00583E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84015" w14:textId="77777777" w:rsidR="0079778F" w:rsidRDefault="0079778F">
      <w:r>
        <w:separator/>
      </w:r>
    </w:p>
  </w:footnote>
  <w:footnote w:type="continuationSeparator" w:id="0">
    <w:p w14:paraId="1CD6EEA5" w14:textId="77777777" w:rsidR="0079778F" w:rsidRDefault="007977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30D9E"/>
    <w:multiLevelType w:val="multilevel"/>
    <w:tmpl w:val="1726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AD1907"/>
    <w:multiLevelType w:val="multilevel"/>
    <w:tmpl w:val="D29E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0D499D"/>
    <w:multiLevelType w:val="hybridMultilevel"/>
    <w:tmpl w:val="ED36C34C"/>
    <w:lvl w:ilvl="0" w:tplc="5A62E400">
      <w:start w:val="1"/>
      <w:numFmt w:val="decimal"/>
      <w:lvlText w:val="%1."/>
      <w:lvlJc w:val="left"/>
      <w:pPr>
        <w:ind w:left="360" w:hanging="360"/>
      </w:pPr>
      <w:rPr>
        <w:rFonts w:hint="default"/>
      </w:rPr>
    </w:lvl>
    <w:lvl w:ilvl="1" w:tplc="7BF83DB0" w:tentative="1">
      <w:start w:val="1"/>
      <w:numFmt w:val="lowerLetter"/>
      <w:lvlText w:val="%2)"/>
      <w:lvlJc w:val="left"/>
      <w:pPr>
        <w:ind w:left="840" w:hanging="420"/>
      </w:pPr>
    </w:lvl>
    <w:lvl w:ilvl="2" w:tplc="06CE842A" w:tentative="1">
      <w:start w:val="1"/>
      <w:numFmt w:val="lowerRoman"/>
      <w:lvlText w:val="%3."/>
      <w:lvlJc w:val="right"/>
      <w:pPr>
        <w:ind w:left="1260" w:hanging="420"/>
      </w:pPr>
    </w:lvl>
    <w:lvl w:ilvl="3" w:tplc="C42EC240" w:tentative="1">
      <w:start w:val="1"/>
      <w:numFmt w:val="decimal"/>
      <w:lvlText w:val="%4."/>
      <w:lvlJc w:val="left"/>
      <w:pPr>
        <w:ind w:left="1680" w:hanging="420"/>
      </w:pPr>
    </w:lvl>
    <w:lvl w:ilvl="4" w:tplc="99C239CE" w:tentative="1">
      <w:start w:val="1"/>
      <w:numFmt w:val="lowerLetter"/>
      <w:lvlText w:val="%5)"/>
      <w:lvlJc w:val="left"/>
      <w:pPr>
        <w:ind w:left="2100" w:hanging="420"/>
      </w:pPr>
    </w:lvl>
    <w:lvl w:ilvl="5" w:tplc="1F70804A" w:tentative="1">
      <w:start w:val="1"/>
      <w:numFmt w:val="lowerRoman"/>
      <w:lvlText w:val="%6."/>
      <w:lvlJc w:val="right"/>
      <w:pPr>
        <w:ind w:left="2520" w:hanging="420"/>
      </w:pPr>
    </w:lvl>
    <w:lvl w:ilvl="6" w:tplc="1CB263B2" w:tentative="1">
      <w:start w:val="1"/>
      <w:numFmt w:val="decimal"/>
      <w:lvlText w:val="%7."/>
      <w:lvlJc w:val="left"/>
      <w:pPr>
        <w:ind w:left="2940" w:hanging="420"/>
      </w:pPr>
    </w:lvl>
    <w:lvl w:ilvl="7" w:tplc="396EC07C" w:tentative="1">
      <w:start w:val="1"/>
      <w:numFmt w:val="lowerLetter"/>
      <w:lvlText w:val="%8)"/>
      <w:lvlJc w:val="left"/>
      <w:pPr>
        <w:ind w:left="3360" w:hanging="420"/>
      </w:pPr>
    </w:lvl>
    <w:lvl w:ilvl="8" w:tplc="F796C632"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bordersDoNotSurroundHeader/>
  <w:bordersDoNotSurroundFooter/>
  <w:hideSpellingErrors/>
  <w:hideGrammaticalErrors/>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zh-CN" w:vendorID="64" w:dllVersion="0"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QyNDQxsDA1NTQ0NjFQ0lEKTi0uzszPAykwNagFAOaWsKQtAAAA"/>
  </w:docVars>
  <w:rsids>
    <w:rsidRoot w:val="000A7582"/>
    <w:rsid w:val="00000B73"/>
    <w:rsid w:val="0000185C"/>
    <w:rsid w:val="00006C8F"/>
    <w:rsid w:val="00010C5D"/>
    <w:rsid w:val="00016FEC"/>
    <w:rsid w:val="00030EE7"/>
    <w:rsid w:val="000471BC"/>
    <w:rsid w:val="00067856"/>
    <w:rsid w:val="00087A9B"/>
    <w:rsid w:val="0009150E"/>
    <w:rsid w:val="00094EE4"/>
    <w:rsid w:val="00096581"/>
    <w:rsid w:val="000A109F"/>
    <w:rsid w:val="000A7582"/>
    <w:rsid w:val="000B30C3"/>
    <w:rsid w:val="000C1591"/>
    <w:rsid w:val="000D06BD"/>
    <w:rsid w:val="000E2250"/>
    <w:rsid w:val="000F000D"/>
    <w:rsid w:val="000F35FB"/>
    <w:rsid w:val="000F55BC"/>
    <w:rsid w:val="00103540"/>
    <w:rsid w:val="0010563B"/>
    <w:rsid w:val="0011183D"/>
    <w:rsid w:val="00116DB0"/>
    <w:rsid w:val="00120657"/>
    <w:rsid w:val="001333FC"/>
    <w:rsid w:val="00133C71"/>
    <w:rsid w:val="00145470"/>
    <w:rsid w:val="001521A8"/>
    <w:rsid w:val="00163ACA"/>
    <w:rsid w:val="00172F6A"/>
    <w:rsid w:val="0019177D"/>
    <w:rsid w:val="00195991"/>
    <w:rsid w:val="001A45AB"/>
    <w:rsid w:val="001B0934"/>
    <w:rsid w:val="001B46A8"/>
    <w:rsid w:val="001C03E0"/>
    <w:rsid w:val="001C374F"/>
    <w:rsid w:val="001D19F4"/>
    <w:rsid w:val="001D2728"/>
    <w:rsid w:val="001E233D"/>
    <w:rsid w:val="001E40F4"/>
    <w:rsid w:val="001E59B1"/>
    <w:rsid w:val="001F1E62"/>
    <w:rsid w:val="00211704"/>
    <w:rsid w:val="002173E3"/>
    <w:rsid w:val="00220E67"/>
    <w:rsid w:val="00227D1E"/>
    <w:rsid w:val="0023334E"/>
    <w:rsid w:val="002404B4"/>
    <w:rsid w:val="002460AF"/>
    <w:rsid w:val="002516B6"/>
    <w:rsid w:val="00262359"/>
    <w:rsid w:val="00271832"/>
    <w:rsid w:val="002730B8"/>
    <w:rsid w:val="00274A12"/>
    <w:rsid w:val="002775F0"/>
    <w:rsid w:val="002871D0"/>
    <w:rsid w:val="00287CB0"/>
    <w:rsid w:val="0029320F"/>
    <w:rsid w:val="002973F6"/>
    <w:rsid w:val="002B0031"/>
    <w:rsid w:val="002B291B"/>
    <w:rsid w:val="002C4E4B"/>
    <w:rsid w:val="002C7D88"/>
    <w:rsid w:val="002D576B"/>
    <w:rsid w:val="002D6022"/>
    <w:rsid w:val="002E08C7"/>
    <w:rsid w:val="002E7ED4"/>
    <w:rsid w:val="002F285C"/>
    <w:rsid w:val="002F4400"/>
    <w:rsid w:val="002F5245"/>
    <w:rsid w:val="00311883"/>
    <w:rsid w:val="0031233B"/>
    <w:rsid w:val="00331E49"/>
    <w:rsid w:val="00335D48"/>
    <w:rsid w:val="003371FD"/>
    <w:rsid w:val="00346E88"/>
    <w:rsid w:val="00351765"/>
    <w:rsid w:val="00355821"/>
    <w:rsid w:val="00365415"/>
    <w:rsid w:val="00374D84"/>
    <w:rsid w:val="00380C2F"/>
    <w:rsid w:val="003831B8"/>
    <w:rsid w:val="0038412E"/>
    <w:rsid w:val="003846A4"/>
    <w:rsid w:val="003916FD"/>
    <w:rsid w:val="003959FA"/>
    <w:rsid w:val="003B3588"/>
    <w:rsid w:val="003D299E"/>
    <w:rsid w:val="003D7C89"/>
    <w:rsid w:val="003D7ED0"/>
    <w:rsid w:val="003E62EB"/>
    <w:rsid w:val="003E790E"/>
    <w:rsid w:val="003F0A6E"/>
    <w:rsid w:val="003F175D"/>
    <w:rsid w:val="003F2869"/>
    <w:rsid w:val="003F39FA"/>
    <w:rsid w:val="003F6EEA"/>
    <w:rsid w:val="004144A8"/>
    <w:rsid w:val="0042036E"/>
    <w:rsid w:val="00422D75"/>
    <w:rsid w:val="00422E93"/>
    <w:rsid w:val="004345BB"/>
    <w:rsid w:val="00434661"/>
    <w:rsid w:val="00437CAA"/>
    <w:rsid w:val="0044791D"/>
    <w:rsid w:val="00451AC9"/>
    <w:rsid w:val="00451BB3"/>
    <w:rsid w:val="00452D5B"/>
    <w:rsid w:val="00454756"/>
    <w:rsid w:val="00460635"/>
    <w:rsid w:val="00470725"/>
    <w:rsid w:val="00475641"/>
    <w:rsid w:val="004760E9"/>
    <w:rsid w:val="00477A34"/>
    <w:rsid w:val="00494D15"/>
    <w:rsid w:val="004C10C3"/>
    <w:rsid w:val="004E0DCC"/>
    <w:rsid w:val="004E5431"/>
    <w:rsid w:val="004F0897"/>
    <w:rsid w:val="004F0981"/>
    <w:rsid w:val="004F1475"/>
    <w:rsid w:val="004F2726"/>
    <w:rsid w:val="004F573E"/>
    <w:rsid w:val="00501B10"/>
    <w:rsid w:val="005072FC"/>
    <w:rsid w:val="00510005"/>
    <w:rsid w:val="005159DC"/>
    <w:rsid w:val="00521FC4"/>
    <w:rsid w:val="00522681"/>
    <w:rsid w:val="00526571"/>
    <w:rsid w:val="00532B55"/>
    <w:rsid w:val="00544FD9"/>
    <w:rsid w:val="00557430"/>
    <w:rsid w:val="00572048"/>
    <w:rsid w:val="00574DA2"/>
    <w:rsid w:val="00581249"/>
    <w:rsid w:val="00583EB4"/>
    <w:rsid w:val="005958B6"/>
    <w:rsid w:val="005B1FBF"/>
    <w:rsid w:val="005D010D"/>
    <w:rsid w:val="005D4820"/>
    <w:rsid w:val="005D58E1"/>
    <w:rsid w:val="005D6502"/>
    <w:rsid w:val="005D732D"/>
    <w:rsid w:val="005D7B5A"/>
    <w:rsid w:val="005F06AE"/>
    <w:rsid w:val="005F2DF6"/>
    <w:rsid w:val="0060222A"/>
    <w:rsid w:val="006034C1"/>
    <w:rsid w:val="00604C36"/>
    <w:rsid w:val="00605F68"/>
    <w:rsid w:val="00607C44"/>
    <w:rsid w:val="00610F75"/>
    <w:rsid w:val="00612979"/>
    <w:rsid w:val="0061327E"/>
    <w:rsid w:val="006151EB"/>
    <w:rsid w:val="00616DD9"/>
    <w:rsid w:val="00620FAA"/>
    <w:rsid w:val="006260E1"/>
    <w:rsid w:val="00626C05"/>
    <w:rsid w:val="00632F74"/>
    <w:rsid w:val="00634373"/>
    <w:rsid w:val="00635B26"/>
    <w:rsid w:val="0065446C"/>
    <w:rsid w:val="00657F92"/>
    <w:rsid w:val="0066549A"/>
    <w:rsid w:val="006712A3"/>
    <w:rsid w:val="00674289"/>
    <w:rsid w:val="00680858"/>
    <w:rsid w:val="00693F7B"/>
    <w:rsid w:val="00695337"/>
    <w:rsid w:val="006B0074"/>
    <w:rsid w:val="006B29FA"/>
    <w:rsid w:val="006B4A71"/>
    <w:rsid w:val="006C1001"/>
    <w:rsid w:val="006C1456"/>
    <w:rsid w:val="006D0B38"/>
    <w:rsid w:val="006F3FC5"/>
    <w:rsid w:val="00711FF5"/>
    <w:rsid w:val="00715CB8"/>
    <w:rsid w:val="00722439"/>
    <w:rsid w:val="0072506B"/>
    <w:rsid w:val="00725F44"/>
    <w:rsid w:val="00744C65"/>
    <w:rsid w:val="00756A2B"/>
    <w:rsid w:val="00763FF2"/>
    <w:rsid w:val="00770E61"/>
    <w:rsid w:val="007748A9"/>
    <w:rsid w:val="00786697"/>
    <w:rsid w:val="00794496"/>
    <w:rsid w:val="00796394"/>
    <w:rsid w:val="0079778F"/>
    <w:rsid w:val="007A1A6F"/>
    <w:rsid w:val="007B5D52"/>
    <w:rsid w:val="007C20A1"/>
    <w:rsid w:val="007D7BAD"/>
    <w:rsid w:val="007E1379"/>
    <w:rsid w:val="007E14A0"/>
    <w:rsid w:val="007F25BA"/>
    <w:rsid w:val="007F7881"/>
    <w:rsid w:val="00805FA6"/>
    <w:rsid w:val="00811415"/>
    <w:rsid w:val="00813492"/>
    <w:rsid w:val="0082673C"/>
    <w:rsid w:val="00837476"/>
    <w:rsid w:val="00837F02"/>
    <w:rsid w:val="008411E4"/>
    <w:rsid w:val="00864160"/>
    <w:rsid w:val="00890917"/>
    <w:rsid w:val="0089730E"/>
    <w:rsid w:val="008A234A"/>
    <w:rsid w:val="008A67B6"/>
    <w:rsid w:val="008B47CA"/>
    <w:rsid w:val="008B647C"/>
    <w:rsid w:val="008C324E"/>
    <w:rsid w:val="008C668E"/>
    <w:rsid w:val="008C6BEC"/>
    <w:rsid w:val="008D18C1"/>
    <w:rsid w:val="008E50A9"/>
    <w:rsid w:val="00903E1F"/>
    <w:rsid w:val="00907211"/>
    <w:rsid w:val="00911240"/>
    <w:rsid w:val="009143FB"/>
    <w:rsid w:val="00925987"/>
    <w:rsid w:val="0092721C"/>
    <w:rsid w:val="009352BE"/>
    <w:rsid w:val="00935377"/>
    <w:rsid w:val="00940FC8"/>
    <w:rsid w:val="00947C3A"/>
    <w:rsid w:val="0095229A"/>
    <w:rsid w:val="009566B0"/>
    <w:rsid w:val="00957EE4"/>
    <w:rsid w:val="0096294D"/>
    <w:rsid w:val="00971E72"/>
    <w:rsid w:val="00980368"/>
    <w:rsid w:val="00981E7D"/>
    <w:rsid w:val="00982E80"/>
    <w:rsid w:val="009869BF"/>
    <w:rsid w:val="00986ED8"/>
    <w:rsid w:val="00995222"/>
    <w:rsid w:val="009A2FE6"/>
    <w:rsid w:val="009B3BFE"/>
    <w:rsid w:val="009B3F04"/>
    <w:rsid w:val="009C6890"/>
    <w:rsid w:val="009D2D94"/>
    <w:rsid w:val="009E5568"/>
    <w:rsid w:val="009E706E"/>
    <w:rsid w:val="009F66B2"/>
    <w:rsid w:val="00A03B21"/>
    <w:rsid w:val="00A05F78"/>
    <w:rsid w:val="00A210A5"/>
    <w:rsid w:val="00A25136"/>
    <w:rsid w:val="00A32949"/>
    <w:rsid w:val="00A34C8B"/>
    <w:rsid w:val="00A415C8"/>
    <w:rsid w:val="00A46927"/>
    <w:rsid w:val="00A5510F"/>
    <w:rsid w:val="00A5567E"/>
    <w:rsid w:val="00A57C2A"/>
    <w:rsid w:val="00A638D5"/>
    <w:rsid w:val="00A738F6"/>
    <w:rsid w:val="00A8166D"/>
    <w:rsid w:val="00A81CA0"/>
    <w:rsid w:val="00A867FA"/>
    <w:rsid w:val="00A95FE6"/>
    <w:rsid w:val="00AA2C08"/>
    <w:rsid w:val="00AB69B3"/>
    <w:rsid w:val="00AC2B98"/>
    <w:rsid w:val="00AC69B9"/>
    <w:rsid w:val="00AE0FAA"/>
    <w:rsid w:val="00AE1D50"/>
    <w:rsid w:val="00AE3703"/>
    <w:rsid w:val="00AE3CC5"/>
    <w:rsid w:val="00AF799A"/>
    <w:rsid w:val="00B02DBD"/>
    <w:rsid w:val="00B068D3"/>
    <w:rsid w:val="00B06D6B"/>
    <w:rsid w:val="00B15FF4"/>
    <w:rsid w:val="00B22713"/>
    <w:rsid w:val="00B30705"/>
    <w:rsid w:val="00B36881"/>
    <w:rsid w:val="00B41F5F"/>
    <w:rsid w:val="00B46C80"/>
    <w:rsid w:val="00B516BA"/>
    <w:rsid w:val="00B52B94"/>
    <w:rsid w:val="00B530BB"/>
    <w:rsid w:val="00B643B9"/>
    <w:rsid w:val="00B82AE0"/>
    <w:rsid w:val="00B86C0C"/>
    <w:rsid w:val="00B90D56"/>
    <w:rsid w:val="00B9134D"/>
    <w:rsid w:val="00B9521C"/>
    <w:rsid w:val="00B96D18"/>
    <w:rsid w:val="00B97BFC"/>
    <w:rsid w:val="00BA7519"/>
    <w:rsid w:val="00BA7E6A"/>
    <w:rsid w:val="00BA7F50"/>
    <w:rsid w:val="00BB0B79"/>
    <w:rsid w:val="00BB1D68"/>
    <w:rsid w:val="00BC01F2"/>
    <w:rsid w:val="00BC1F78"/>
    <w:rsid w:val="00BC3323"/>
    <w:rsid w:val="00BC4C0B"/>
    <w:rsid w:val="00BD48F4"/>
    <w:rsid w:val="00BE7097"/>
    <w:rsid w:val="00BF309E"/>
    <w:rsid w:val="00C01A3F"/>
    <w:rsid w:val="00C1004B"/>
    <w:rsid w:val="00C11D50"/>
    <w:rsid w:val="00C154A1"/>
    <w:rsid w:val="00C23E79"/>
    <w:rsid w:val="00C24C81"/>
    <w:rsid w:val="00C2775A"/>
    <w:rsid w:val="00C4287C"/>
    <w:rsid w:val="00C43006"/>
    <w:rsid w:val="00C6320C"/>
    <w:rsid w:val="00C64A92"/>
    <w:rsid w:val="00C75FDF"/>
    <w:rsid w:val="00C77ED9"/>
    <w:rsid w:val="00C8273C"/>
    <w:rsid w:val="00C84D7D"/>
    <w:rsid w:val="00C867B7"/>
    <w:rsid w:val="00C91001"/>
    <w:rsid w:val="00C923AD"/>
    <w:rsid w:val="00C94A6B"/>
    <w:rsid w:val="00C953B3"/>
    <w:rsid w:val="00C96344"/>
    <w:rsid w:val="00CA3F18"/>
    <w:rsid w:val="00CA6B3C"/>
    <w:rsid w:val="00CB0EAF"/>
    <w:rsid w:val="00CB183D"/>
    <w:rsid w:val="00CB2AC2"/>
    <w:rsid w:val="00CC34C1"/>
    <w:rsid w:val="00CC51F8"/>
    <w:rsid w:val="00CC7B66"/>
    <w:rsid w:val="00CD324B"/>
    <w:rsid w:val="00CD6320"/>
    <w:rsid w:val="00CE0576"/>
    <w:rsid w:val="00CE5BC7"/>
    <w:rsid w:val="00CF2733"/>
    <w:rsid w:val="00CF4885"/>
    <w:rsid w:val="00CF5DB3"/>
    <w:rsid w:val="00CF6406"/>
    <w:rsid w:val="00D30427"/>
    <w:rsid w:val="00D4099A"/>
    <w:rsid w:val="00D55A82"/>
    <w:rsid w:val="00D61A3B"/>
    <w:rsid w:val="00D629F8"/>
    <w:rsid w:val="00D84960"/>
    <w:rsid w:val="00D87DF0"/>
    <w:rsid w:val="00D93F46"/>
    <w:rsid w:val="00D94DEE"/>
    <w:rsid w:val="00D95B58"/>
    <w:rsid w:val="00D967C7"/>
    <w:rsid w:val="00DC51DA"/>
    <w:rsid w:val="00DD4C59"/>
    <w:rsid w:val="00DD5968"/>
    <w:rsid w:val="00DF1EF4"/>
    <w:rsid w:val="00E07318"/>
    <w:rsid w:val="00E21519"/>
    <w:rsid w:val="00E236F7"/>
    <w:rsid w:val="00E35F35"/>
    <w:rsid w:val="00E567F0"/>
    <w:rsid w:val="00E74345"/>
    <w:rsid w:val="00E751CD"/>
    <w:rsid w:val="00E760E9"/>
    <w:rsid w:val="00E849FC"/>
    <w:rsid w:val="00E8734A"/>
    <w:rsid w:val="00EA1B81"/>
    <w:rsid w:val="00EB0BF0"/>
    <w:rsid w:val="00ED0D07"/>
    <w:rsid w:val="00ED2DE1"/>
    <w:rsid w:val="00ED2DE4"/>
    <w:rsid w:val="00ED350C"/>
    <w:rsid w:val="00ED3650"/>
    <w:rsid w:val="00EE28D3"/>
    <w:rsid w:val="00EE344F"/>
    <w:rsid w:val="00EF4E65"/>
    <w:rsid w:val="00F04F77"/>
    <w:rsid w:val="00F0673F"/>
    <w:rsid w:val="00F068F3"/>
    <w:rsid w:val="00F219DE"/>
    <w:rsid w:val="00F22A26"/>
    <w:rsid w:val="00F24E06"/>
    <w:rsid w:val="00F25091"/>
    <w:rsid w:val="00F302A9"/>
    <w:rsid w:val="00F33A72"/>
    <w:rsid w:val="00F361FB"/>
    <w:rsid w:val="00F36A5A"/>
    <w:rsid w:val="00F40D26"/>
    <w:rsid w:val="00F41268"/>
    <w:rsid w:val="00F47591"/>
    <w:rsid w:val="00F50E7A"/>
    <w:rsid w:val="00F70B1A"/>
    <w:rsid w:val="00F80E69"/>
    <w:rsid w:val="00F8218F"/>
    <w:rsid w:val="00F8502A"/>
    <w:rsid w:val="00FA438A"/>
    <w:rsid w:val="00FA551D"/>
    <w:rsid w:val="00FA5575"/>
    <w:rsid w:val="00FB10CE"/>
    <w:rsid w:val="00FB5421"/>
    <w:rsid w:val="00FC39E5"/>
    <w:rsid w:val="00FD26A3"/>
    <w:rsid w:val="00FE20C9"/>
    <w:rsid w:val="00FE38DA"/>
    <w:rsid w:val="00FF2D70"/>
    <w:rsid w:val="00FF4E88"/>
    <w:rsid w:val="00FF5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2A878E"/>
  <w15:docId w15:val="{450386FB-C0EA-4845-9FBF-39E42176E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0E9"/>
    <w:pPr>
      <w:widowControl w:val="0"/>
      <w:jc w:val="both"/>
    </w:pPr>
  </w:style>
  <w:style w:type="paragraph" w:styleId="Heading1">
    <w:name w:val="heading 1"/>
    <w:basedOn w:val="Normal"/>
    <w:next w:val="Normal"/>
    <w:link w:val="Heading1Char"/>
    <w:uiPriority w:val="9"/>
    <w:qFormat/>
    <w:rsid w:val="00605F68"/>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605F6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link w:val="Heading3Char"/>
    <w:uiPriority w:val="9"/>
    <w:qFormat/>
    <w:rsid w:val="00605F68"/>
    <w:pPr>
      <w:widowControl/>
      <w:spacing w:before="100" w:beforeAutospacing="1" w:after="100" w:afterAutospacing="1"/>
      <w:jc w:val="left"/>
      <w:outlineLvl w:val="2"/>
    </w:pPr>
    <w:rPr>
      <w:rFonts w:ascii="SimSun" w:eastAsia="SimSun" w:hAnsi="SimSun" w:cs="SimSu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F6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605F68"/>
    <w:rPr>
      <w:sz w:val="18"/>
      <w:szCs w:val="18"/>
    </w:rPr>
  </w:style>
  <w:style w:type="paragraph" w:styleId="Footer">
    <w:name w:val="footer"/>
    <w:basedOn w:val="Normal"/>
    <w:link w:val="FooterChar"/>
    <w:uiPriority w:val="99"/>
    <w:unhideWhenUsed/>
    <w:rsid w:val="00605F6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605F68"/>
    <w:rPr>
      <w:sz w:val="18"/>
      <w:szCs w:val="18"/>
    </w:rPr>
  </w:style>
  <w:style w:type="character" w:customStyle="1" w:styleId="Heading1Char">
    <w:name w:val="Heading 1 Char"/>
    <w:basedOn w:val="DefaultParagraphFont"/>
    <w:link w:val="Heading1"/>
    <w:uiPriority w:val="9"/>
    <w:rsid w:val="00605F68"/>
    <w:rPr>
      <w:b/>
      <w:bCs/>
      <w:kern w:val="44"/>
      <w:sz w:val="44"/>
      <w:szCs w:val="44"/>
    </w:rPr>
  </w:style>
  <w:style w:type="character" w:customStyle="1" w:styleId="Heading2Char">
    <w:name w:val="Heading 2 Char"/>
    <w:basedOn w:val="DefaultParagraphFont"/>
    <w:link w:val="Heading2"/>
    <w:uiPriority w:val="9"/>
    <w:rsid w:val="00605F68"/>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605F68"/>
    <w:rPr>
      <w:rFonts w:ascii="SimSun" w:eastAsia="SimSun" w:hAnsi="SimSun" w:cs="SimSun"/>
      <w:b/>
      <w:bCs/>
      <w:kern w:val="0"/>
      <w:sz w:val="27"/>
      <w:szCs w:val="27"/>
    </w:rPr>
  </w:style>
  <w:style w:type="character" w:styleId="Hyperlink">
    <w:name w:val="Hyperlink"/>
    <w:basedOn w:val="DefaultParagraphFont"/>
    <w:uiPriority w:val="99"/>
    <w:unhideWhenUsed/>
    <w:rsid w:val="00605F68"/>
    <w:rPr>
      <w:color w:val="0563C1" w:themeColor="hyperlink"/>
      <w:u w:val="single"/>
    </w:rPr>
  </w:style>
  <w:style w:type="character" w:customStyle="1" w:styleId="UnresolvedMention1">
    <w:name w:val="Unresolved Mention1"/>
    <w:basedOn w:val="DefaultParagraphFont"/>
    <w:uiPriority w:val="99"/>
    <w:semiHidden/>
    <w:unhideWhenUsed/>
    <w:rsid w:val="00605F68"/>
    <w:rPr>
      <w:color w:val="605E5C"/>
      <w:shd w:val="clear" w:color="auto" w:fill="E1DFDD"/>
    </w:rPr>
  </w:style>
  <w:style w:type="character" w:styleId="Emphasis">
    <w:name w:val="Emphasis"/>
    <w:basedOn w:val="DefaultParagraphFont"/>
    <w:uiPriority w:val="20"/>
    <w:qFormat/>
    <w:rsid w:val="00605F68"/>
    <w:rPr>
      <w:i/>
      <w:iCs/>
    </w:rPr>
  </w:style>
  <w:style w:type="paragraph" w:customStyle="1" w:styleId="src">
    <w:name w:val="src"/>
    <w:basedOn w:val="Normal"/>
    <w:rsid w:val="00605F68"/>
    <w:pPr>
      <w:widowControl/>
      <w:spacing w:before="100" w:beforeAutospacing="1" w:after="100" w:afterAutospacing="1"/>
      <w:jc w:val="left"/>
    </w:pPr>
    <w:rPr>
      <w:rFonts w:ascii="SimSun" w:eastAsia="SimSun" w:hAnsi="SimSun" w:cs="SimSun"/>
      <w:kern w:val="0"/>
      <w:sz w:val="24"/>
      <w:szCs w:val="24"/>
    </w:rPr>
  </w:style>
  <w:style w:type="character" w:customStyle="1" w:styleId="basic-word">
    <w:name w:val="basic-word"/>
    <w:basedOn w:val="DefaultParagraphFont"/>
    <w:rsid w:val="00605F68"/>
  </w:style>
  <w:style w:type="character" w:customStyle="1" w:styleId="skip">
    <w:name w:val="skip"/>
    <w:basedOn w:val="DefaultParagraphFont"/>
    <w:rsid w:val="00605F68"/>
  </w:style>
  <w:style w:type="character" w:customStyle="1" w:styleId="apple-converted-space">
    <w:name w:val="apple-converted-space"/>
    <w:basedOn w:val="DefaultParagraphFont"/>
    <w:rsid w:val="00605F68"/>
  </w:style>
  <w:style w:type="paragraph" w:styleId="ListParagraph">
    <w:name w:val="List Paragraph"/>
    <w:basedOn w:val="Normal"/>
    <w:uiPriority w:val="34"/>
    <w:qFormat/>
    <w:rsid w:val="00605F68"/>
    <w:pPr>
      <w:ind w:firstLineChars="200" w:firstLine="420"/>
    </w:pPr>
  </w:style>
  <w:style w:type="paragraph" w:styleId="Bibliography">
    <w:name w:val="Bibliography"/>
    <w:basedOn w:val="Normal"/>
    <w:next w:val="Normal"/>
    <w:uiPriority w:val="37"/>
    <w:unhideWhenUsed/>
    <w:rsid w:val="00605F68"/>
    <w:pPr>
      <w:tabs>
        <w:tab w:val="left" w:pos="384"/>
      </w:tabs>
      <w:spacing w:line="480" w:lineRule="auto"/>
      <w:ind w:left="384" w:hanging="384"/>
    </w:pPr>
  </w:style>
  <w:style w:type="character" w:styleId="FollowedHyperlink">
    <w:name w:val="FollowedHyperlink"/>
    <w:basedOn w:val="DefaultParagraphFont"/>
    <w:uiPriority w:val="99"/>
    <w:semiHidden/>
    <w:unhideWhenUsed/>
    <w:rsid w:val="00605F68"/>
    <w:rPr>
      <w:color w:val="954F72" w:themeColor="followedHyperlink"/>
      <w:u w:val="single"/>
    </w:rPr>
  </w:style>
  <w:style w:type="character" w:customStyle="1" w:styleId="1">
    <w:name w:val="未处理的提及1"/>
    <w:basedOn w:val="DefaultParagraphFont"/>
    <w:uiPriority w:val="99"/>
    <w:rsid w:val="009F66B2"/>
    <w:rPr>
      <w:color w:val="605E5C"/>
      <w:shd w:val="clear" w:color="auto" w:fill="E1DFDD"/>
    </w:rPr>
  </w:style>
  <w:style w:type="character" w:styleId="CommentReference">
    <w:name w:val="annotation reference"/>
    <w:basedOn w:val="DefaultParagraphFont"/>
    <w:uiPriority w:val="99"/>
    <w:semiHidden/>
    <w:unhideWhenUsed/>
    <w:rsid w:val="00F0673F"/>
    <w:rPr>
      <w:sz w:val="16"/>
      <w:szCs w:val="16"/>
    </w:rPr>
  </w:style>
  <w:style w:type="paragraph" w:styleId="CommentText">
    <w:name w:val="annotation text"/>
    <w:basedOn w:val="Normal"/>
    <w:link w:val="CommentTextChar"/>
    <w:uiPriority w:val="99"/>
    <w:semiHidden/>
    <w:unhideWhenUsed/>
    <w:rsid w:val="00F0673F"/>
    <w:rPr>
      <w:sz w:val="20"/>
      <w:szCs w:val="20"/>
    </w:rPr>
  </w:style>
  <w:style w:type="character" w:customStyle="1" w:styleId="CommentTextChar">
    <w:name w:val="Comment Text Char"/>
    <w:basedOn w:val="DefaultParagraphFont"/>
    <w:link w:val="CommentText"/>
    <w:uiPriority w:val="99"/>
    <w:semiHidden/>
    <w:rsid w:val="00F0673F"/>
    <w:rPr>
      <w:sz w:val="20"/>
      <w:szCs w:val="20"/>
    </w:rPr>
  </w:style>
  <w:style w:type="paragraph" w:styleId="CommentSubject">
    <w:name w:val="annotation subject"/>
    <w:basedOn w:val="CommentText"/>
    <w:next w:val="CommentText"/>
    <w:link w:val="CommentSubjectChar"/>
    <w:uiPriority w:val="99"/>
    <w:semiHidden/>
    <w:unhideWhenUsed/>
    <w:rsid w:val="00F0673F"/>
    <w:rPr>
      <w:b/>
      <w:bCs/>
    </w:rPr>
  </w:style>
  <w:style w:type="character" w:customStyle="1" w:styleId="CommentSubjectChar">
    <w:name w:val="Comment Subject Char"/>
    <w:basedOn w:val="CommentTextChar"/>
    <w:link w:val="CommentSubject"/>
    <w:uiPriority w:val="99"/>
    <w:semiHidden/>
    <w:rsid w:val="00F0673F"/>
    <w:rPr>
      <w:b/>
      <w:bCs/>
      <w:sz w:val="20"/>
      <w:szCs w:val="20"/>
    </w:rPr>
  </w:style>
  <w:style w:type="paragraph" w:styleId="Revision">
    <w:name w:val="Revision"/>
    <w:hidden/>
    <w:uiPriority w:val="99"/>
    <w:semiHidden/>
    <w:rsid w:val="00F0673F"/>
  </w:style>
  <w:style w:type="paragraph" w:styleId="BalloonText">
    <w:name w:val="Balloon Text"/>
    <w:basedOn w:val="Normal"/>
    <w:link w:val="BalloonTextChar"/>
    <w:uiPriority w:val="99"/>
    <w:semiHidden/>
    <w:unhideWhenUsed/>
    <w:rsid w:val="003D299E"/>
    <w:rPr>
      <w:rFonts w:ascii="Tahoma" w:hAnsi="Tahoma" w:cs="Tahoma"/>
      <w:sz w:val="16"/>
      <w:szCs w:val="16"/>
    </w:rPr>
  </w:style>
  <w:style w:type="character" w:customStyle="1" w:styleId="BalloonTextChar">
    <w:name w:val="Balloon Text Char"/>
    <w:basedOn w:val="DefaultParagraphFont"/>
    <w:link w:val="BalloonText"/>
    <w:uiPriority w:val="99"/>
    <w:semiHidden/>
    <w:rsid w:val="003D299E"/>
    <w:rPr>
      <w:rFonts w:ascii="Tahoma" w:hAnsi="Tahoma" w:cs="Tahoma"/>
      <w:sz w:val="16"/>
      <w:szCs w:val="16"/>
    </w:rPr>
  </w:style>
  <w:style w:type="paragraph" w:styleId="FootnoteText">
    <w:name w:val="footnote text"/>
    <w:basedOn w:val="Normal"/>
    <w:link w:val="FootnoteTextChar"/>
    <w:uiPriority w:val="99"/>
    <w:semiHidden/>
    <w:unhideWhenUsed/>
    <w:rsid w:val="00E567F0"/>
    <w:pPr>
      <w:snapToGrid w:val="0"/>
      <w:jc w:val="left"/>
    </w:pPr>
    <w:rPr>
      <w:sz w:val="18"/>
      <w:szCs w:val="18"/>
    </w:rPr>
  </w:style>
  <w:style w:type="character" w:customStyle="1" w:styleId="FootnoteTextChar">
    <w:name w:val="Footnote Text Char"/>
    <w:basedOn w:val="DefaultParagraphFont"/>
    <w:link w:val="FootnoteText"/>
    <w:uiPriority w:val="99"/>
    <w:semiHidden/>
    <w:rsid w:val="00E567F0"/>
    <w:rPr>
      <w:sz w:val="18"/>
      <w:szCs w:val="18"/>
    </w:rPr>
  </w:style>
  <w:style w:type="character" w:styleId="FootnoteReference">
    <w:name w:val="footnote reference"/>
    <w:basedOn w:val="DefaultParagraphFont"/>
    <w:uiPriority w:val="99"/>
    <w:semiHidden/>
    <w:unhideWhenUsed/>
    <w:rsid w:val="00E567F0"/>
    <w:rPr>
      <w:vertAlign w:val="superscript"/>
    </w:rPr>
  </w:style>
  <w:style w:type="character" w:styleId="LineNumber">
    <w:name w:val="line number"/>
    <w:basedOn w:val="DefaultParagraphFont"/>
    <w:uiPriority w:val="99"/>
    <w:semiHidden/>
    <w:unhideWhenUsed/>
    <w:rsid w:val="00811415"/>
  </w:style>
  <w:style w:type="character" w:customStyle="1" w:styleId="UnresolvedMention">
    <w:name w:val="Unresolved Mention"/>
    <w:basedOn w:val="DefaultParagraphFont"/>
    <w:uiPriority w:val="99"/>
    <w:semiHidden/>
    <w:unhideWhenUsed/>
    <w:rsid w:val="007224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771028">
      <w:bodyDiv w:val="1"/>
      <w:marLeft w:val="0"/>
      <w:marRight w:val="0"/>
      <w:marTop w:val="0"/>
      <w:marBottom w:val="0"/>
      <w:divBdr>
        <w:top w:val="none" w:sz="0" w:space="0" w:color="auto"/>
        <w:left w:val="none" w:sz="0" w:space="0" w:color="auto"/>
        <w:bottom w:val="none" w:sz="0" w:space="0" w:color="auto"/>
        <w:right w:val="none" w:sz="0" w:space="0" w:color="auto"/>
      </w:divBdr>
    </w:div>
    <w:div w:id="1128275879">
      <w:bodyDiv w:val="1"/>
      <w:marLeft w:val="0"/>
      <w:marRight w:val="0"/>
      <w:marTop w:val="0"/>
      <w:marBottom w:val="0"/>
      <w:divBdr>
        <w:top w:val="none" w:sz="0" w:space="0" w:color="auto"/>
        <w:left w:val="none" w:sz="0" w:space="0" w:color="auto"/>
        <w:bottom w:val="none" w:sz="0" w:space="0" w:color="auto"/>
        <w:right w:val="none" w:sz="0" w:space="0" w:color="auto"/>
      </w:divBdr>
    </w:div>
    <w:div w:id="172047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9BB1D-C714-4620-9602-EFFF6CF8B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1359</TotalTime>
  <Pages>5</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 yanlong</dc:creator>
  <cp:lastModifiedBy>Nithya R.</cp:lastModifiedBy>
  <cp:revision>136</cp:revision>
  <cp:lastPrinted>2021-06-24T00:32:00Z</cp:lastPrinted>
  <dcterms:created xsi:type="dcterms:W3CDTF">2021-05-12T15:44:00Z</dcterms:created>
  <dcterms:modified xsi:type="dcterms:W3CDTF">2021-10-26T07:55:00Z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id="Qkh3L1rx"/&gt;&lt;style id="http://www.zotero.org/styles/scientific-reports" hasBibliography="1" bibliographyStyleHasBeenSet="1"/&gt;&lt;prefs&gt;&lt;pref name="fieldType" value="Field"/&gt;&lt;/prefs&gt;&lt;/data&gt;</vt:lpwstr>
  </property>
</Properties>
</file>