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EB298" w14:textId="77777777" w:rsidR="00471CA2" w:rsidRDefault="00471CA2" w:rsidP="00471CA2">
      <w:pPr>
        <w:rPr>
          <w:noProof/>
        </w:rPr>
      </w:pPr>
    </w:p>
    <w:p w14:paraId="30E64B4A" w14:textId="5D96D5CD" w:rsidR="00471CA2" w:rsidRPr="00471CA2" w:rsidRDefault="00471CA2" w:rsidP="00471CA2">
      <w:pPr>
        <w:rPr>
          <w:b/>
          <w:bCs/>
          <w:sz w:val="24"/>
          <w:szCs w:val="24"/>
        </w:rPr>
      </w:pPr>
      <w:r w:rsidRPr="00471CA2">
        <w:rPr>
          <w:b/>
          <w:bCs/>
          <w:sz w:val="24"/>
          <w:szCs w:val="24"/>
        </w:rPr>
        <w:t xml:space="preserve">Supplementary Figure </w:t>
      </w:r>
      <w:r>
        <w:rPr>
          <w:b/>
          <w:bCs/>
          <w:sz w:val="24"/>
          <w:szCs w:val="24"/>
        </w:rPr>
        <w:t>1</w:t>
      </w:r>
    </w:p>
    <w:p w14:paraId="2EA9531D" w14:textId="77777777" w:rsidR="00471CA2" w:rsidRDefault="00471CA2" w:rsidP="00471CA2">
      <w:pPr>
        <w:rPr>
          <w:noProof/>
        </w:rPr>
      </w:pPr>
    </w:p>
    <w:p w14:paraId="56330A89" w14:textId="253F444D" w:rsidR="00D73B17" w:rsidRDefault="00471CA2" w:rsidP="00471CA2">
      <w:r>
        <w:rPr>
          <w:noProof/>
        </w:rPr>
        <w:drawing>
          <wp:inline distT="0" distB="0" distL="0" distR="0" wp14:anchorId="18680C53" wp14:editId="5E42B33D">
            <wp:extent cx="5731510" cy="3352165"/>
            <wp:effectExtent l="0" t="0" r="254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5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843A3" w14:textId="27F37A54" w:rsidR="00A470EF" w:rsidRDefault="00A470EF" w:rsidP="00A470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Pr="004E7312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E731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4E7312">
        <w:rPr>
          <w:rFonts w:ascii="Times New Roman" w:hAnsi="Times New Roman" w:cs="Times New Roman"/>
          <w:sz w:val="24"/>
          <w:szCs w:val="24"/>
        </w:rPr>
        <w:t xml:space="preserve">Comparison of mucosal IgG subclasses and isotypes in </w:t>
      </w:r>
      <w:r>
        <w:rPr>
          <w:rFonts w:ascii="Times New Roman" w:hAnsi="Times New Roman" w:cs="Times New Roman"/>
          <w:sz w:val="24"/>
          <w:szCs w:val="24"/>
        </w:rPr>
        <w:t>cases</w:t>
      </w:r>
      <w:r w:rsidRPr="004E7312">
        <w:rPr>
          <w:rFonts w:ascii="Times New Roman" w:hAnsi="Times New Roman" w:cs="Times New Roman"/>
          <w:sz w:val="24"/>
          <w:szCs w:val="24"/>
        </w:rPr>
        <w:t xml:space="preserve"> stratified for presence of genital inflammation (GI+) or absence of genital inflammation (GI-) within</w:t>
      </w:r>
      <w:r>
        <w:rPr>
          <w:rFonts w:ascii="Times New Roman" w:hAnsi="Times New Roman" w:cs="Times New Roman"/>
          <w:sz w:val="24"/>
          <w:szCs w:val="24"/>
        </w:rPr>
        <w:t xml:space="preserve"> tenofovir and placebo groups</w:t>
      </w:r>
      <w:r w:rsidRPr="004E7312">
        <w:rPr>
          <w:rFonts w:ascii="Times New Roman" w:hAnsi="Times New Roman" w:cs="Times New Roman"/>
          <w:sz w:val="24"/>
          <w:szCs w:val="24"/>
        </w:rPr>
        <w:t xml:space="preserve">. Each data point represents an individual sample, the line-bars represents medians and interquartile ranges. Mann-Whitney U test and unpaired t-tests were used to compare between groups and p&lt;0.05 were considered statistically significant. ● represent </w:t>
      </w:r>
      <w:r>
        <w:rPr>
          <w:rFonts w:ascii="Times New Roman" w:hAnsi="Times New Roman" w:cs="Times New Roman"/>
          <w:sz w:val="24"/>
          <w:szCs w:val="24"/>
        </w:rPr>
        <w:t>tenofovir use</w:t>
      </w:r>
      <w:r w:rsidRPr="004E7312">
        <w:rPr>
          <w:rFonts w:ascii="Times New Roman" w:hAnsi="Times New Roman" w:cs="Times New Roman"/>
          <w:sz w:val="24"/>
          <w:szCs w:val="24"/>
        </w:rPr>
        <w:t xml:space="preserve"> and ▲ represent </w:t>
      </w:r>
      <w:r>
        <w:rPr>
          <w:rFonts w:ascii="Times New Roman" w:hAnsi="Times New Roman" w:cs="Times New Roman"/>
          <w:sz w:val="24"/>
          <w:szCs w:val="24"/>
        </w:rPr>
        <w:t>placebo</w:t>
      </w:r>
      <w:r w:rsidRPr="004E7312">
        <w:rPr>
          <w:rFonts w:ascii="Times New Roman" w:hAnsi="Times New Roman" w:cs="Times New Roman"/>
          <w:sz w:val="24"/>
          <w:szCs w:val="24"/>
        </w:rPr>
        <w:t>.</w:t>
      </w:r>
    </w:p>
    <w:p w14:paraId="712285EA" w14:textId="77777777" w:rsidR="00A470EF" w:rsidRDefault="00A470EF" w:rsidP="00471CA2"/>
    <w:p w14:paraId="1F5E371A" w14:textId="7C7496D7" w:rsidR="00471CA2" w:rsidRDefault="00471CA2" w:rsidP="00471CA2"/>
    <w:p w14:paraId="13A25165" w14:textId="77777777" w:rsidR="00A470EF" w:rsidRDefault="00A470EF" w:rsidP="00471CA2">
      <w:pPr>
        <w:rPr>
          <w:b/>
          <w:bCs/>
          <w:sz w:val="24"/>
          <w:szCs w:val="24"/>
        </w:rPr>
      </w:pPr>
    </w:p>
    <w:p w14:paraId="4615B013" w14:textId="77777777" w:rsidR="00A470EF" w:rsidRDefault="00A470EF" w:rsidP="00471CA2">
      <w:pPr>
        <w:rPr>
          <w:b/>
          <w:bCs/>
          <w:sz w:val="24"/>
          <w:szCs w:val="24"/>
        </w:rPr>
      </w:pPr>
    </w:p>
    <w:p w14:paraId="2122E376" w14:textId="77777777" w:rsidR="00A470EF" w:rsidRDefault="00A470EF" w:rsidP="00471CA2">
      <w:pPr>
        <w:rPr>
          <w:b/>
          <w:bCs/>
          <w:sz w:val="24"/>
          <w:szCs w:val="24"/>
        </w:rPr>
      </w:pPr>
    </w:p>
    <w:p w14:paraId="1CDB5D6D" w14:textId="77777777" w:rsidR="00A470EF" w:rsidRDefault="00A470EF" w:rsidP="00471CA2">
      <w:pPr>
        <w:rPr>
          <w:b/>
          <w:bCs/>
          <w:sz w:val="24"/>
          <w:szCs w:val="24"/>
        </w:rPr>
      </w:pPr>
    </w:p>
    <w:p w14:paraId="431351DC" w14:textId="77777777" w:rsidR="00A470EF" w:rsidRDefault="00A470EF" w:rsidP="00471CA2">
      <w:pPr>
        <w:rPr>
          <w:b/>
          <w:bCs/>
          <w:sz w:val="24"/>
          <w:szCs w:val="24"/>
        </w:rPr>
      </w:pPr>
    </w:p>
    <w:p w14:paraId="2242C23B" w14:textId="77777777" w:rsidR="00A470EF" w:rsidRDefault="00A470EF" w:rsidP="00471CA2">
      <w:pPr>
        <w:rPr>
          <w:b/>
          <w:bCs/>
          <w:sz w:val="24"/>
          <w:szCs w:val="24"/>
        </w:rPr>
      </w:pPr>
    </w:p>
    <w:p w14:paraId="1630E1A2" w14:textId="77777777" w:rsidR="00A470EF" w:rsidRDefault="00A470EF" w:rsidP="00471CA2">
      <w:pPr>
        <w:rPr>
          <w:b/>
          <w:bCs/>
          <w:sz w:val="24"/>
          <w:szCs w:val="24"/>
        </w:rPr>
      </w:pPr>
    </w:p>
    <w:p w14:paraId="57585538" w14:textId="77777777" w:rsidR="00A470EF" w:rsidRDefault="00A470EF" w:rsidP="00471CA2">
      <w:pPr>
        <w:rPr>
          <w:b/>
          <w:bCs/>
          <w:sz w:val="24"/>
          <w:szCs w:val="24"/>
        </w:rPr>
      </w:pPr>
    </w:p>
    <w:p w14:paraId="515A05E1" w14:textId="77777777" w:rsidR="00A470EF" w:rsidRDefault="00A470EF" w:rsidP="00471CA2">
      <w:pPr>
        <w:rPr>
          <w:b/>
          <w:bCs/>
          <w:sz w:val="24"/>
          <w:szCs w:val="24"/>
        </w:rPr>
      </w:pPr>
    </w:p>
    <w:p w14:paraId="03A4B99E" w14:textId="72CA2E2A" w:rsidR="00471CA2" w:rsidRPr="00471CA2" w:rsidRDefault="00471CA2" w:rsidP="00471CA2">
      <w:pPr>
        <w:rPr>
          <w:b/>
          <w:bCs/>
          <w:sz w:val="24"/>
          <w:szCs w:val="24"/>
        </w:rPr>
      </w:pPr>
      <w:r w:rsidRPr="00471CA2">
        <w:rPr>
          <w:b/>
          <w:bCs/>
          <w:sz w:val="24"/>
          <w:szCs w:val="24"/>
        </w:rPr>
        <w:lastRenderedPageBreak/>
        <w:t>Supplementary Figure 2</w:t>
      </w:r>
    </w:p>
    <w:p w14:paraId="5CAF4E22" w14:textId="05A07610" w:rsidR="00471CA2" w:rsidRDefault="00471CA2" w:rsidP="00471CA2">
      <w:pPr>
        <w:rPr>
          <w:b/>
          <w:bCs/>
        </w:rPr>
      </w:pPr>
      <w:r>
        <w:rPr>
          <w:noProof/>
        </w:rPr>
        <w:drawing>
          <wp:inline distT="0" distB="0" distL="0" distR="0" wp14:anchorId="00DBB92A" wp14:editId="587424ED">
            <wp:extent cx="5731510" cy="3356610"/>
            <wp:effectExtent l="0" t="0" r="2540" b="0"/>
            <wp:docPr id="2" name="Picture 2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, schematic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5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8C2A7" w14:textId="0EF0F1AC" w:rsidR="00A470EF" w:rsidRPr="00034C30" w:rsidRDefault="00A470EF" w:rsidP="00A470EF">
      <w:pPr>
        <w:rPr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Pr="004E7312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E731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4E7312">
        <w:rPr>
          <w:rFonts w:ascii="Times New Roman" w:hAnsi="Times New Roman" w:cs="Times New Roman"/>
          <w:sz w:val="24"/>
          <w:szCs w:val="24"/>
        </w:rPr>
        <w:t xml:space="preserve">Comparison of mucosal IgG subclasses and isotypes in </w:t>
      </w:r>
      <w:r>
        <w:rPr>
          <w:rFonts w:ascii="Times New Roman" w:hAnsi="Times New Roman" w:cs="Times New Roman"/>
          <w:sz w:val="24"/>
          <w:szCs w:val="24"/>
        </w:rPr>
        <w:t>controls</w:t>
      </w:r>
      <w:r w:rsidRPr="004E7312">
        <w:rPr>
          <w:rFonts w:ascii="Times New Roman" w:hAnsi="Times New Roman" w:cs="Times New Roman"/>
          <w:sz w:val="24"/>
          <w:szCs w:val="24"/>
        </w:rPr>
        <w:t xml:space="preserve"> stratified for presence of genital inflammation (GI+) or absence of genital inflammation (GI-) within</w:t>
      </w:r>
      <w:r>
        <w:rPr>
          <w:rFonts w:ascii="Times New Roman" w:hAnsi="Times New Roman" w:cs="Times New Roman"/>
          <w:sz w:val="24"/>
          <w:szCs w:val="24"/>
        </w:rPr>
        <w:t xml:space="preserve"> tenofovir and placebo groups</w:t>
      </w:r>
      <w:r w:rsidRPr="004E7312">
        <w:rPr>
          <w:rFonts w:ascii="Times New Roman" w:hAnsi="Times New Roman" w:cs="Times New Roman"/>
          <w:sz w:val="24"/>
          <w:szCs w:val="24"/>
        </w:rPr>
        <w:t xml:space="preserve">. Each data point represents an individual sample, the line-bars represents medians and interquartile ranges. Mann-Whitney U test and unpaired t-tests were used to compare between groups and p&lt;0.05 were considered statistically significant. ● represent </w:t>
      </w:r>
      <w:r>
        <w:rPr>
          <w:rFonts w:ascii="Times New Roman" w:hAnsi="Times New Roman" w:cs="Times New Roman"/>
          <w:sz w:val="24"/>
          <w:szCs w:val="24"/>
        </w:rPr>
        <w:t>tenofovir use</w:t>
      </w:r>
      <w:r w:rsidRPr="004E7312">
        <w:rPr>
          <w:rFonts w:ascii="Times New Roman" w:hAnsi="Times New Roman" w:cs="Times New Roman"/>
          <w:sz w:val="24"/>
          <w:szCs w:val="24"/>
        </w:rPr>
        <w:t xml:space="preserve"> and ▲ represent </w:t>
      </w:r>
      <w:r>
        <w:rPr>
          <w:rFonts w:ascii="Times New Roman" w:hAnsi="Times New Roman" w:cs="Times New Roman"/>
          <w:sz w:val="24"/>
          <w:szCs w:val="24"/>
        </w:rPr>
        <w:t>placebo</w:t>
      </w:r>
      <w:r w:rsidRPr="004E7312">
        <w:rPr>
          <w:rFonts w:ascii="Times New Roman" w:hAnsi="Times New Roman" w:cs="Times New Roman"/>
          <w:sz w:val="24"/>
          <w:szCs w:val="24"/>
        </w:rPr>
        <w:t>.</w:t>
      </w:r>
    </w:p>
    <w:p w14:paraId="77DDF7CF" w14:textId="77777777" w:rsidR="00A470EF" w:rsidRPr="00471CA2" w:rsidRDefault="00A470EF" w:rsidP="00471CA2">
      <w:pPr>
        <w:rPr>
          <w:b/>
          <w:bCs/>
        </w:rPr>
      </w:pPr>
    </w:p>
    <w:sectPr w:rsidR="00A470EF" w:rsidRPr="00471C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C07"/>
    <w:rsid w:val="00263C07"/>
    <w:rsid w:val="00471CA2"/>
    <w:rsid w:val="00A470EF"/>
    <w:rsid w:val="00D73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8E552AC"/>
  <w15:chartTrackingRefBased/>
  <w15:docId w15:val="{6284E60A-697B-42CE-9D29-EC53FFB7E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Parveen Sobia</dc:creator>
  <cp:keywords/>
  <dc:description/>
  <cp:lastModifiedBy>Parveen Sobia</cp:lastModifiedBy>
  <cp:revision>3</cp:revision>
  <dcterms:created xsi:type="dcterms:W3CDTF">2021-10-26T07:51:00Z</dcterms:created>
  <dcterms:modified xsi:type="dcterms:W3CDTF">2021-10-26T07:58:00Z</dcterms:modified>
</cp:coreProperties>
</file>