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30309E" w14:textId="72165269" w:rsidR="005831ED" w:rsidRPr="005B0FAA" w:rsidRDefault="007B2489" w:rsidP="005831ED">
      <w:pPr>
        <w:rPr>
          <w:b/>
          <w:color w:val="000000" w:themeColor="text1"/>
        </w:rPr>
      </w:pPr>
      <w:r w:rsidRPr="005B0FAA">
        <w:rPr>
          <w:b/>
          <w:color w:val="000000" w:themeColor="text1"/>
        </w:rPr>
        <w:t>S</w:t>
      </w:r>
      <w:r w:rsidR="00507160" w:rsidRPr="005B0FAA">
        <w:rPr>
          <w:b/>
          <w:color w:val="000000" w:themeColor="text1"/>
        </w:rPr>
        <w:t>upplementary information</w:t>
      </w:r>
    </w:p>
    <w:p w14:paraId="67C5EFBE" w14:textId="77777777" w:rsidR="005831ED" w:rsidRDefault="005831ED" w:rsidP="005831ED">
      <w:pPr>
        <w:rPr>
          <w:color w:val="000000" w:themeColor="text1"/>
        </w:rPr>
      </w:pPr>
    </w:p>
    <w:p w14:paraId="66C55305" w14:textId="77777777" w:rsidR="004B3026" w:rsidRDefault="004B3026" w:rsidP="005831ED">
      <w:pPr>
        <w:rPr>
          <w:b/>
          <w:color w:val="000000" w:themeColor="text1"/>
        </w:rPr>
      </w:pPr>
    </w:p>
    <w:p w14:paraId="2F8B3DC4" w14:textId="3DC1B8E3" w:rsidR="005831ED" w:rsidRDefault="005831ED" w:rsidP="005831ED">
      <w:pPr>
        <w:rPr>
          <w:b/>
          <w:color w:val="000000" w:themeColor="text1"/>
        </w:rPr>
      </w:pPr>
      <w:r w:rsidRPr="005B0FAA">
        <w:rPr>
          <w:b/>
          <w:color w:val="000000" w:themeColor="text1"/>
        </w:rPr>
        <w:t>S</w:t>
      </w:r>
      <w:r w:rsidR="008F7B9D">
        <w:rPr>
          <w:b/>
          <w:color w:val="000000" w:themeColor="text1"/>
        </w:rPr>
        <w:t>1</w:t>
      </w:r>
      <w:r w:rsidRPr="005B0FAA">
        <w:rPr>
          <w:b/>
          <w:color w:val="000000" w:themeColor="text1"/>
        </w:rPr>
        <w:t xml:space="preserve"> Text</w:t>
      </w:r>
    </w:p>
    <w:p w14:paraId="0BCD57B5" w14:textId="77777777" w:rsidR="00763F9E" w:rsidRDefault="00763F9E" w:rsidP="005831ED">
      <w:pPr>
        <w:rPr>
          <w:b/>
          <w:color w:val="000000" w:themeColor="text1"/>
        </w:rPr>
      </w:pPr>
    </w:p>
    <w:p w14:paraId="3B0ED27D" w14:textId="77777777" w:rsidR="004B3026" w:rsidRDefault="004B3026" w:rsidP="005831ED">
      <w:pPr>
        <w:rPr>
          <w:b/>
          <w:color w:val="000000" w:themeColor="text1"/>
        </w:rPr>
      </w:pPr>
    </w:p>
    <w:p w14:paraId="5FAA6383" w14:textId="1A320365" w:rsidR="005831ED" w:rsidRDefault="005831ED" w:rsidP="005831ED">
      <w:pPr>
        <w:rPr>
          <w:b/>
          <w:color w:val="000000" w:themeColor="text1"/>
        </w:rPr>
      </w:pPr>
      <w:r>
        <w:rPr>
          <w:b/>
          <w:color w:val="000000" w:themeColor="text1"/>
        </w:rPr>
        <w:t>DEPs related to digestion</w:t>
      </w:r>
      <w:r w:rsidR="00763F9E">
        <w:rPr>
          <w:b/>
          <w:color w:val="000000" w:themeColor="text1"/>
        </w:rPr>
        <w:t xml:space="preserve"> </w:t>
      </w:r>
    </w:p>
    <w:p w14:paraId="0BB8F9C2" w14:textId="77777777" w:rsidR="00A626FA" w:rsidRDefault="00A626FA" w:rsidP="005831ED">
      <w:pPr>
        <w:rPr>
          <w:b/>
          <w:color w:val="000000" w:themeColor="text1"/>
        </w:rPr>
      </w:pPr>
    </w:p>
    <w:p w14:paraId="26B8919A" w14:textId="5870E9E0" w:rsidR="00763F9E" w:rsidRDefault="00525419" w:rsidP="00763F9E">
      <w:pPr>
        <w:spacing w:line="480" w:lineRule="auto"/>
        <w:jc w:val="both"/>
      </w:pPr>
      <w:r>
        <w:t>DENV</w:t>
      </w:r>
      <w:r w:rsidR="00ED2E55">
        <w:t>2</w:t>
      </w:r>
      <w:r>
        <w:t xml:space="preserve"> infection of human foreskin fibroblasts </w:t>
      </w:r>
      <w:r w:rsidR="00763F9E">
        <w:t>requires</w:t>
      </w:r>
      <w:r>
        <w:t xml:space="preserve"> glycolysis</w:t>
      </w:r>
      <w:r>
        <w:fldChar w:fldCharType="begin"/>
      </w:r>
      <w:r w:rsidR="00324ACE">
        <w:instrText xml:space="preserve"> ADDIN ZOTERO_ITEM CSL_CITATION {"citationID":"iJVf95E3","properties":{"formattedCitation":"\\super 1\\nosupersub{}","plainCitation":"1","noteIndex":0},"citationItems":[{"id":823,"uris":["http://zotero.org/users/5659518/items/UUK96KFE"],"uri":["http://zotero.org/users/5659518/items/UUK96KFE"],"itemData":{"id":823,"type":"article-journal","abstract":"Viruses rely on host cellular metabolism to provide the energy and biosynthetic building blocks required for their replication. Dengue virus (DENV), a member of the Flaviviridae family, is one of the most important arthropod-borne human pathogens worldwide. We analyzed global intracellular metabolic changes associated with DENV infection of primary human cells. Our metabolic profiling data suggested that central carbon metabolism, particularly glycolysis, is strikingly altered during a time course of DENV infection. Glucose consumption is increased during DENV infection and depriving DENV-infected cells of exogenous glucose had a pronounced impact on viral replication. Furthermore, the expression of both glucose transporter 1 and hexokinase 2, the first enzyme of glycolysis, is upregulated in DENV-infected cells. Pharmacologically inhibiting the glycolytic pathway dramatically reduced DENV RNA synthesis and infectious virion production, revealing a requirement for glycolysis during DENV infection. Thus, these experiments suggest that DENV induces the glycolytic pathway to support efficient viral replication. This study raises the possibility that metabolic inhibitors, such as those that target glycolysis, could be used to treat DENV infection in the future.\nIMPORTANCE Approximately 400 million people are infected with dengue virus (DENV) annually, and more than one-third of the global population is at risk of infection. As there are currently no effective vaccines or specific antiviral therapies for DENV, we investigated the impact DENV has on the host cellular metabolome to identify metabolic pathways that are critical for the virus life cycle. We report an essential role for glycolysis during DENV infection. DENV activates the glycolytic pathway, and inhibition of glycolysis significantly blocks infectious DENV production. This study provides further evidence that viral metabolomic analyses can lead to the discovery of novel therapeutic targets to block the replication of medically important human pathogens.","container-title":"Journal of Virology","DOI":"10.1128/JVI.02309-14","ISSN":"0022-538X, 1098-5514","issue":"4","language":"en","note":"publisher: American Society for Microbiology Journals\nsection: Virus-Cell Interactions\nPMID: 25505078","page":"2358-2366","source":"jvi.asm.org","title":"Dengue Virus Induces and Requires Glycolysis for Optimal Replication","volume":"89","author":[{"family":"Fontaine","given":"Krystal A."},{"family":"Sanchez","given":"Erica L."},{"family":"Camarda","given":"Roman"},{"family":"Lagunoff","given":"Michael"}],"issued":{"date-parts":[["2015",2,15]]}}}],"schema":"https://github.com/citation-style-language/schema/raw/master/csl-citation.json"} </w:instrText>
      </w:r>
      <w:r>
        <w:fldChar w:fldCharType="separate"/>
      </w:r>
      <w:r w:rsidR="00324ACE" w:rsidRPr="00324ACE">
        <w:rPr>
          <w:vertAlign w:val="superscript"/>
        </w:rPr>
        <w:t>1</w:t>
      </w:r>
      <w:r>
        <w:fldChar w:fldCharType="end"/>
      </w:r>
      <w:r>
        <w:t xml:space="preserve">. Upregulation of several glycolytic pathway- and tricarboxylic acid cycle (TCA)-related proteins in </w:t>
      </w:r>
      <w:r w:rsidRPr="00C3572B">
        <w:rPr>
          <w:i/>
          <w:iCs/>
        </w:rPr>
        <w:t>A. aegypti</w:t>
      </w:r>
      <w:r>
        <w:t xml:space="preserve"> SG (Table </w:t>
      </w:r>
      <w:r w:rsidR="00EE5681">
        <w:t>S</w:t>
      </w:r>
      <w:bookmarkStart w:id="0" w:name="_GoBack"/>
      <w:bookmarkEnd w:id="0"/>
      <w:r w:rsidR="00D93D2C">
        <w:t>4</w:t>
      </w:r>
      <w:r>
        <w:t>), primarily by DENV</w:t>
      </w:r>
      <w:r w:rsidR="001D7354">
        <w:t>2 infection</w:t>
      </w:r>
      <w:r>
        <w:t xml:space="preserve">, </w:t>
      </w:r>
      <w:r w:rsidR="00763F9E">
        <w:t>suggest</w:t>
      </w:r>
      <w:r>
        <w:t xml:space="preserve"> </w:t>
      </w:r>
      <w:r w:rsidR="000963B9">
        <w:t xml:space="preserve">similar </w:t>
      </w:r>
      <w:r w:rsidR="00763F9E">
        <w:t>requirements in mosquitoes</w:t>
      </w:r>
      <w:r>
        <w:t xml:space="preserve">. </w:t>
      </w:r>
      <w:r w:rsidR="00763F9E">
        <w:t>Alternatively</w:t>
      </w:r>
      <w:r>
        <w:t>, glycolytic enolase (upregulat</w:t>
      </w:r>
      <w:r w:rsidR="00763F9E">
        <w:t>ed in this study) is</w:t>
      </w:r>
      <w:r>
        <w:t xml:space="preserve"> a DENV</w:t>
      </w:r>
      <w:r w:rsidR="001D7354">
        <w:t>2</w:t>
      </w:r>
      <w:r>
        <w:t xml:space="preserve"> receptor in mosquito cells</w:t>
      </w:r>
      <w:r>
        <w:fldChar w:fldCharType="begin"/>
      </w:r>
      <w:r w:rsidR="00324ACE">
        <w:instrText xml:space="preserve"> ADDIN ZOTERO_ITEM CSL_CITATION {"citationID":"hjdPBlah","properties":{"formattedCitation":"\\super 2\\nosupersub{}","plainCitation":"2","noteIndex":0},"citationItems":[{"id":827,"uris":["http://zotero.org/users/5659518/items/3RFC2VE6"],"uri":["http://zotero.org/users/5659518/items/3RFC2VE6"],"itemData":{"id":827,"type":"webpage","abstract":"The main vector of dengue in America is the mosquito Aedes aegypti, which is infected by dengue virus (DENV) through receptors of midgut epithelial cells. The envelope protein (E) of dengue virus binds to receptors present on the host cells through its domain III that has been primarily recognized to bind cell receptors. In order to identify potential receptors, proteins from mosquito midgut tissue and C6/36 cells were purified by affinity using columns with the recombinant E protein domain III (rE-DIII) or DENV particles bound covalently to Sepharose 4B to compare and evaluate their performance to bind proteins including putative receptors from female mosquitoes of Ae. aegypti. To determine their identity mass spectrometric analysis of purified proteins separated by polyacrylamide gel electrophoresis was performed. Our results indicate that both viral particles and rE-DIII bound proteins with the same apparent molecular weights of 57 and 67 kDa. In addition, viral particles bound high molecular weight proteins. Purified proteins identified were enolase, beta-adrenergic receptor kinase (beta-ARK), translation elongation factor EF-1 alpha/Tu, and cadherin.","container-title":"BioMed Research International","genre":"Research Article","language":"en","note":"DOI: https://doi.org/10.1155/2013/875958\nISSN: 2314-6133\npage: e875958\npublisher: Hindawi\nvolume: 2013\nDOI: https://doi.org/10.1155/2013/875958","title":"Proteomic Identification of Dengue Virus Binding Proteins in Aedes aegypti Mosquitoes and Aedes albopictus Cells","URL":"https://www.hindawi.com/journals/bmri/2013/875958/","author":[{"family":"Muñoz","given":"Maria de Lourdes"},{"family":"Limón-Camacho","given":"Gustavo"},{"family":"Tovar","given":"Rosalinda"},{"family":"Diaz-Badillo","given":"Alvaro"},{"family":"Mendoza-Hernández","given":"Guillermo"},{"family":"Black","given":"William C."}],"accessed":{"date-parts":[["2021",2,18]]},"issued":{"date-parts":[["2013",11,10]]}}}],"schema":"https://github.com/citation-style-language/schema/raw/master/csl-citation.json"} </w:instrText>
      </w:r>
      <w:r>
        <w:fldChar w:fldCharType="separate"/>
      </w:r>
      <w:r w:rsidR="00324ACE" w:rsidRPr="00324ACE">
        <w:rPr>
          <w:vertAlign w:val="superscript"/>
        </w:rPr>
        <w:t>2</w:t>
      </w:r>
      <w:r>
        <w:fldChar w:fldCharType="end"/>
      </w:r>
      <w:r>
        <w:t xml:space="preserve">. </w:t>
      </w:r>
    </w:p>
    <w:p w14:paraId="11B681D6" w14:textId="77777777" w:rsidR="00763F9E" w:rsidRDefault="00763F9E" w:rsidP="00763F9E">
      <w:pPr>
        <w:spacing w:line="480" w:lineRule="auto"/>
        <w:jc w:val="both"/>
      </w:pPr>
    </w:p>
    <w:p w14:paraId="219FADC2" w14:textId="64723092" w:rsidR="00763F9E" w:rsidRDefault="00763F9E" w:rsidP="00763F9E">
      <w:pPr>
        <w:rPr>
          <w:b/>
          <w:color w:val="000000" w:themeColor="text1"/>
        </w:rPr>
      </w:pPr>
      <w:r>
        <w:rPr>
          <w:b/>
          <w:color w:val="000000" w:themeColor="text1"/>
        </w:rPr>
        <w:t xml:space="preserve">DEPs related to metabolism </w:t>
      </w:r>
    </w:p>
    <w:p w14:paraId="0BBE2F87" w14:textId="77777777" w:rsidR="00A626FA" w:rsidRDefault="00A626FA" w:rsidP="00763F9E">
      <w:pPr>
        <w:rPr>
          <w:b/>
          <w:color w:val="000000" w:themeColor="text1"/>
        </w:rPr>
      </w:pPr>
    </w:p>
    <w:p w14:paraId="05D9BC1A" w14:textId="777E2AD1" w:rsidR="00525419" w:rsidRDefault="00525419" w:rsidP="00763F9E">
      <w:pPr>
        <w:spacing w:line="480" w:lineRule="auto"/>
        <w:jc w:val="both"/>
      </w:pPr>
      <w:r>
        <w:t>DENV</w:t>
      </w:r>
      <w:r w:rsidR="001D7354">
        <w:t>2</w:t>
      </w:r>
      <w:r w:rsidR="000963B9">
        <w:t>-induced</w:t>
      </w:r>
      <w:r>
        <w:t xml:space="preserve"> expression of pyruvate carboxylase, involved in </w:t>
      </w:r>
      <w:r w:rsidRPr="00C3572B">
        <w:rPr>
          <w:i/>
          <w:iCs/>
        </w:rPr>
        <w:t>de no</w:t>
      </w:r>
      <w:r>
        <w:rPr>
          <w:i/>
          <w:iCs/>
        </w:rPr>
        <w:t xml:space="preserve">vo </w:t>
      </w:r>
      <w:r>
        <w:t>fatty acid (FA) synthesis</w:t>
      </w:r>
      <w:r>
        <w:fldChar w:fldCharType="begin"/>
      </w:r>
      <w:r w:rsidR="00324ACE">
        <w:instrText xml:space="preserve"> ADDIN ZOTERO_ITEM CSL_CITATION {"citationID":"SbJcveBR","properties":{"formattedCitation":"\\super 3\\nosupersub{}","plainCitation":"3","noteIndex":0},"citationItems":[{"id":831,"uris":["http://zotero.org/users/5659518/items/QWDV47I8"],"uri":["http://zotero.org/users/5659518/items/QWDV47I8"],"itemData":{"id":831,"type":"article-journal","abstract":"We show that testicular orphan nuclear receptor 4 (TR4) increases the expression of pyruvate carboxylase (PC) gene in 3T3-L1 adipocytes by direct binding to a TR4 responsive element in the murine PC promoter. While TR4 overexpression increased PC activity, oxaloacetate (OAA) and glycerol levels with enhanced incorporation of 14C from 14C-pyruvate into fatty acids in 3T3-L1 adipocytes, PC knockdown by short interfering RNA (siRNA) or inhibition of PC activity by phenylacetic acid (PAA) abolished TR4-enhanced fatty acid synthesis. Moreover, TR4 microRNA reduced PC expression with decreased fatty acid synthesis in 3T3-L1 adipocytes, suggesting that TR4-mediated enhancement of fatty acid synthesis in adipocytes requires increased expression of PC gene.","container-title":"FEBS Letters","DOI":"10.1016/j.febslet.2014.09.007","ISSN":"00145793","issue":"21","language":"en","page":"3947-3953","source":"DOI.org (Crossref)","title":"TR4 promotes fatty acid synthesis in 3T3-L1 adipocytes by activation of pyruvate carboxylase expression","volume":"588","author":[{"family":"Park","given":"Sung-Soo"},{"family":"Kim","given":"Seung-Jin"},{"family":"Choi","given":"Hojung"},{"family":"Chang","given":"Chawnshang"},{"family":"Kim","given":"Eungseok"}],"issued":{"date-parts":[["2014",11,3]]}}}],"schema":"https://github.com/citation-style-language/schema/raw/master/csl-citation.json"} </w:instrText>
      </w:r>
      <w:r>
        <w:fldChar w:fldCharType="separate"/>
      </w:r>
      <w:r w:rsidR="00324ACE" w:rsidRPr="00324ACE">
        <w:rPr>
          <w:vertAlign w:val="superscript"/>
        </w:rPr>
        <w:t>3</w:t>
      </w:r>
      <w:r>
        <w:fldChar w:fldCharType="end"/>
      </w:r>
      <w:r>
        <w:t xml:space="preserve">, and reduced expression of </w:t>
      </w:r>
      <w:proofErr w:type="spellStart"/>
      <w:r>
        <w:t>saposin</w:t>
      </w:r>
      <w:proofErr w:type="spellEnd"/>
      <w:r>
        <w:t>, involved in FA catabolism</w:t>
      </w:r>
      <w:r>
        <w:fldChar w:fldCharType="begin"/>
      </w:r>
      <w:r w:rsidR="00324ACE">
        <w:instrText xml:space="preserve"> ADDIN ZOTERO_ITEM CSL_CITATION {"citationID":"Cu5gVw0N","properties":{"formattedCitation":"\\super 4\\nosupersub{}","plainCitation":"4","noteIndex":0},"citationItems":[{"id":832,"uris":["http://zotero.org/users/5659518/items/ZZZDZ5UJ"],"uri":["http://zotero.org/users/5659518/items/ZZZDZ5UJ"],"itemData":{"id":832,"type":"article-journal","abstract":"Wolbachia are intracellular maternally inherited bacteria that can spread through insect populations and block virus transmission by mosquitoes, providing an important approach to dengue control. To better understand the mechanisms of virus inhibition, we here perform proteomic quantification of the effects of Wolbachia in Aedes aegypti mosquito cells and midgut. Perturbations are observed in vesicular trafficking, lipid metabolism and in the endoplasmic reticulum that could impact viral entry and replication. Wolbachia-infected cells display a differential cholesterol profile, including elevated levels of esterified cholesterol, that is consistent with perturbed intracellular cholesterol trafficking. Cyclodextrins have been shown to reverse lipid accumulation defects in cells with disrupted cholesterol homeostasis. Treatment of Wolbachia-infected Ae. aegypti cells with 2-hydroxypropyl-β-cyclodextrin restores dengue replication in Wolbachia-carrying cells, suggesting dengue is inhibited in Wolbachia-infected cells by localised cholesterol accumulation. These results demonstrate parallels between the cellular Wolbachia viral inhibition phenotype and lipid storage genetic disorders.","container-title":"Nature Communications","DOI":"10.1038/s41467-017-00610-8","ISSN":"2041-1723","issue":"1","language":"en","note":"number: 1\npublisher: Nature Publishing Group","page":"526","source":"www.nature.com","title":"Perturbed cholesterol and vesicular trafficking associated with dengue blocking in Wolbachia -infected Aedes aegypti cells","volume":"8","author":[{"family":"Geoghegan","given":"Vincent"},{"family":"Stainton","given":"Kirsty"},{"family":"Rainey","given":"Stephanie M."},{"family":"Ant","given":"Thomas H."},{"family":"Dowle","given":"Adam A."},{"family":"Larson","given":"Tony"},{"family":"Hester","given":"Svenja"},{"family":"Charles","given":"Philip D."},{"family":"Thomas","given":"Benjamin"},{"family":"Sinkins","given":"Steven P."}],"issued":{"date-parts":[["2017",9,13]]}}}],"schema":"https://github.com/citation-style-language/schema/raw/master/csl-citation.json"} </w:instrText>
      </w:r>
      <w:r>
        <w:fldChar w:fldCharType="separate"/>
      </w:r>
      <w:r w:rsidR="00324ACE" w:rsidRPr="00324ACE">
        <w:rPr>
          <w:vertAlign w:val="superscript"/>
        </w:rPr>
        <w:t>4</w:t>
      </w:r>
      <w:r>
        <w:fldChar w:fldCharType="end"/>
      </w:r>
      <w:r>
        <w:t xml:space="preserve">, </w:t>
      </w:r>
      <w:r w:rsidR="00763F9E">
        <w:t>suggest</w:t>
      </w:r>
      <w:r>
        <w:t xml:space="preserve"> that </w:t>
      </w:r>
      <w:r w:rsidR="00763F9E">
        <w:t xml:space="preserve">virus multiplication alters </w:t>
      </w:r>
      <w:r>
        <w:t>host lipid</w:t>
      </w:r>
      <w:r w:rsidR="00763F9E">
        <w:t xml:space="preserve"> metabolism</w:t>
      </w:r>
      <w:r>
        <w:fldChar w:fldCharType="begin"/>
      </w:r>
      <w:r w:rsidR="00324ACE">
        <w:instrText xml:space="preserve"> ADDIN ZOTERO_ITEM CSL_CITATION {"citationID":"G7dpirVt","properties":{"formattedCitation":"\\super 5,6\\nosupersub{}","plainCitation":"5,6","noteIndex":0},"citationItems":[{"id":22,"uris":["http://zotero.org/users/5659518/items/HR8SXJTP"],"uri":["http://zotero.org/users/5659518/items/HR8SXJTP"],"itemData":{"id":22,"type":"article-journal","abstract":"West Nile virus (WNV) is a neurovirulent mosquito-borne flavivirus, which main natural hosts are birds but it also infects equines and humans, among other mammals. As in the case of other plus-stranded RNA viruses, WNV replication is associated to intracellular membrane rearrangements. Based on results obtained with a variety of viruses, different cellular processes have been shown to play important roles on these membrane rearrangements for efficient viral replication. As these processes are related to lipid metabolism, fatty acid synthesis, as well as generation of a specific lipid microenvironment enriched in phosphatidylinositol-4-phosphate (PI4P), has been associated to it in other viral models. In this study, intracellular membrane rearrangements following infection with a highly neurovirulent strain of WNV were addressed by means of electron and confocal microscopy. Infection of WNV, and specifically viral RNA replication, were dependent on fatty acid synthesis, as revealed by the inhibitory effect of cerulenin and C75, two pharmacological inhibitors of fatty acid synthase, a key enzyme of this process. However, WNV infection did not induce redistribution of PI4P lipids, and PI4P did not localize at viral replication complex. Even more, WNV multiplication was not inhibited by the use of the phosphatidylinositol-4-kinase inhibitor PIK93, while infection by the enterovirus Coxsackievirus B5 was reduced. Similar features were found when infection by other flavivirus, the Usutu virus (USUV), was analyzed. These features of WNV replication could help to design specific antiviral approaches against WNV and other related flaviviruses.","container-title":"PLoS ONE","DOI":"10.1371/journal.pone.0024970","ISSN":"1932-6203","issue":"9","journalAbbreviation":"PLoS One","note":"PMID: 21949814\nPMCID: PMC3176790","source":"PubMed Central","title":"West Nile Virus Replication Requires Fatty Acid Synthesis but Is Independent on Phosphatidylinositol-4-Phosphate Lipids","URL":"https://www.ncbi.nlm.nih.gov/pmc/articles/PMC3176790/","volume":"6","author":[{"family":"Martín-Acebes","given":"Miguel A."},{"family":"Blázquez","given":"Ana-Belén"},{"family":"Jiménez de Oya","given":"Nereida"},{"family":"Escribano-Romero","given":"Estela"},{"family":"Saiz","given":"Juan-Carlos"}],"accessed":{"date-parts":[["2019",4,8]]},"issued":{"date-parts":[["2011",9,20]]}}},{"id":126,"uris":["http://zotero.org/users/5659518/items/FFSJEWFE"],"uri":["http://zotero.org/users/5659518/items/FFSJEWFE"],"itemData":{"id":126,"type":"article-journal","container-title":"PLOS Pathogens","DOI":"10.1371/journal.ppat.1008199","ISSN":"1553-7374","issue":"12","journalAbbreviation":"PLoS Pathog","language":"en","page":"e1008199","source":"DOI.org (Crossref)","title":"Dengue virus reduces AGPAT1 expression to alter phospholipids and enhance infection in Aedes aegypti","volume":"15","author":[{"family":"Vial","given":"Thomas"},{"family":"Tan","given":"Wei-Lian"},{"family":"Wong Wei Xiang","given":"Benjamin"},{"family":"Missé","given":"Dorothée"},{"family":"Deharo","given":"Eric"},{"family":"Marti","given":"Guillaume"},{"family":"Pompon","given":"Julien"}],"editor":[{"family":"Randall","given":"Glenn"}],"issued":{"date-parts":[["2019",12,9]]}}}],"schema":"https://github.com/citation-style-language/schema/raw/master/csl-citation.json"} </w:instrText>
      </w:r>
      <w:r>
        <w:fldChar w:fldCharType="separate"/>
      </w:r>
      <w:r w:rsidR="00324ACE" w:rsidRPr="00324ACE">
        <w:rPr>
          <w:vertAlign w:val="superscript"/>
        </w:rPr>
        <w:t>5,6</w:t>
      </w:r>
      <w:r>
        <w:fldChar w:fldCharType="end"/>
      </w:r>
      <w:r>
        <w:t>. Aspartate amino transferase, the key enzyme in amino acid metabolism</w:t>
      </w:r>
      <w:r w:rsidR="000963B9">
        <w:t xml:space="preserve">, </w:t>
      </w:r>
      <w:r>
        <w:t>was upreg</w:t>
      </w:r>
      <w:r w:rsidR="00763F9E">
        <w:t>ulated by DENV</w:t>
      </w:r>
      <w:r w:rsidR="001D7354">
        <w:t>2 infection</w:t>
      </w:r>
      <w:r w:rsidR="00763F9E">
        <w:t xml:space="preserve"> in SG</w:t>
      </w:r>
      <w:r>
        <w:t xml:space="preserve"> as </w:t>
      </w:r>
      <w:r w:rsidR="00763F9E">
        <w:t>previously observed</w:t>
      </w:r>
      <w:r w:rsidR="000963B9">
        <w:t xml:space="preserve"> </w:t>
      </w:r>
      <w:r>
        <w:t>in dengue pat</w:t>
      </w:r>
      <w:r w:rsidR="00763F9E">
        <w:t>i</w:t>
      </w:r>
      <w:r>
        <w:t>ents</w:t>
      </w:r>
      <w:r>
        <w:fldChar w:fldCharType="begin"/>
      </w:r>
      <w:r w:rsidR="00324ACE">
        <w:instrText xml:space="preserve"> ADDIN ZOTERO_ITEM CSL_CITATION {"citationID":"EG6R2wEi","properties":{"formattedCitation":"\\super 7\\nosupersub{}","plainCitation":"7","noteIndex":0},"citationItems":[{"id":835,"uris":["http://zotero.org/users/5659518/items/2QL3UHZS"],"uri":["http://zotero.org/users/5659518/items/2QL3UHZS"],"itemData":{"id":835,"type":"article-journal","abstract":"Background Elevation of aspartate aminotransferase (AST) and alanine aminotransferase (ALT) is prominent in acute dengue illness. The World Health Organization (WHO) 2009 dengue guidelines defined AST or ALT≥1000 units/liter (U/L) as a criterion for severe dengue. We aimed to assess the clinical relevance and discriminatory value of AST or ALT for dengue hemorrhagic fever (DHF) and severe dengue. Methodology/Principal Findings We retrospectively studied and classified polymerase chain reaction positive dengue patients from 2006 to 2008 treated at Tan Tock Seng Hospital, Singapore according to WHO 1997 and 2009 criteria for dengue severity. Of 690 dengue patients, 31% had DHF and 24% severe dengue. Elevated AST and ALT occurred in 86% and 46%, respectively. Seven had AST or ALT≥1000 U/L. None had acute liver failure but one patient died. Median AST and ALT values were significantly higher with increasing dengue severity by both WHO 1997 and 2009 criteria. However, they were poorly discriminatory between non-severe and severe dengue (e.g., AST area under the receiver operating characteristic [ROC] curve = 0.62; 95% confidence interval [CI]: 0.57–0.67) and between dengue fever (DF) and DHF (AST area under the ROC curve = 0.56; 95% CI: 0.52–0.61). There was significant overlap in AST and ALT values among patients with dengue with or without warning signs and severe dengue, and between those with DF and DHF. Conclusions Although aminotransferase levels increased in conjunction with dengue severity, AST or ALT values did not discriminate between DF and DHF or non-severe and severe dengue.","container-title":"PLOS Neglected Tropical Diseases","DOI":"10.1371/journal.pntd.0001676","ISSN":"1935-2735","issue":"6","journalAbbreviation":"PLOS Neglected Tropical Diseases","language":"en","note":"publisher: Public Library of Science","page":"e1676","source":"PLoS Journals","title":"Clinical Relevance and Discriminatory Value of Elevated Liver Aminotransferase Levels for Dengue Severity","volume":"6","author":[{"family":"Lee","given":"Linda K."},{"family":"Gan","given":"Victor C."},{"family":"Lee","given":"Vernon J."},{"family":"Tan","given":"Adriana S."},{"family":"Leo","given":"Yee Sin"},{"family":"Lye","given":"David C."}],"issued":{"date-parts":[["2012",6,5]]}}}],"schema":"https://github.com/citation-style-language/schema/raw/master/csl-citation.json"} </w:instrText>
      </w:r>
      <w:r>
        <w:fldChar w:fldCharType="separate"/>
      </w:r>
      <w:r w:rsidR="00324ACE" w:rsidRPr="00324ACE">
        <w:rPr>
          <w:vertAlign w:val="superscript"/>
        </w:rPr>
        <w:t>7</w:t>
      </w:r>
      <w:r>
        <w:fldChar w:fldCharType="end"/>
      </w:r>
      <w:r>
        <w:t xml:space="preserve">. </w:t>
      </w:r>
    </w:p>
    <w:p w14:paraId="0D11F602" w14:textId="77777777" w:rsidR="005831ED" w:rsidRDefault="005831ED" w:rsidP="00763F9E">
      <w:pPr>
        <w:spacing w:line="480" w:lineRule="auto"/>
        <w:jc w:val="both"/>
      </w:pPr>
    </w:p>
    <w:p w14:paraId="051765ED" w14:textId="503C528C" w:rsidR="005831ED" w:rsidRPr="00274656" w:rsidRDefault="005831ED" w:rsidP="00274656">
      <w:pPr>
        <w:spacing w:line="480" w:lineRule="auto"/>
        <w:jc w:val="both"/>
        <w:rPr>
          <w:b/>
          <w:bCs/>
        </w:rPr>
      </w:pPr>
      <w:r w:rsidRPr="00274656">
        <w:rPr>
          <w:b/>
          <w:bCs/>
        </w:rPr>
        <w:t xml:space="preserve">DEPs related to </w:t>
      </w:r>
      <w:r w:rsidR="00E93012">
        <w:rPr>
          <w:b/>
          <w:bCs/>
        </w:rPr>
        <w:t>r</w:t>
      </w:r>
      <w:r w:rsidR="00D93D2C">
        <w:rPr>
          <w:b/>
          <w:bCs/>
        </w:rPr>
        <w:t xml:space="preserve">ibosome </w:t>
      </w:r>
      <w:r w:rsidR="00E93012">
        <w:rPr>
          <w:b/>
          <w:bCs/>
        </w:rPr>
        <w:t>s</w:t>
      </w:r>
      <w:r w:rsidR="00D93D2C">
        <w:rPr>
          <w:b/>
          <w:bCs/>
        </w:rPr>
        <w:t xml:space="preserve">tress and </w:t>
      </w:r>
      <w:r w:rsidR="00E93012">
        <w:rPr>
          <w:b/>
          <w:bCs/>
        </w:rPr>
        <w:t>m</w:t>
      </w:r>
      <w:r w:rsidR="00D93D2C">
        <w:rPr>
          <w:b/>
          <w:bCs/>
        </w:rPr>
        <w:t>itochondria (RSM)</w:t>
      </w:r>
    </w:p>
    <w:p w14:paraId="6DADD53D" w14:textId="49C87F36" w:rsidR="00525419" w:rsidRDefault="00763F9E" w:rsidP="00763F9E">
      <w:pPr>
        <w:spacing w:line="480" w:lineRule="auto"/>
        <w:jc w:val="both"/>
      </w:pPr>
      <w:r>
        <w:t>The modulation of several RSM-</w:t>
      </w:r>
      <w:r w:rsidR="00525419">
        <w:t xml:space="preserve">related proteins by all </w:t>
      </w:r>
      <w:r w:rsidR="00D93D2C">
        <w:t xml:space="preserve">the </w:t>
      </w:r>
      <w:r w:rsidR="00525419">
        <w:t xml:space="preserve">three viruses </w:t>
      </w:r>
      <w:r>
        <w:t>suggests</w:t>
      </w:r>
      <w:r w:rsidR="00525419">
        <w:t xml:space="preserve"> a disruption of intracellular redox homeostasis in response to infection. PDIs are essential components of endoplasmic reticulum </w:t>
      </w:r>
      <w:r>
        <w:t xml:space="preserve">(ER) </w:t>
      </w:r>
      <w:r w:rsidR="00525419">
        <w:t>and emerge as redox chaperone proteins that play key role</w:t>
      </w:r>
      <w:r>
        <w:t>s</w:t>
      </w:r>
      <w:r w:rsidR="00525419">
        <w:t xml:space="preserve"> in </w:t>
      </w:r>
      <w:r w:rsidR="00525419" w:rsidRPr="00D92430">
        <w:t xml:space="preserve">pathogen attachment-internalization, antigen processing in the ER/phagosome, and  regulation of </w:t>
      </w:r>
      <w:r w:rsidR="00525419">
        <w:t xml:space="preserve">reactive oxygen species </w:t>
      </w:r>
      <w:r w:rsidR="00525419" w:rsidRPr="00D92430">
        <w:t>production by N</w:t>
      </w:r>
      <w:r w:rsidR="00525419">
        <w:t>ADPH oxidases</w:t>
      </w:r>
      <w:r w:rsidR="00525419">
        <w:fldChar w:fldCharType="begin"/>
      </w:r>
      <w:r w:rsidR="00324ACE">
        <w:instrText xml:space="preserve"> ADDIN ZOTERO_ITEM CSL_CITATION {"citationID":"1igDEaA5","properties":{"formattedCitation":"\\super 8,9\\nosupersub{}","plainCitation":"8,9","noteIndex":0},"citationItems":[{"id":839,"uris":["http://zotero.org/users/5659518/items/QWS68A34"],"uri":["http://zotero.org/users/5659518/items/QWS68A34"],"itemData":{"id":839,"type":"article-journal","abstract":"Reactive oxygen species (ROS) production by immunological cells is known to cause damage to pathogens. Increasing evidence accumulated in the last decade has shown, however, that ROS (and redox signals) functionally regulate different cellular pathways in the host-pathogen interaction. These especially affect (i) pathogen entry through protein redox switches and redox modiﬁcation (i.e., intra- and interdisulﬁde and cysteine oxidation) and (ii) phagocytic ROS production via Nox family NADPH oxidase enzyme and the control of phagolysosome function with key implications for antigen processing. The protein disulﬁde isomerase (PDI) family of redox chaperones is closely involved in both processes and is also implicated in protein unfolding and trafﬁcking across the endoplasmic reticulum (ER) and towards the cytosol, a thiol-based redox locus for antigen processing. Here, we summarise examples of the cellular association of host PDI with different pathogens and explore the possible roles of pathogen PDIs in infection. A better understanding of these complex regulatory steps will provide insightful information on the redox role and coevolutional biological process, and assist the development of more speciﬁc therapeutic strategies in pathogen-mediated infections.","container-title":"The Scientific World JOURNAL","DOI":"10.1100/2011/289182","ISSN":"1537-744X","journalAbbreviation":"The Scientific World JOURNAL","language":"en","page":"1749-1761","source":"DOI.org (Crossref)","title":"Protein Disulfide Isomerase and Host-Pathogen Interaction","volume":"11","author":[{"family":"Stolf","given":"Beatriz S."},{"family":"Smyrnias","given":"Ioannis"},{"family":"Lopes","given":"Lucia R."},{"family":"Vendramin","given":"Alcione"},{"family":"Goto","given":"Hiro"},{"family":"Laurindo","given":"Francisco R. M."},{"family":"Shah","given":"Ajay M."},{"family":"Santos","given":"Celio X. C."}],"issued":{"date-parts":[["2011"]]}}},{"id":840,"uris":["http://zotero.org/users/5659518/items/TDN3K8EU"],"uri":["http://zotero.org/users/5659518/items/TDN3K8EU"],"itemData":{"id":840,"type":"article-journal","abstract":"One of several mechanisms that leads to the development of dengue hemorrhagic fever (DHF) and dengue shock syndrome (DSS) is called antibody-dependent enhancement (ADE). Monocytes can be infected by the ADE phenomenon, which occurs in dengue secondary infection. This study aimed to investigate the proteins involved in ADE of DENV infection in the human monocytic cell line U937. The phosphoproteins were used to perform and analyze for protein expression using mass spectrometry (GeLC-MS/MS). The differential phosphoproteins revealed 1131 altered proteins compared between isotype- and DENV-specific antibody-treated monocytes. The altered proteins revealed 558 upregulated proteins and 573 downregulated proteins. Protein disulfide isomerase (PDI), which is an enzyme that had a high-ranking fold change and that catalyzes the formation, breakage, and rearrangement of disulfide bonds within a protein molecule, was selected for further study. PDI was found to be important for dengue virus infectivity during the ADE model. The effect of PDI inhibition was also shown to be involved in the early stage of life cycle by time-of-drug-addition assay. These results suggest that PDI is important for protein translation and virion assembly of dengue virus during infection in human monocytes, and it may play a significant role as a chaperone to stabilize dengue protein synthesis.","container-title":"Viruses","DOI":"10.3390/v11020155","ISSN":"1999-4915","issue":"2","journalAbbreviation":"Viruses","language":"en","page":"155","source":"DOI.org (Crossref)","title":"Protein Disulfide Isomerase Inhibitor Suppresses Viral Replication and Production during Antibody-Dependent Enhancement of Dengue Virus Infection in Human Monocytic Cells","volume":"11","author":[{"family":"Rawarak","given":"Nantapon"},{"family":"Suttitheptumrong","given":"Aroonroong"},{"family":"Reamtong","given":"Onrapak"},{"family":"Boonnak","given":"Kobporn"},{"family":"Pattanakitsakul","given":"Sa-nga"}],"issued":{"date-parts":[["2019",2,13]]}}}],"schema":"https://github.com/citation-style-language/schema/raw/master/csl-citation.json"} </w:instrText>
      </w:r>
      <w:r w:rsidR="00525419">
        <w:fldChar w:fldCharType="separate"/>
      </w:r>
      <w:r w:rsidR="00324ACE" w:rsidRPr="00324ACE">
        <w:rPr>
          <w:vertAlign w:val="superscript"/>
        </w:rPr>
        <w:t>8,9</w:t>
      </w:r>
      <w:r w:rsidR="00525419">
        <w:fldChar w:fldCharType="end"/>
      </w:r>
      <w:r w:rsidR="00525419">
        <w:t xml:space="preserve">. Inhibition of PDI suppresses </w:t>
      </w:r>
      <w:r w:rsidR="00525419" w:rsidRPr="00B5660B">
        <w:t>viral replication and production during antibody</w:t>
      </w:r>
      <w:r w:rsidR="00525419">
        <w:t xml:space="preserve"> </w:t>
      </w:r>
      <w:r w:rsidR="00525419" w:rsidRPr="00B5660B">
        <w:t xml:space="preserve">dependent enhancement of </w:t>
      </w:r>
      <w:r w:rsidR="00525419">
        <w:t>DENV</w:t>
      </w:r>
      <w:r w:rsidR="001D7354">
        <w:t>2</w:t>
      </w:r>
      <w:r w:rsidR="00525419" w:rsidRPr="00B5660B">
        <w:t xml:space="preserve"> infection </w:t>
      </w:r>
      <w:r w:rsidR="00525419" w:rsidRPr="00B5660B">
        <w:lastRenderedPageBreak/>
        <w:t>in hu</w:t>
      </w:r>
      <w:r w:rsidR="00525419">
        <w:t>m</w:t>
      </w:r>
      <w:r w:rsidR="00525419" w:rsidRPr="00B5660B">
        <w:t xml:space="preserve">an </w:t>
      </w:r>
      <w:proofErr w:type="spellStart"/>
      <w:r w:rsidR="00525419" w:rsidRPr="00B5660B">
        <w:t>monocytic</w:t>
      </w:r>
      <w:proofErr w:type="spellEnd"/>
      <w:r w:rsidR="00525419" w:rsidRPr="00B5660B">
        <w:t xml:space="preserve"> cells</w:t>
      </w:r>
      <w:r w:rsidR="00525419">
        <w:fldChar w:fldCharType="begin"/>
      </w:r>
      <w:r w:rsidR="00324ACE">
        <w:instrText xml:space="preserve"> ADDIN ZOTERO_ITEM CSL_CITATION {"citationID":"ZQrKHY8t","properties":{"formattedCitation":"\\super 9\\nosupersub{}","plainCitation":"9","noteIndex":0},"citationItems":[{"id":840,"uris":["http://zotero.org/users/5659518/items/TDN3K8EU"],"uri":["http://zotero.org/users/5659518/items/TDN3K8EU"],"itemData":{"id":840,"type":"article-journal","abstract":"One of several mechanisms that leads to the development of dengue hemorrhagic fever (DHF) and dengue shock syndrome (DSS) is called antibody-dependent enhancement (ADE). Monocytes can be infected by the ADE phenomenon, which occurs in dengue secondary infection. This study aimed to investigate the proteins involved in ADE of DENV infection in the human monocytic cell line U937. The phosphoproteins were used to perform and analyze for protein expression using mass spectrometry (GeLC-MS/MS). The differential phosphoproteins revealed 1131 altered proteins compared between isotype- and DENV-specific antibody-treated monocytes. The altered proteins revealed 558 upregulated proteins and 573 downregulated proteins. Protein disulfide isomerase (PDI), which is an enzyme that had a high-ranking fold change and that catalyzes the formation, breakage, and rearrangement of disulfide bonds within a protein molecule, was selected for further study. PDI was found to be important for dengue virus infectivity during the ADE model. The effect of PDI inhibition was also shown to be involved in the early stage of life cycle by time-of-drug-addition assay. These results suggest that PDI is important for protein translation and virion assembly of dengue virus during infection in human monocytes, and it may play a significant role as a chaperone to stabilize dengue protein synthesis.","container-title":"Viruses","DOI":"10.3390/v11020155","ISSN":"1999-4915","issue":"2","journalAbbreviation":"Viruses","language":"en","page":"155","source":"DOI.org (Crossref)","title":"Protein Disulfide Isomerase Inhibitor Suppresses Viral Replication and Production during Antibody-Dependent Enhancement of Dengue Virus Infection in Human Monocytic Cells","volume":"11","author":[{"family":"Rawarak","given":"Nantapon"},{"family":"Suttitheptumrong","given":"Aroonroong"},{"family":"Reamtong","given":"Onrapak"},{"family":"Boonnak","given":"Kobporn"},{"family":"Pattanakitsakul","given":"Sa-nga"}],"issued":{"date-parts":[["2019",2,13]]}}}],"schema":"https://github.com/citation-style-language/schema/raw/master/csl-citation.json"} </w:instrText>
      </w:r>
      <w:r w:rsidR="00525419">
        <w:fldChar w:fldCharType="separate"/>
      </w:r>
      <w:r w:rsidR="00324ACE" w:rsidRPr="00324ACE">
        <w:rPr>
          <w:vertAlign w:val="superscript"/>
        </w:rPr>
        <w:t>9</w:t>
      </w:r>
      <w:r w:rsidR="00525419">
        <w:fldChar w:fldCharType="end"/>
      </w:r>
      <w:r w:rsidR="00525419">
        <w:t xml:space="preserve">. </w:t>
      </w:r>
      <w:r>
        <w:t xml:space="preserve">Finally, </w:t>
      </w:r>
      <w:r w:rsidR="00525419">
        <w:t>increased expression of enzymatic anti-oxidant, TPX2</w:t>
      </w:r>
      <w:r w:rsidR="00525419">
        <w:fldChar w:fldCharType="begin"/>
      </w:r>
      <w:r w:rsidR="00324ACE">
        <w:instrText xml:space="preserve"> ADDIN ZOTERO_ITEM CSL_CITATION {"citationID":"5gVDm22f","properties":{"formattedCitation":"\\super 10\\nosupersub{}","plainCitation":"10","noteIndex":0},"citationItems":[{"id":843,"uris":["http://zotero.org/users/5659518/items/KN9IRKUB"],"uri":["http://zotero.org/users/5659518/items/KN9IRKUB"],"itemData":{"id":843,"type":"article-journal","abstract":"Five peroxiredoxin genes have been identiﬁed in Drosophila melanogaster on the basis of a genome-wide search. Three of the genes (DPx-4156, DPx-4783, and DPx-5037) fall into the 2-Cys subgroup, while the other two (DPx-2540 and DPx-6005) belong to the 1-Cys subgroup. Using cDNAs, all ﬁve were expressed in E. coli and the puriﬁed recombinant proteins were shown to reduce H2O2 in the presence of dithiothreitol. The three 2-Cys Prx were also shown to be active in the thioredoxin system and were, consequently, classiﬁed as thioredoxin peroxidases. Antisera raised against the DPx-4783 recombinant protein crossreacted with all family members and recognized protein species of the predicted sizes (22–27 kD). All ﬁve family members, when individually overexpressed in Drosophila S2 cells, conferred some resistance to H2O2 treatment, as measured by cell viability. Functional diversiﬁcation of the Drosophila peroxiredoxin family members was suggested by two lines of evidence: (i) the patterns of mRNA accumulation varied for the different genes during development and (ii) recombinant proteins fused to an epitope tag and overexpressed in Drosophila cells, differed in subcellular localizations—three proteins occurred in the cytosol, one was localized to the mitochondria, and one was found to be secreted. © 2001 Elsevier Science Inc.","container-title":"Free Radical Biology and Medicine","DOI":"10.1016/S0891-5849(01)00692-X","ISSN":"08915849","issue":"9","journalAbbreviation":"Free Radical Biology and Medicine","language":"en","page":"1090-1100","source":"DOI.org (Crossref)","title":"The peroxiredoxin gene family in drosophila melanogaster","volume":"31","author":[{"family":"Radyuk","given":"Svetlana N."},{"family":"Klichko","given":"Vladimir I."},{"family":"Spinola","given":"Benedetta"},{"family":"Sohal","given":"Rajindar S."},{"family":"Orr","given":"William C."}],"issued":{"date-parts":[["2001",11]]}}}],"schema":"https://github.com/citation-style-language/schema/raw/master/csl-citation.json"} </w:instrText>
      </w:r>
      <w:r w:rsidR="00525419">
        <w:fldChar w:fldCharType="separate"/>
      </w:r>
      <w:r w:rsidR="00324ACE" w:rsidRPr="00324ACE">
        <w:rPr>
          <w:vertAlign w:val="superscript"/>
        </w:rPr>
        <w:t>10</w:t>
      </w:r>
      <w:r w:rsidR="00525419">
        <w:fldChar w:fldCharType="end"/>
      </w:r>
      <w:r w:rsidR="00525419">
        <w:t>, by CHIKV</w:t>
      </w:r>
      <w:r w:rsidR="001D7354">
        <w:t xml:space="preserve"> infection</w:t>
      </w:r>
      <w:r w:rsidR="00525419">
        <w:t xml:space="preserve"> implies a defensive action to protect oxidative damage.</w:t>
      </w:r>
    </w:p>
    <w:p w14:paraId="13036ACD" w14:textId="77777777" w:rsidR="00C15CA9" w:rsidRDefault="00C15CA9" w:rsidP="00C15CA9">
      <w:pPr>
        <w:spacing w:line="480" w:lineRule="auto"/>
        <w:jc w:val="both"/>
        <w:rPr>
          <w:b/>
          <w:bCs/>
        </w:rPr>
      </w:pPr>
    </w:p>
    <w:p w14:paraId="041F8B55" w14:textId="2BC50E63" w:rsidR="00C15CA9" w:rsidRDefault="00C15CA9" w:rsidP="00D81914">
      <w:pPr>
        <w:spacing w:line="480" w:lineRule="auto"/>
        <w:jc w:val="both"/>
        <w:rPr>
          <w:b/>
          <w:bCs/>
        </w:rPr>
      </w:pPr>
      <w:r>
        <w:rPr>
          <w:b/>
          <w:bCs/>
        </w:rPr>
        <w:t>Re-</w:t>
      </w:r>
      <w:r w:rsidRPr="00793028">
        <w:rPr>
          <w:b/>
          <w:bCs/>
        </w:rPr>
        <w:t xml:space="preserve">annotation of </w:t>
      </w:r>
      <w:r>
        <w:rPr>
          <w:b/>
          <w:bCs/>
        </w:rPr>
        <w:t>SGBAP (</w:t>
      </w:r>
      <w:r w:rsidRPr="00793028">
        <w:rPr>
          <w:b/>
          <w:bCs/>
        </w:rPr>
        <w:t>AAEL019996</w:t>
      </w:r>
      <w:r>
        <w:rPr>
          <w:b/>
          <w:bCs/>
        </w:rPr>
        <w:t>)</w:t>
      </w:r>
      <w:r w:rsidRPr="006E1CBC">
        <w:rPr>
          <w:b/>
          <w:bCs/>
        </w:rPr>
        <w:t xml:space="preserve"> on </w:t>
      </w:r>
      <w:proofErr w:type="spellStart"/>
      <w:r w:rsidR="008D186B">
        <w:rPr>
          <w:b/>
          <w:bCs/>
        </w:rPr>
        <w:t>VectorBase</w:t>
      </w:r>
      <w:proofErr w:type="spellEnd"/>
      <w:r w:rsidR="008D186B" w:rsidRPr="006E1CBC">
        <w:rPr>
          <w:b/>
          <w:bCs/>
        </w:rPr>
        <w:t xml:space="preserve"> </w:t>
      </w:r>
      <w:proofErr w:type="spellStart"/>
      <w:r w:rsidRPr="006E1CBC">
        <w:rPr>
          <w:b/>
          <w:bCs/>
        </w:rPr>
        <w:t>AAegL</w:t>
      </w:r>
      <w:proofErr w:type="spellEnd"/>
      <w:r w:rsidRPr="006E1CBC">
        <w:rPr>
          <w:b/>
          <w:bCs/>
        </w:rPr>
        <w:t xml:space="preserve"> 5.3</w:t>
      </w:r>
    </w:p>
    <w:p w14:paraId="66294518" w14:textId="5BAF7C98" w:rsidR="00AE3D63" w:rsidRDefault="00427C45" w:rsidP="00C15CA9">
      <w:pPr>
        <w:spacing w:line="480" w:lineRule="auto"/>
        <w:jc w:val="both"/>
      </w:pPr>
      <w:r w:rsidRPr="008B574C">
        <w:t>R</w:t>
      </w:r>
      <w:r w:rsidR="00AE3D63" w:rsidRPr="008B574C">
        <w:t xml:space="preserve">e-annotation </w:t>
      </w:r>
      <w:r w:rsidRPr="008B574C">
        <w:t xml:space="preserve">of AAEL019996 nucleotide sequence </w:t>
      </w:r>
      <w:r w:rsidR="00AE3D63" w:rsidRPr="008B574C">
        <w:t xml:space="preserve">were made to </w:t>
      </w:r>
      <w:r w:rsidRPr="008B574C">
        <w:t>accommodate all theoretical and experimental observations.</w:t>
      </w:r>
      <w:r>
        <w:t xml:space="preserve"> </w:t>
      </w:r>
    </w:p>
    <w:p w14:paraId="4930EAA2" w14:textId="2B718355" w:rsidR="00C15CA9" w:rsidRDefault="00C15CA9" w:rsidP="00C15CA9">
      <w:pPr>
        <w:spacing w:line="480" w:lineRule="auto"/>
        <w:jc w:val="both"/>
      </w:pPr>
      <w:r>
        <w:t xml:space="preserve">Translation initiation site (TIS): TIS can be predicted by correct Kozak sequence </w:t>
      </w:r>
      <w:r w:rsidRPr="00F94B85">
        <w:t xml:space="preserve">G/AXXATGG. </w:t>
      </w:r>
      <w:r w:rsidR="00427C45">
        <w:t>The current predicted</w:t>
      </w:r>
      <w:r w:rsidRPr="00F94B85">
        <w:t xml:space="preserve"> </w:t>
      </w:r>
      <w:r>
        <w:t xml:space="preserve">TIS for has </w:t>
      </w:r>
      <w:proofErr w:type="spellStart"/>
      <w:r>
        <w:t>cXX</w:t>
      </w:r>
      <w:r w:rsidRPr="00EE5681">
        <w:rPr>
          <w:u w:val="single"/>
        </w:rPr>
        <w:t>ATG</w:t>
      </w:r>
      <w:r>
        <w:t>G</w:t>
      </w:r>
      <w:proofErr w:type="spellEnd"/>
      <w:r>
        <w:t xml:space="preserve"> sequence (highlighted in </w:t>
      </w:r>
      <w:r w:rsidR="0098354A">
        <w:t>t</w:t>
      </w:r>
      <w:r>
        <w:t>eal</w:t>
      </w:r>
      <w:r w:rsidR="0098354A">
        <w:t xml:space="preserve"> blue</w:t>
      </w:r>
      <w:r>
        <w:t>, Fig</w:t>
      </w:r>
      <w:r w:rsidR="0098354A">
        <w:t>.</w:t>
      </w:r>
      <w:r w:rsidR="000D3425">
        <w:t xml:space="preserve"> S</w:t>
      </w:r>
      <w:r w:rsidR="00350939">
        <w:t>5</w:t>
      </w:r>
      <w:r>
        <w:t xml:space="preserve">), while </w:t>
      </w:r>
      <w:r w:rsidR="00427C45">
        <w:t xml:space="preserve">TIS </w:t>
      </w:r>
      <w:r>
        <w:t xml:space="preserve">starting at </w:t>
      </w:r>
      <w:r w:rsidR="002F7AE8">
        <w:t xml:space="preserve">position </w:t>
      </w:r>
      <w:r>
        <w:t xml:space="preserve">59 (highlighted in </w:t>
      </w:r>
      <w:r w:rsidR="00D93D2C">
        <w:t>purple</w:t>
      </w:r>
      <w:r>
        <w:t>, Fig</w:t>
      </w:r>
      <w:r w:rsidR="0098354A">
        <w:t>.</w:t>
      </w:r>
      <w:r w:rsidR="000D3425">
        <w:t xml:space="preserve"> </w:t>
      </w:r>
      <w:r w:rsidR="00D93D2C">
        <w:t>S5</w:t>
      </w:r>
      <w:r>
        <w:t xml:space="preserve">) shows ideal </w:t>
      </w:r>
      <w:proofErr w:type="spellStart"/>
      <w:r>
        <w:t>Kozak</w:t>
      </w:r>
      <w:proofErr w:type="spellEnd"/>
      <w:r>
        <w:t xml:space="preserve"> sequence </w:t>
      </w:r>
      <w:r w:rsidRPr="00551023">
        <w:t>AXX</w:t>
      </w:r>
      <w:r w:rsidRPr="00EE5681">
        <w:t>ATG</w:t>
      </w:r>
      <w:r w:rsidRPr="00551023">
        <w:t>G</w:t>
      </w:r>
      <w:r w:rsidR="006578C9">
        <w:fldChar w:fldCharType="begin"/>
      </w:r>
      <w:r w:rsidR="00324ACE">
        <w:instrText xml:space="preserve"> ADDIN ZOTERO_ITEM CSL_CITATION {"citationID":"cplIZmjW","properties":{"formattedCitation":"\\super 11,12\\nosupersub{}","plainCitation":"11,12","noteIndex":0},"citationItems":[{"id":958,"uris":["http://zotero.org/users/5659518/items/EX5W227N"],"uri":["http://zotero.org/users/5659518/items/EX5W227N"],"itemData":{"id":958,"type":"article-journal","abstract":"By analyzing the effects of single base substitutions around the ATG initiator codon in a cloned preproinsulin gene, I have identified ACCATGG as the optimal sequence for initiation by eukaryotic ribosomes. Mutations within that sequence modulate the yield of proinsulin over a 20-fold range. A purine in position -3 (i.e., 3 nucleotides upstream from the ATG codon) has a dominant effect; when a pyrimidine replaces the purine in position -3, translation becomes more sensitive to changes in positions -1, -2, and +4. Single base substitutions around an upstream, out-of-frame ATG codon affect the efficiency with which it acts as a barrier to initiating at the downstream start site for preproinsulin. The optimal sequence for initiation defined by mutagenesis is identical to the consensus sequence that emerged previously from surveys of translational start sites in eukaryotic mRNAs. The mechanism by which nucleotides flanking the ATG codon might exert their effect is discussed.","container-title":"Cell","DOI":"10.1016/0092-8674(86)90762-2","ISSN":"0092-8674","issue":"2","journalAbbreviation":"Cell","language":"eng","note":"PMID: 3943125","page":"283-292","source":"PubMed","title":"Point mutations define a sequence flanking the AUG initiator codon that modulates translation by eukaryotic ribosomes","volume":"44","author":[{"family":"Kozak","given":"M."}],"issued":{"date-parts":[["1986",1,31]]}}},{"id":957,"uris":["http://zotero.org/users/5659518/items/HJ32JB89"],"uri":["http://zotero.org/users/5659518/items/HJ32JB89"],"itemData":{"id":957,"type":"webpage","title":"Possible role of flanking nucleotides in recognition of the AUG initiator codon by eukaryotic ribosomes.","URL":"https://www-ncbi-nlm-nih-gov.libproxy1.nus.edu.sg/pmc/articles/PMC327517/","accessed":{"date-parts":[["2021",5,24]]}}}],"schema":"https://github.com/citation-style-language/schema/raw/master/csl-citation.json"} </w:instrText>
      </w:r>
      <w:r w:rsidR="006578C9">
        <w:fldChar w:fldCharType="separate"/>
      </w:r>
      <w:r w:rsidR="00324ACE" w:rsidRPr="00324ACE">
        <w:rPr>
          <w:vertAlign w:val="superscript"/>
        </w:rPr>
        <w:t>11,12</w:t>
      </w:r>
      <w:r w:rsidR="006578C9">
        <w:fldChar w:fldCharType="end"/>
      </w:r>
      <w:r>
        <w:t>. Further, signal peptide (SP) cannot be predicted from current protein sequence starting</w:t>
      </w:r>
      <w:r w:rsidRPr="00906B64">
        <w:t xml:space="preserve"> </w:t>
      </w:r>
      <w:r>
        <w:t>MDSAA</w:t>
      </w:r>
      <w:r w:rsidR="002F7AE8">
        <w:t xml:space="preserve"> (</w:t>
      </w:r>
      <w:r w:rsidR="006578C9">
        <w:t xml:space="preserve">highlighted </w:t>
      </w:r>
      <w:r w:rsidR="0098354A">
        <w:t xml:space="preserve">in </w:t>
      </w:r>
      <w:r w:rsidR="006578C9">
        <w:t>grey</w:t>
      </w:r>
      <w:r w:rsidR="002F7AE8">
        <w:t>, Fig</w:t>
      </w:r>
      <w:r w:rsidR="0098354A">
        <w:t>.</w:t>
      </w:r>
      <w:r w:rsidR="000D3425">
        <w:t xml:space="preserve"> </w:t>
      </w:r>
      <w:r w:rsidR="00A67442">
        <w:t>S5</w:t>
      </w:r>
      <w:r w:rsidR="002F7AE8">
        <w:t>)</w:t>
      </w:r>
      <w:r>
        <w:t>, whereas SP can be predicted from the re-annotated protein sequence</w:t>
      </w:r>
      <w:r w:rsidR="002F7AE8">
        <w:t xml:space="preserve"> (</w:t>
      </w:r>
      <w:r w:rsidR="006578C9">
        <w:t xml:space="preserve">highlighted </w:t>
      </w:r>
      <w:r w:rsidR="0098354A">
        <w:t xml:space="preserve">in </w:t>
      </w:r>
      <w:r w:rsidR="006578C9">
        <w:t>red</w:t>
      </w:r>
      <w:r w:rsidR="002F7AE8">
        <w:t>, Fig</w:t>
      </w:r>
      <w:r w:rsidR="0098354A">
        <w:t>.</w:t>
      </w:r>
      <w:r w:rsidR="000D3425">
        <w:t xml:space="preserve"> </w:t>
      </w:r>
      <w:r w:rsidR="00A67442">
        <w:t>S5</w:t>
      </w:r>
      <w:r w:rsidR="002F7AE8">
        <w:t>)</w:t>
      </w:r>
      <w:r>
        <w:t xml:space="preserve"> starting from</w:t>
      </w:r>
      <w:r w:rsidR="00427C45">
        <w:t xml:space="preserve"> re-annotated</w:t>
      </w:r>
      <w:r>
        <w:t xml:space="preserve"> MVALG (highlighted in grey, Fig</w:t>
      </w:r>
      <w:r w:rsidR="00A67442">
        <w:t>.</w:t>
      </w:r>
      <w:r w:rsidR="000D3425">
        <w:t xml:space="preserve"> </w:t>
      </w:r>
      <w:r w:rsidR="00A67442">
        <w:t>S5</w:t>
      </w:r>
      <w:r>
        <w:t>)</w:t>
      </w:r>
      <w:r w:rsidR="00191A31">
        <w:t xml:space="preserve"> using </w:t>
      </w:r>
      <w:proofErr w:type="spellStart"/>
      <w:r w:rsidR="00191A31">
        <w:t>SignalP</w:t>
      </w:r>
      <w:proofErr w:type="spellEnd"/>
      <w:r w:rsidR="00191A31">
        <w:t xml:space="preserve"> 5.0</w:t>
      </w:r>
      <w:r>
        <w:t>. This TIS was also predicted in an earlier study</w:t>
      </w:r>
      <w:r w:rsidR="002F7AE8">
        <w:fldChar w:fldCharType="begin"/>
      </w:r>
      <w:r w:rsidR="00324ACE">
        <w:instrText xml:space="preserve"> ADDIN ZOTERO_ITEM CSL_CITATION {"citationID":"ZxcrqeFc","properties":{"formattedCitation":"\\super 13\\nosupersub{}","plainCitation":"13","noteIndex":0},"citationItems":[{"id":724,"uris":["http://zotero.org/users/5659518/items/T5W3P5J9"],"uri":["http://zotero.org/users/5659518/items/T5W3P5J9"],"itemData":{"id":724,"type":"article-journal","abstract":"Background: Saliva of blood-sucking arthropods contains a cocktail of antihemostatic agents and immunomodulators that help blood feeding. Mosquitoes additionally feed on sugar meals and have specialized regions of their glands containing glycosidases and antimicrobials that might help control bacterial growth in the ingested meals. To expand our knowledge on the salivary cocktail of Ædes ægypti, a vector of dengue and yellow fevers, we analyzed a set of 4,232 expressed sequence tags from cDNA libraries of adult female mosquitoes.\nResults: A nonredundant catalogue of 614 transcripts (573 of which are novel) is described, including 136 coding for proteins of a putative secretory nature. Additionally, a two-dimensional gel electrophoresis of salivary gland (SG) homogenates followed by tryptic digestion of selected protein bands and MS/MS analysis revealed the expression of 24 proteins. Analysis of tissue-specific transcription of a subset of these genes revealed at least 31 genes whose expression is specific or enriched in female SG, whereas 24 additional genes were expressed in female SG and in males but not in other female tissues. Most of the 55 proteins coded by these SG transcripts have no known function and represent high-priority candidates for expression and functional analysis as antihemostatic or antimicrobial agents. An unexpected finding is the occurrence of four protein families specific to SG that were probably a product of horizontal transfer from prokaryotic organisms to mosquitoes.\nConclusion: Overall, this paper contributes to the novel identification of 573 new transcripts, or near 3% of the Æ. ægypti proteome assuming a 20,000-protein set, and to the best-described sialome of any blood-feeding insect.","container-title":"BMC Genomics","DOI":"10.1186/1471-2164-8-6","ISSN":"1471-2164","issue":"1","journalAbbreviation":"BMC Genomics","language":"en","page":"6","source":"DOI.org (Crossref)","title":"An annotated catalogue of salivary gland transcripts in the adult female mosquito, Ædes ægypti*","volume":"8","author":[{"family":"Ribeiro","given":"José MC"},{"family":"Arcà","given":"Bruno"},{"family":"Lombardo","given":"Fabrizio"},{"family":"Calvo","given":"Eric"},{"literal":"Van My Phan"},{"family":"Chandra","given":"Prafulla K"},{"family":"Wikel","given":"Stephen K"}],"issued":{"date-parts":[["2007",12]]}}}],"schema":"https://github.com/citation-style-language/schema/raw/master/csl-citation.json"} </w:instrText>
      </w:r>
      <w:r w:rsidR="002F7AE8">
        <w:fldChar w:fldCharType="separate"/>
      </w:r>
      <w:r w:rsidR="00324ACE" w:rsidRPr="00324ACE">
        <w:rPr>
          <w:vertAlign w:val="superscript"/>
        </w:rPr>
        <w:t>13</w:t>
      </w:r>
      <w:r w:rsidR="002F7AE8">
        <w:fldChar w:fldCharType="end"/>
      </w:r>
      <w:r w:rsidR="002F7AE8">
        <w:t>.</w:t>
      </w:r>
    </w:p>
    <w:p w14:paraId="3E807FD4" w14:textId="264D1079" w:rsidR="007B3268" w:rsidRDefault="00C15CA9" w:rsidP="00EE5681">
      <w:pPr>
        <w:spacing w:line="480" w:lineRule="auto"/>
        <w:ind w:firstLine="720"/>
        <w:jc w:val="both"/>
      </w:pPr>
      <w:r>
        <w:t xml:space="preserve">Prediction of intron: </w:t>
      </w:r>
      <w:r w:rsidR="00AB46F2">
        <w:t>The p</w:t>
      </w:r>
      <w:r w:rsidRPr="00793028">
        <w:t>redicted intron (highlighted</w:t>
      </w:r>
      <w:r w:rsidR="0098354A">
        <w:t xml:space="preserve"> in</w:t>
      </w:r>
      <w:r w:rsidRPr="00793028">
        <w:t xml:space="preserve"> yellow</w:t>
      </w:r>
      <w:r w:rsidR="002F7AE8">
        <w:t xml:space="preserve">, </w:t>
      </w:r>
      <w:r w:rsidR="0098354A">
        <w:t>Fig.</w:t>
      </w:r>
      <w:r w:rsidR="000D3425">
        <w:t xml:space="preserve"> </w:t>
      </w:r>
      <w:r w:rsidR="00A67442">
        <w:t>S5</w:t>
      </w:r>
      <w:r w:rsidRPr="00793028">
        <w:t xml:space="preserve">) </w:t>
      </w:r>
      <w:r w:rsidR="000E12FB">
        <w:t xml:space="preserve">does not have canonical splice sites, i.e. it </w:t>
      </w:r>
      <w:r w:rsidRPr="00793028">
        <w:t>has neither the GT at the 5’ nor AG at the 3’ end</w:t>
      </w:r>
      <w:r w:rsidR="000E12FB">
        <w:fldChar w:fldCharType="begin"/>
      </w:r>
      <w:r w:rsidR="00324ACE">
        <w:instrText xml:space="preserve"> ADDIN ZOTERO_ITEM CSL_CITATION {"citationID":"GYkuBZvc","properties":{"formattedCitation":"\\super 14,15\\nosupersub{}","plainCitation":"14,15","noteIndex":0},"citationItems":[{"id":949,"uris":["http://zotero.org/users/5659518/items/UJNF2CAB"],"uri":["http://zotero.org/users/5659518/items/UJNF2CAB"],"itemData":{"id":949,"type":"article-journal","container-title":"Annual Review of Biochemistry","DOI":"10.1146/annurev.bi.50.070181.002025","ISSN":"0066-4154","journalAbbreviation":"Annu Rev Biochem","language":"eng","note":"PMID: 6791577","page":"349-383","source":"PubMed","title":"Organization and expression of eucaryotic split genes coding for proteins","volume":"50","author":[{"family":"Breathnach","given":"R."},{"family":"Chambon","given":"P."}],"issued":{"date-parts":[["1981"]]}}},{"id":948,"uris":["http://zotero.org/users/5659518/items/KGCM2PWC"],"uri":["http://zotero.org/users/5659518/items/KGCM2PWC"],"itemData":{"id":948,"type":"webpage","title":"Ovalbumin gene: evidence for a leader sequence in mRNA and DNA sequences at the exon-intron boundaries.","URL":"https://www-ncbi-nlm-nih-gov.libproxy1.nus.edu.sg/pmc/articles/PMC336219/","accessed":{"date-parts":[["2021",5,21]]}}}],"schema":"https://github.com/citation-style-language/schema/raw/master/csl-citation.json"} </w:instrText>
      </w:r>
      <w:r w:rsidR="000E12FB">
        <w:fldChar w:fldCharType="separate"/>
      </w:r>
      <w:r w:rsidR="00324ACE" w:rsidRPr="00324ACE">
        <w:rPr>
          <w:vertAlign w:val="superscript"/>
        </w:rPr>
        <w:t>14,15</w:t>
      </w:r>
      <w:r w:rsidR="000E12FB">
        <w:fldChar w:fldCharType="end"/>
      </w:r>
      <w:r w:rsidRPr="00793028">
        <w:t xml:space="preserve">. </w:t>
      </w:r>
      <w:r>
        <w:t>It also lacks</w:t>
      </w:r>
      <w:r w:rsidR="000E12FB">
        <w:t xml:space="preserve"> the cis-acting </w:t>
      </w:r>
      <w:r w:rsidR="001C157F">
        <w:t>sequence, a</w:t>
      </w:r>
      <w:r>
        <w:t xml:space="preserve"> polypyr</w:t>
      </w:r>
      <w:r w:rsidR="002F7AE8">
        <w:t>i</w:t>
      </w:r>
      <w:r>
        <w:t>midine track at the 3’</w:t>
      </w:r>
      <w:r w:rsidR="00F966A7">
        <w:t xml:space="preserve"> </w:t>
      </w:r>
      <w:r>
        <w:t>end of the intron needed for splicing</w:t>
      </w:r>
      <w:r w:rsidR="001C157F">
        <w:fldChar w:fldCharType="begin"/>
      </w:r>
      <w:r w:rsidR="00324ACE">
        <w:instrText xml:space="preserve"> ADDIN ZOTERO_ITEM CSL_CITATION {"citationID":"GD1Yxr2Y","properties":{"formattedCitation":"\\super 16\\nosupersub{}","plainCitation":"16","noteIndex":0},"citationItems":[{"id":954,"uris":["http://zotero.org/users/5659518/items/QCIEIY4W"],"uri":["http://zotero.org/users/5659518/items/QCIEIY4W"],"itemData":{"id":954,"type":"article-journal","abstract":"The polypyrimidine tract is one of the important cis-acting sequence elements directing intron removal in pre-mRNA splicing. Progressive deletions of the polypyrimidine tract have been found to abolish correct lariat formation, spliceosome assembly and splicing. In addition, the polypyrimidine tract can alter 3'-splice site selection by promoting alternative branch site selection. However, there appears to be great flexibility in the specific sequence of a given tract. Not only the optimal composition of the polypyrimidine tract, but also the role of the tract in introns with no apparent polypyrimidine tracts or where changes in the tract are apparently harmless are uncertain. Accordingly, we have designed a series of cis-competition splicing constructs to test the functional competitive efficiency of a variety of systematically mutated polypyrimidine tracts. An RT/PCR assay was used to detect spliced product formation as a result of differential branch point selection dependent on direct competition between two opposing polypyrimidine tracts. We found that pyrimidine tracts containing 11 continuous uridines are the strongest pyrimidine tracts. In such cases, the position of the uridine stretch between the branch point and 3'-splice site AG is unimportant. In contrast, decreasing the continuous uridine stretch to five or six residues requires that the tract be located immediately adjacent to the AG for optimal competitive efficiency. The block to splicing with decreasing polypyrimidine tract strength is primarily prior to the first step of splicing. While lengthy continuous uridine tracts are the most competitive, tracts with decreased numbers of consecutive uridines and even tracts with alternating purine/pyrimidine residues can still function to promote branch point selection, but are far less effective competitors in 3'-splice site selection assays.","container-title":"Nucleic Acids Research","ISSN":"0305-1048","issue":"4","journalAbbreviation":"Nucleic Acids Res","note":"PMID: 9016643\nPMCID: PMC146492","page":"888-896","source":"PubMed Central","title":"Functional analysis of the polypyrimidine tract in pre-mRNA splicing.","volume":"25","author":[{"family":"Coolidge","given":"C J"},{"family":"Seely","given":"R J"},{"family":"Patton","given":"J G"}],"issued":{"date-parts":[["1997",2,15]]}}}],"schema":"https://github.com/citation-style-language/schema/raw/master/csl-citation.json"} </w:instrText>
      </w:r>
      <w:r w:rsidR="001C157F">
        <w:fldChar w:fldCharType="separate"/>
      </w:r>
      <w:r w:rsidR="00324ACE" w:rsidRPr="00324ACE">
        <w:rPr>
          <w:vertAlign w:val="superscript"/>
        </w:rPr>
        <w:t>16</w:t>
      </w:r>
      <w:r w:rsidR="001C157F">
        <w:fldChar w:fldCharType="end"/>
      </w:r>
      <w:r>
        <w:t xml:space="preserve">. </w:t>
      </w:r>
      <w:r w:rsidRPr="00CF0237">
        <w:t xml:space="preserve">Thus, </w:t>
      </w:r>
      <w:r w:rsidR="00F966A7">
        <w:t>the intro</w:t>
      </w:r>
      <w:r w:rsidR="00AB46F2">
        <w:t>n</w:t>
      </w:r>
      <w:r w:rsidRPr="00CF0237">
        <w:t xml:space="preserve"> is incorrectly annotated. </w:t>
      </w:r>
      <w:r w:rsidR="00AB46F2">
        <w:t>In addition</w:t>
      </w:r>
      <w:r>
        <w:t>, mRNA sequenc</w:t>
      </w:r>
      <w:r w:rsidR="00F966A7">
        <w:t>ing</w:t>
      </w:r>
      <w:r>
        <w:t xml:space="preserve"> supports the presence of the transcript</w:t>
      </w:r>
      <w:r w:rsidR="002F7AE8">
        <w:t>s</w:t>
      </w:r>
      <w:r>
        <w:t xml:space="preserve"> </w:t>
      </w:r>
      <w:r w:rsidR="00441A20">
        <w:t xml:space="preserve">that fit the re-annotated sequence </w:t>
      </w:r>
      <w:r w:rsidRPr="002F7AE8">
        <w:t xml:space="preserve">(NCBI </w:t>
      </w:r>
      <w:r w:rsidRPr="0098354A">
        <w:rPr>
          <w:shd w:val="clear" w:color="auto" w:fill="FFFFFF"/>
        </w:rPr>
        <w:t>GenBank</w:t>
      </w:r>
      <w:r w:rsidR="002F7AE8" w:rsidRPr="0098354A">
        <w:rPr>
          <w:shd w:val="clear" w:color="auto" w:fill="FFFFFF"/>
        </w:rPr>
        <w:t xml:space="preserve"> accession No</w:t>
      </w:r>
      <w:r w:rsidRPr="0098354A">
        <w:t xml:space="preserve">: </w:t>
      </w:r>
      <w:r w:rsidRPr="002F7AE8">
        <w:t>DQ440144.1</w:t>
      </w:r>
      <w:r w:rsidR="007B3268">
        <w:t xml:space="preserve"> and</w:t>
      </w:r>
      <w:r w:rsidR="002F7AE8">
        <w:t xml:space="preserve"> </w:t>
      </w:r>
      <w:r w:rsidR="002F7AE8" w:rsidRPr="00C3707E">
        <w:t>DQ440</w:t>
      </w:r>
      <w:r w:rsidR="002F7AE8">
        <w:t>022.1</w:t>
      </w:r>
      <w:r>
        <w:t>)</w:t>
      </w:r>
      <w:r w:rsidR="002F7AE8">
        <w:fldChar w:fldCharType="begin"/>
      </w:r>
      <w:r w:rsidR="00324ACE">
        <w:instrText xml:space="preserve"> ADDIN ZOTERO_ITEM CSL_CITATION {"citationID":"Na2fqpmW","properties":{"formattedCitation":"\\super 13\\nosupersub{}","plainCitation":"13","noteIndex":0},"citationItems":[{"id":724,"uris":["http://zotero.org/users/5659518/items/T5W3P5J9"],"uri":["http://zotero.org/users/5659518/items/T5W3P5J9"],"itemData":{"id":724,"type":"article-journal","abstract":"Background: Saliva of blood-sucking arthropods contains a cocktail of antihemostatic agents and immunomodulators that help blood feeding. Mosquitoes additionally feed on sugar meals and have specialized regions of their glands containing glycosidases and antimicrobials that might help control bacterial growth in the ingested meals. To expand our knowledge on the salivary cocktail of Ædes ægypti, a vector of dengue and yellow fevers, we analyzed a set of 4,232 expressed sequence tags from cDNA libraries of adult female mosquitoes.\nResults: A nonredundant catalogue of 614 transcripts (573 of which are novel) is described, including 136 coding for proteins of a putative secretory nature. Additionally, a two-dimensional gel electrophoresis of salivary gland (SG) homogenates followed by tryptic digestion of selected protein bands and MS/MS analysis revealed the expression of 24 proteins. Analysis of tissue-specific transcription of a subset of these genes revealed at least 31 genes whose expression is specific or enriched in female SG, whereas 24 additional genes were expressed in female SG and in males but not in other female tissues. Most of the 55 proteins coded by these SG transcripts have no known function and represent high-priority candidates for expression and functional analysis as antihemostatic or antimicrobial agents. An unexpected finding is the occurrence of four protein families specific to SG that were probably a product of horizontal transfer from prokaryotic organisms to mosquitoes.\nConclusion: Overall, this paper contributes to the novel identification of 573 new transcripts, or near 3% of the Æ. ægypti proteome assuming a 20,000-protein set, and to the best-described sialome of any blood-feeding insect.","container-title":"BMC Genomics","DOI":"10.1186/1471-2164-8-6","ISSN":"1471-2164","issue":"1","journalAbbreviation":"BMC Genomics","language":"en","page":"6","source":"DOI.org (Crossref)","title":"An annotated catalogue of salivary gland transcripts in the adult female mosquito, Ædes ægypti*","volume":"8","author":[{"family":"Ribeiro","given":"José MC"},{"family":"Arcà","given":"Bruno"},{"family":"Lombardo","given":"Fabrizio"},{"family":"Calvo","given":"Eric"},{"literal":"Van My Phan"},{"family":"Chandra","given":"Prafulla K"},{"family":"Wikel","given":"Stephen K"}],"issued":{"date-parts":[["2007",12]]}}}],"schema":"https://github.com/citation-style-language/schema/raw/master/csl-citation.json"} </w:instrText>
      </w:r>
      <w:r w:rsidR="002F7AE8">
        <w:fldChar w:fldCharType="separate"/>
      </w:r>
      <w:r w:rsidR="00324ACE" w:rsidRPr="00324ACE">
        <w:rPr>
          <w:vertAlign w:val="superscript"/>
        </w:rPr>
        <w:t>13</w:t>
      </w:r>
      <w:r w:rsidR="002F7AE8">
        <w:fldChar w:fldCharType="end"/>
      </w:r>
      <w:r w:rsidR="002F7AE8">
        <w:t xml:space="preserve"> and t</w:t>
      </w:r>
      <w:r>
        <w:t xml:space="preserve">he authors identified </w:t>
      </w:r>
      <w:r w:rsidR="007B3268">
        <w:t>one of them</w:t>
      </w:r>
      <w:r>
        <w:t xml:space="preserve"> </w:t>
      </w:r>
      <w:r w:rsidR="007B3268">
        <w:t>(</w:t>
      </w:r>
      <w:r w:rsidR="007B3268" w:rsidRPr="002F7AE8">
        <w:t>DQ440144.1</w:t>
      </w:r>
      <w:r w:rsidR="007B3268">
        <w:t xml:space="preserve">) </w:t>
      </w:r>
      <w:r>
        <w:t xml:space="preserve">as encoding </w:t>
      </w:r>
      <w:r w:rsidR="0098354A">
        <w:t xml:space="preserve">a </w:t>
      </w:r>
      <w:r>
        <w:t>truncated 34</w:t>
      </w:r>
      <w:r w:rsidR="002F7AE8">
        <w:t xml:space="preserve"> </w:t>
      </w:r>
      <w:r>
        <w:t>kDa</w:t>
      </w:r>
      <w:r w:rsidR="002F7AE8">
        <w:t xml:space="preserve"> family</w:t>
      </w:r>
      <w:r>
        <w:t xml:space="preserve"> protein. </w:t>
      </w:r>
      <w:r w:rsidRPr="00CF0237">
        <w:t xml:space="preserve">Without this intron, SGBAP </w:t>
      </w:r>
      <w:r>
        <w:t xml:space="preserve">protein sequence continues as shown </w:t>
      </w:r>
      <w:r w:rsidR="00441A20">
        <w:t xml:space="preserve">and </w:t>
      </w:r>
      <w:r>
        <w:t xml:space="preserve">the </w:t>
      </w:r>
      <w:r w:rsidR="00F966A7">
        <w:t>re-annotated</w:t>
      </w:r>
      <w:r>
        <w:t xml:space="preserve"> sequence</w:t>
      </w:r>
      <w:r w:rsidR="00441A20">
        <w:t xml:space="preserve"> supported by the mass spectral data</w:t>
      </w:r>
      <w:r>
        <w:t xml:space="preserve">. </w:t>
      </w:r>
    </w:p>
    <w:p w14:paraId="5EF19666" w14:textId="77777777" w:rsidR="00C3603F" w:rsidRDefault="00C3603F" w:rsidP="00441A20">
      <w:pPr>
        <w:spacing w:line="480" w:lineRule="auto"/>
        <w:ind w:firstLine="720"/>
        <w:jc w:val="both"/>
      </w:pPr>
    </w:p>
    <w:p w14:paraId="10E6147D" w14:textId="0A2CD917" w:rsidR="00C15CA9" w:rsidRDefault="007B3268" w:rsidP="00EE5681">
      <w:pPr>
        <w:spacing w:line="480" w:lineRule="auto"/>
        <w:ind w:firstLine="720"/>
        <w:jc w:val="both"/>
      </w:pPr>
      <w:r>
        <w:t>Mass</w:t>
      </w:r>
      <w:r w:rsidR="00441A20">
        <w:t xml:space="preserve"> </w:t>
      </w:r>
      <w:r>
        <w:t xml:space="preserve">spectrometry data: </w:t>
      </w:r>
      <w:r w:rsidR="00C15CA9" w:rsidRPr="006E1CBC">
        <w:t xml:space="preserve">Our </w:t>
      </w:r>
      <w:r w:rsidR="00C15CA9">
        <w:t>MS/MS</w:t>
      </w:r>
      <w:r w:rsidR="00C15CA9" w:rsidRPr="006E1CBC">
        <w:t xml:space="preserve"> data identified </w:t>
      </w:r>
      <w:r w:rsidR="00C15CA9">
        <w:t>two</w:t>
      </w:r>
      <w:r w:rsidR="002F7AE8">
        <w:t xml:space="preserve"> unique</w:t>
      </w:r>
      <w:r w:rsidR="00C15CA9">
        <w:t xml:space="preserve"> peptides in the </w:t>
      </w:r>
      <w:r w:rsidR="00F966A7">
        <w:t>current</w:t>
      </w:r>
      <w:r w:rsidR="00C15CA9">
        <w:t xml:space="preserve"> sequence and three </w:t>
      </w:r>
      <w:r w:rsidR="00C15CA9" w:rsidRPr="006E1CBC">
        <w:t xml:space="preserve">peptides </w:t>
      </w:r>
      <w:r w:rsidR="00C15CA9">
        <w:t>i</w:t>
      </w:r>
      <w:r w:rsidR="00C15CA9" w:rsidRPr="006E1CBC">
        <w:t xml:space="preserve">n the </w:t>
      </w:r>
      <w:r w:rsidR="00F966A7">
        <w:t>re-annotated</w:t>
      </w:r>
      <w:r w:rsidR="00C15CA9" w:rsidRPr="006E1CBC">
        <w:t xml:space="preserve"> </w:t>
      </w:r>
      <w:r w:rsidR="00C15CA9">
        <w:t xml:space="preserve">protein </w:t>
      </w:r>
      <w:r w:rsidR="00C15CA9" w:rsidRPr="006E1CBC">
        <w:t>sequence</w:t>
      </w:r>
      <w:r w:rsidR="00C15CA9">
        <w:t xml:space="preserve"> (</w:t>
      </w:r>
      <w:r w:rsidR="002F7AE8">
        <w:t xml:space="preserve">highlighted </w:t>
      </w:r>
      <w:r w:rsidR="00F966A7">
        <w:t xml:space="preserve">in </w:t>
      </w:r>
      <w:r w:rsidR="002F7AE8">
        <w:t xml:space="preserve">green, </w:t>
      </w:r>
      <w:r w:rsidR="00C15CA9">
        <w:t>Fig</w:t>
      </w:r>
      <w:r w:rsidR="00F966A7">
        <w:t>.</w:t>
      </w:r>
      <w:r w:rsidR="000D3425">
        <w:t xml:space="preserve"> </w:t>
      </w:r>
      <w:r w:rsidR="00A67442">
        <w:lastRenderedPageBreak/>
        <w:t>S5</w:t>
      </w:r>
      <w:r w:rsidR="00C15CA9">
        <w:t>)</w:t>
      </w:r>
      <w:r w:rsidR="00C15CA9" w:rsidRPr="006E1CBC">
        <w:t>.</w:t>
      </w:r>
      <w:r w:rsidR="00C15CA9">
        <w:t xml:space="preserve"> The third peptide is located in the </w:t>
      </w:r>
      <w:r w:rsidR="00F966A7">
        <w:t>re-annotated</w:t>
      </w:r>
      <w:r w:rsidR="00C15CA9">
        <w:t xml:space="preserve"> protein sequence</w:t>
      </w:r>
      <w:r w:rsidR="00F966A7">
        <w:t xml:space="preserve">, </w:t>
      </w:r>
      <w:r w:rsidR="00C15CA9">
        <w:t>provid</w:t>
      </w:r>
      <w:r w:rsidR="00F966A7">
        <w:t>ing</w:t>
      </w:r>
      <w:r w:rsidR="00C15CA9">
        <w:t xml:space="preserve"> direct experimental evidence for the re-</w:t>
      </w:r>
      <w:r w:rsidR="00F966A7">
        <w:t>annotated</w:t>
      </w:r>
      <w:r w:rsidR="00C15CA9">
        <w:t xml:space="preserve"> sequence. The </w:t>
      </w:r>
      <w:r w:rsidR="00F966A7">
        <w:t>re-annotated protein</w:t>
      </w:r>
      <w:r w:rsidR="00441A20">
        <w:t>, but not the current predicted protein,</w:t>
      </w:r>
      <w:r w:rsidR="00F966A7">
        <w:t xml:space="preserve"> contains a second </w:t>
      </w:r>
      <w:proofErr w:type="spellStart"/>
      <w:r w:rsidR="00F966A7">
        <w:t>Cys</w:t>
      </w:r>
      <w:proofErr w:type="spellEnd"/>
      <w:r>
        <w:t xml:space="preserve"> </w:t>
      </w:r>
      <w:r w:rsidR="00C15CA9">
        <w:t xml:space="preserve">residue </w:t>
      </w:r>
      <w:r w:rsidR="00F966A7">
        <w:t>(</w:t>
      </w:r>
      <w:r w:rsidR="00B03E6A">
        <w:t>position 113</w:t>
      </w:r>
      <w:r w:rsidR="00F966A7">
        <w:t>, Fig.</w:t>
      </w:r>
      <w:r w:rsidR="000D3425">
        <w:t xml:space="preserve"> </w:t>
      </w:r>
      <w:r w:rsidR="00890D2A">
        <w:t>S5</w:t>
      </w:r>
      <w:r w:rsidR="00F966A7">
        <w:t>), which</w:t>
      </w:r>
      <w:r w:rsidR="00C15CA9">
        <w:t xml:space="preserve"> may form </w:t>
      </w:r>
      <w:r w:rsidR="00F966A7">
        <w:t>a</w:t>
      </w:r>
      <w:r w:rsidR="00C15CA9">
        <w:t xml:space="preserve"> </w:t>
      </w:r>
      <w:proofErr w:type="spellStart"/>
      <w:r w:rsidR="00C15CA9">
        <w:t>disulfide</w:t>
      </w:r>
      <w:proofErr w:type="spellEnd"/>
      <w:r w:rsidR="00C15CA9">
        <w:t xml:space="preserve"> bond with the </w:t>
      </w:r>
      <w:r w:rsidR="00B03E6A">
        <w:t>other</w:t>
      </w:r>
      <w:r w:rsidR="00C15CA9">
        <w:t xml:space="preserve"> </w:t>
      </w:r>
      <w:proofErr w:type="spellStart"/>
      <w:r w:rsidR="00C15CA9">
        <w:t>Cys</w:t>
      </w:r>
      <w:proofErr w:type="spellEnd"/>
      <w:r w:rsidR="00B03E6A">
        <w:t xml:space="preserve"> (position 67</w:t>
      </w:r>
      <w:r>
        <w:t>, Fig.</w:t>
      </w:r>
      <w:r w:rsidR="000D3425">
        <w:t xml:space="preserve"> </w:t>
      </w:r>
      <w:r w:rsidR="00890D2A">
        <w:t>S5</w:t>
      </w:r>
      <w:r>
        <w:t>)</w:t>
      </w:r>
      <w:r w:rsidR="00C15CA9">
        <w:t xml:space="preserve">. </w:t>
      </w:r>
    </w:p>
    <w:p w14:paraId="23744AC3" w14:textId="77777777" w:rsidR="004B3026" w:rsidRDefault="004B3026" w:rsidP="007C2BC3">
      <w:pPr>
        <w:spacing w:line="480" w:lineRule="auto"/>
        <w:jc w:val="both"/>
      </w:pPr>
    </w:p>
    <w:p w14:paraId="19CAF781" w14:textId="736922C0" w:rsidR="005831ED" w:rsidRDefault="007B2489" w:rsidP="007C2BC3">
      <w:pPr>
        <w:spacing w:line="480" w:lineRule="auto"/>
        <w:rPr>
          <w:b/>
          <w:bCs/>
        </w:rPr>
      </w:pPr>
      <w:r>
        <w:rPr>
          <w:b/>
          <w:bCs/>
        </w:rPr>
        <w:t>S</w:t>
      </w:r>
      <w:r w:rsidR="00507160">
        <w:rPr>
          <w:b/>
          <w:bCs/>
        </w:rPr>
        <w:t>upplementary figure legends</w:t>
      </w:r>
    </w:p>
    <w:p w14:paraId="42ADDFEC" w14:textId="77777777" w:rsidR="004B3026" w:rsidRDefault="004B3026" w:rsidP="007C2BC3">
      <w:pPr>
        <w:spacing w:line="480" w:lineRule="auto"/>
        <w:rPr>
          <w:b/>
          <w:bCs/>
        </w:rPr>
      </w:pPr>
    </w:p>
    <w:p w14:paraId="1A85CA29" w14:textId="564F8AE9" w:rsidR="000F3A82" w:rsidRDefault="000F3A82" w:rsidP="007C2BC3">
      <w:pPr>
        <w:spacing w:line="480" w:lineRule="auto"/>
      </w:pPr>
      <w:r w:rsidRPr="004B0523">
        <w:rPr>
          <w:b/>
          <w:bCs/>
        </w:rPr>
        <w:t>F</w:t>
      </w:r>
      <w:r w:rsidR="00507160">
        <w:rPr>
          <w:b/>
          <w:bCs/>
        </w:rPr>
        <w:t>ig</w:t>
      </w:r>
      <w:r w:rsidR="00890D2A">
        <w:rPr>
          <w:b/>
          <w:bCs/>
        </w:rPr>
        <w:t>.</w:t>
      </w:r>
      <w:r w:rsidR="007B2489">
        <w:rPr>
          <w:b/>
          <w:bCs/>
        </w:rPr>
        <w:t xml:space="preserve"> </w:t>
      </w:r>
      <w:r w:rsidR="00416491">
        <w:rPr>
          <w:b/>
          <w:bCs/>
        </w:rPr>
        <w:t>S1</w:t>
      </w:r>
      <w:r w:rsidR="008F7B9D">
        <w:rPr>
          <w:b/>
          <w:bCs/>
        </w:rPr>
        <w:t>.</w:t>
      </w:r>
      <w:r w:rsidRPr="004B0523">
        <w:rPr>
          <w:b/>
          <w:bCs/>
        </w:rPr>
        <w:t xml:space="preserve"> </w:t>
      </w:r>
      <w:r w:rsidRPr="00416491">
        <w:t xml:space="preserve">Comparisons of </w:t>
      </w:r>
      <w:r w:rsidRPr="00416491">
        <w:rPr>
          <w:i/>
          <w:iCs/>
        </w:rPr>
        <w:t>A. aegypti</w:t>
      </w:r>
      <w:r w:rsidRPr="00416491">
        <w:t xml:space="preserve"> SG proteome between our dataset and two previous studies.</w:t>
      </w:r>
      <w:r w:rsidR="00EE596E" w:rsidRPr="006C6324">
        <w:t xml:space="preserve"> </w:t>
      </w:r>
      <w:r w:rsidR="006C6324" w:rsidRPr="006C6324">
        <w:t>(</w:t>
      </w:r>
      <w:r w:rsidR="00890D2A">
        <w:rPr>
          <w:b/>
          <w:bCs/>
        </w:rPr>
        <w:t>a</w:t>
      </w:r>
      <w:r w:rsidR="006C6324" w:rsidRPr="006C6324">
        <w:t>)</w:t>
      </w:r>
      <w:r w:rsidR="00890D2A">
        <w:rPr>
          <w:b/>
          <w:bCs/>
        </w:rPr>
        <w:t xml:space="preserve"> </w:t>
      </w:r>
      <w:r w:rsidRPr="0003794B">
        <w:t>Venn</w:t>
      </w:r>
      <w:r w:rsidRPr="004B0523">
        <w:t xml:space="preserve"> diagram between </w:t>
      </w:r>
      <w:r>
        <w:t xml:space="preserve">SG proteins detected in </w:t>
      </w:r>
      <w:r w:rsidRPr="004B0523">
        <w:t>(</w:t>
      </w:r>
      <w:proofErr w:type="spellStart"/>
      <w:r w:rsidRPr="004B0523">
        <w:t>i</w:t>
      </w:r>
      <w:proofErr w:type="spellEnd"/>
      <w:r w:rsidRPr="004B0523">
        <w:t xml:space="preserve">) Singapore </w:t>
      </w:r>
      <w:r w:rsidRPr="004B0523">
        <w:rPr>
          <w:i/>
          <w:iCs/>
        </w:rPr>
        <w:t>A. aegypti</w:t>
      </w:r>
      <w:r w:rsidRPr="004B0523">
        <w:t xml:space="preserve"> colony (this study) and (ii) India </w:t>
      </w:r>
      <w:r w:rsidRPr="004B0523">
        <w:rPr>
          <w:i/>
          <w:iCs/>
        </w:rPr>
        <w:t>A. aegypti</w:t>
      </w:r>
      <w:r w:rsidRPr="004B0523">
        <w:t xml:space="preserve"> colony</w:t>
      </w:r>
      <w:r>
        <w:fldChar w:fldCharType="begin"/>
      </w:r>
      <w:r w:rsidR="00324ACE">
        <w:instrText xml:space="preserve"> ADDIN ZOTERO_ITEM CSL_CITATION {"citationID":"SFBYwCKS","properties":{"formattedCitation":"\\super 17\\nosupersub{}","plainCitation":"17","noteIndex":0},"citationItems":[{"id":115,"uris":["http://zotero.org/users/5659518/items/WX52LTLJ"],"uri":["http://zotero.org/users/5659518/items/WX52LTLJ"],"itemData":{"id":115,"type":"article-journal","container-title":"OMICS: A Journal of Integrative Biology","DOI":"10.1089/omi.2016.0160","ISSN":"1557-8100","issue":"1","journalAbbreviation":"OMICS: A Journal of Integrative Biology","language":"en","page":"45-54","source":"DOI.org (Crossref)","title":"Mosquito-Borne Diseases and Omics: Salivary Gland Proteome of the Female &lt;i&gt;Aedes aegypti&lt;/i&gt; Mosquito","title-short":"Mosquito-Borne Diseases and Omics","volume":"21","author":[{"family":"Dhawan","given":"Rakhi"},{"family":"Kumar","given":"Manish"},{"family":"Mohanty","given":"Ajeet Kumar"},{"family":"Dey","given":"Gourav"},{"family":"Advani","given":"Jayshree"},{"family":"Prasad","given":"T.S. Keshava"},{"family":"Kumar","given":"Ashwani"}],"issued":{"date-parts":[["2017",1]]}}}],"schema":"https://github.com/citation-style-language/schema/raw/master/csl-citation.json"} </w:instrText>
      </w:r>
      <w:r>
        <w:fldChar w:fldCharType="separate"/>
      </w:r>
      <w:r w:rsidR="00324ACE" w:rsidRPr="00324ACE">
        <w:rPr>
          <w:vertAlign w:val="superscript"/>
        </w:rPr>
        <w:t>17</w:t>
      </w:r>
      <w:r>
        <w:fldChar w:fldCharType="end"/>
      </w:r>
      <w:r w:rsidRPr="004B0523">
        <w:t xml:space="preserve">. </w:t>
      </w:r>
      <w:r>
        <w:t>In the comparison,</w:t>
      </w:r>
      <w:r w:rsidRPr="004B0523">
        <w:t xml:space="preserve"> </w:t>
      </w:r>
      <w:r>
        <w:t>we o</w:t>
      </w:r>
      <w:r w:rsidRPr="004B0523">
        <w:t>nly</w:t>
      </w:r>
      <w:r>
        <w:t xml:space="preserve"> used the</w:t>
      </w:r>
      <w:r w:rsidRPr="004B0523">
        <w:t xml:space="preserve"> 721 proteins from </w:t>
      </w:r>
      <w:r w:rsidRPr="004B0523">
        <w:rPr>
          <w:i/>
          <w:iCs/>
        </w:rPr>
        <w:t>Dhawan et al.</w:t>
      </w:r>
      <w:r w:rsidRPr="004B0523">
        <w:t xml:space="preserve"> 2017</w:t>
      </w:r>
      <w:r>
        <w:fldChar w:fldCharType="begin"/>
      </w:r>
      <w:r w:rsidR="00324ACE">
        <w:instrText xml:space="preserve"> ADDIN ZOTERO_ITEM CSL_CITATION {"citationID":"vK7W6Res","properties":{"formattedCitation":"\\super 17\\nosupersub{}","plainCitation":"17","noteIndex":0},"citationItems":[{"id":115,"uris":["http://zotero.org/users/5659518/items/WX52LTLJ"],"uri":["http://zotero.org/users/5659518/items/WX52LTLJ"],"itemData":{"id":115,"type":"article-journal","container-title":"OMICS: A Journal of Integrative Biology","DOI":"10.1089/omi.2016.0160","ISSN":"1557-8100","issue":"1","journalAbbreviation":"OMICS: A Journal of Integrative Biology","language":"en","page":"45-54","source":"DOI.org (Crossref)","title":"Mosquito-Borne Diseases and Omics: Salivary Gland Proteome of the Female &lt;i&gt;Aedes aegypti&lt;/i&gt; Mosquito","title-short":"Mosquito-Borne Diseases and Omics","volume":"21","author":[{"family":"Dhawan","given":"Rakhi"},{"family":"Kumar","given":"Manish"},{"family":"Mohanty","given":"Ajeet Kumar"},{"family":"Dey","given":"Gourav"},{"family":"Advani","given":"Jayshree"},{"family":"Prasad","given":"T.S. Keshava"},{"family":"Kumar","given":"Ashwani"}],"issued":{"date-parts":[["2017",1]]}}}],"schema":"https://github.com/citation-style-language/schema/raw/master/csl-citation.json"} </w:instrText>
      </w:r>
      <w:r>
        <w:fldChar w:fldCharType="separate"/>
      </w:r>
      <w:r w:rsidR="00324ACE" w:rsidRPr="00324ACE">
        <w:rPr>
          <w:vertAlign w:val="superscript"/>
        </w:rPr>
        <w:t>17</w:t>
      </w:r>
      <w:r>
        <w:fldChar w:fldCharType="end"/>
      </w:r>
      <w:r>
        <w:t xml:space="preserve"> with </w:t>
      </w:r>
      <w:r w:rsidRPr="004B0523">
        <w:t xml:space="preserve">at least </w:t>
      </w:r>
      <w:r w:rsidR="00EE596E">
        <w:t>two</w:t>
      </w:r>
      <w:r w:rsidR="00EE596E" w:rsidRPr="004B0523">
        <w:t xml:space="preserve"> </w:t>
      </w:r>
      <w:r w:rsidRPr="004B0523">
        <w:t xml:space="preserve">unique peptides. </w:t>
      </w:r>
      <w:r w:rsidR="006C6324">
        <w:t>(</w:t>
      </w:r>
      <w:r w:rsidR="00890D2A" w:rsidRPr="006C6324">
        <w:rPr>
          <w:b/>
        </w:rPr>
        <w:t>b</w:t>
      </w:r>
      <w:r w:rsidR="006C6324" w:rsidRPr="006C6324">
        <w:rPr>
          <w:bCs/>
        </w:rPr>
        <w:t>)</w:t>
      </w:r>
      <w:r w:rsidR="00890D2A" w:rsidRPr="006C6324">
        <w:rPr>
          <w:bCs/>
        </w:rPr>
        <w:t>.</w:t>
      </w:r>
      <w:r w:rsidR="00890D2A">
        <w:t xml:space="preserve"> </w:t>
      </w:r>
      <w:r w:rsidRPr="004B0523">
        <w:t>Venn diagram between (</w:t>
      </w:r>
      <w:proofErr w:type="spellStart"/>
      <w:r w:rsidRPr="004B0523">
        <w:t>i</w:t>
      </w:r>
      <w:proofErr w:type="spellEnd"/>
      <w:r w:rsidRPr="004B0523">
        <w:t>)</w:t>
      </w:r>
      <w:r>
        <w:t xml:space="preserve"> SG proteins in</w:t>
      </w:r>
      <w:r w:rsidRPr="004B0523">
        <w:t xml:space="preserve"> Singapore </w:t>
      </w:r>
      <w:r w:rsidRPr="004B0523">
        <w:rPr>
          <w:i/>
          <w:iCs/>
        </w:rPr>
        <w:t>A. aegypti</w:t>
      </w:r>
      <w:r w:rsidRPr="004B0523">
        <w:t xml:space="preserve"> colony (this study) and (iii) </w:t>
      </w:r>
      <w:r>
        <w:t xml:space="preserve">saliva protein in </w:t>
      </w:r>
      <w:r w:rsidRPr="004B0523">
        <w:t>Rockefeller</w:t>
      </w:r>
      <w:r w:rsidRPr="004B0523">
        <w:rPr>
          <w:i/>
          <w:iCs/>
        </w:rPr>
        <w:t xml:space="preserve"> A. aegypti</w:t>
      </w:r>
      <w:r w:rsidRPr="004B0523">
        <w:t xml:space="preserve"> colony</w:t>
      </w:r>
      <w:r>
        <w:fldChar w:fldCharType="begin"/>
      </w:r>
      <w:r w:rsidR="00324ACE">
        <w:instrText xml:space="preserve"> ADDIN ZOTERO_ITEM CSL_CITATION {"citationID":"vdC8Rl59","properties":{"formattedCitation":"\\super 18\\nosupersub{}","plainCitation":"18","noteIndex":0},"citationItems":[{"id":117,"uris":["http://zotero.org/users/5659518/items/XDQXC3MU"],"uri":["http://zotero.org/users/5659518/items/XDQXC3MU"],"itemData":{"id":117,"type":"article-journal","container-title":"Nature Communications","DOI":"10.1038/s41467-019-14115-z","ISSN":"2041-1723","issue":"1","journalAbbreviation":"Nat Commun","language":"en","page":"260","source":"DOI.org (Crossref)","title":"A mosquito salivary protein promotes flavivirus transmission by activation of autophagy","volume":"11","author":[{"family":"Sun","given":"Peng"},{"family":"Nie","given":"Kaixiao"},{"family":"Zhu","given":"Yibin"},{"family":"Liu","given":"Yang"},{"family":"Wu","given":"Pa"},{"family":"Liu","given":"Ziwen"},{"family":"Du","given":"Senyan"},{"family":"Fan","given":"Huahao"},{"family":"Chen","given":"Chun-Hong"},{"family":"Zhang","given":"Renli"},{"family":"Wang","given":"Penghua"},{"family":"Cheng","given":"Gong"}],"issued":{"date-parts":[["2020",12]]}}}],"schema":"https://github.com/citation-style-language/schema/raw/master/csl-citation.json"} </w:instrText>
      </w:r>
      <w:r>
        <w:fldChar w:fldCharType="separate"/>
      </w:r>
      <w:r w:rsidR="00324ACE" w:rsidRPr="00324ACE">
        <w:rPr>
          <w:vertAlign w:val="superscript"/>
        </w:rPr>
        <w:t>18</w:t>
      </w:r>
      <w:r>
        <w:fldChar w:fldCharType="end"/>
      </w:r>
      <w:r w:rsidRPr="004B0523">
        <w:t>.</w:t>
      </w:r>
    </w:p>
    <w:p w14:paraId="19A94683" w14:textId="77777777" w:rsidR="000F3A82" w:rsidRPr="004B0523" w:rsidRDefault="000F3A82" w:rsidP="007C2BC3">
      <w:pPr>
        <w:spacing w:line="480" w:lineRule="auto"/>
      </w:pPr>
    </w:p>
    <w:p w14:paraId="0E02CB3C" w14:textId="29109E70" w:rsidR="000F3A82" w:rsidRDefault="000F3A82" w:rsidP="007C2BC3">
      <w:pPr>
        <w:spacing w:line="480" w:lineRule="auto"/>
      </w:pPr>
      <w:r w:rsidRPr="004B0523">
        <w:t xml:space="preserve"> </w:t>
      </w:r>
    </w:p>
    <w:p w14:paraId="1C3B86C1" w14:textId="09174FFE" w:rsidR="000F3A82" w:rsidRDefault="004C013B" w:rsidP="007C2BC3">
      <w:pPr>
        <w:spacing w:line="480" w:lineRule="auto"/>
      </w:pPr>
      <w:r w:rsidRPr="00B001D0">
        <w:rPr>
          <w:b/>
        </w:rPr>
        <w:t>F</w:t>
      </w:r>
      <w:r w:rsidR="00507160">
        <w:rPr>
          <w:b/>
        </w:rPr>
        <w:t>ig</w:t>
      </w:r>
      <w:r w:rsidR="00890D2A">
        <w:rPr>
          <w:b/>
        </w:rPr>
        <w:t>.</w:t>
      </w:r>
      <w:r w:rsidRPr="00B001D0">
        <w:rPr>
          <w:b/>
        </w:rPr>
        <w:t xml:space="preserve"> S2</w:t>
      </w:r>
      <w:r>
        <w:t xml:space="preserve">. Heat map showing </w:t>
      </w:r>
      <w:r w:rsidR="002F0540">
        <w:t>protein</w:t>
      </w:r>
      <w:r>
        <w:t xml:space="preserve"> regulation</w:t>
      </w:r>
      <w:r w:rsidR="002F0540">
        <w:t>s</w:t>
      </w:r>
      <w:r>
        <w:t xml:space="preserve"> in response to DENV2, ZIKV and CHIKV infection</w:t>
      </w:r>
      <w:r w:rsidR="00890D2A">
        <w:t>s</w:t>
      </w:r>
      <w:r>
        <w:t xml:space="preserve"> in </w:t>
      </w:r>
      <w:r w:rsidR="00890D2A">
        <w:t>SG</w:t>
      </w:r>
      <w:r>
        <w:t xml:space="preserve">. </w:t>
      </w:r>
      <w:r w:rsidR="002F0540">
        <w:t>Differentially expressed proteins were considered when fold change relative to control was above 1.5</w:t>
      </w:r>
      <w:r w:rsidR="00350939">
        <w:t xml:space="preserve"> or below 0.67</w:t>
      </w:r>
      <w:r w:rsidR="002F0540">
        <w:t>.</w:t>
      </w:r>
    </w:p>
    <w:p w14:paraId="024F65A1" w14:textId="77777777" w:rsidR="004C013B" w:rsidRDefault="004C013B" w:rsidP="007C2BC3">
      <w:pPr>
        <w:spacing w:line="480" w:lineRule="auto"/>
      </w:pPr>
    </w:p>
    <w:p w14:paraId="153A231D" w14:textId="19CF079F" w:rsidR="00F25370" w:rsidRDefault="008E2FF1" w:rsidP="00F25370">
      <w:pPr>
        <w:spacing w:line="480" w:lineRule="auto"/>
      </w:pPr>
      <w:r w:rsidRPr="004B0523">
        <w:rPr>
          <w:b/>
          <w:bCs/>
        </w:rPr>
        <w:t>F</w:t>
      </w:r>
      <w:r w:rsidR="00507160">
        <w:rPr>
          <w:b/>
          <w:bCs/>
        </w:rPr>
        <w:t>ig</w:t>
      </w:r>
      <w:r w:rsidR="00416491">
        <w:rPr>
          <w:b/>
          <w:bCs/>
        </w:rPr>
        <w:t xml:space="preserve"> S3</w:t>
      </w:r>
      <w:r w:rsidR="00F25370" w:rsidRPr="00E36AB0">
        <w:rPr>
          <w:b/>
          <w:bCs/>
        </w:rPr>
        <w:t xml:space="preserve">. </w:t>
      </w:r>
      <w:r w:rsidR="00F25370" w:rsidRPr="00416491">
        <w:t>Silencing efficiencies in SG.</w:t>
      </w:r>
      <w:r w:rsidR="00F25370" w:rsidRPr="00F25370">
        <w:rPr>
          <w:b/>
          <w:bCs/>
        </w:rPr>
        <w:t xml:space="preserve"> </w:t>
      </w:r>
      <w:r w:rsidR="00F25370" w:rsidRPr="00F25370">
        <w:t>Each mosquito was injected</w:t>
      </w:r>
      <w:r w:rsidR="00F25370">
        <w:t xml:space="preserve"> </w:t>
      </w:r>
      <w:r w:rsidR="00F25370" w:rsidRPr="00F25370">
        <w:t xml:space="preserve">with dsRNA against the candidate gene. Same quantity of </w:t>
      </w:r>
      <w:proofErr w:type="spellStart"/>
      <w:r w:rsidR="00F25370" w:rsidRPr="00F25370">
        <w:t>dsCtrl</w:t>
      </w:r>
      <w:proofErr w:type="spellEnd"/>
      <w:r w:rsidR="00F25370" w:rsidRPr="00F25370">
        <w:t xml:space="preserve"> was injected </w:t>
      </w:r>
      <w:r w:rsidR="00890D2A">
        <w:t>in</w:t>
      </w:r>
      <w:r w:rsidR="00890D2A" w:rsidRPr="00F25370">
        <w:t xml:space="preserve"> </w:t>
      </w:r>
      <w:r w:rsidR="00F25370" w:rsidRPr="00F25370">
        <w:t>control</w:t>
      </w:r>
      <w:r w:rsidR="00890D2A">
        <w:t xml:space="preserve"> mosquitoes</w:t>
      </w:r>
      <w:r w:rsidR="00F25370" w:rsidRPr="00F25370">
        <w:t>. Four</w:t>
      </w:r>
      <w:r w:rsidR="00F25370">
        <w:t xml:space="preserve"> </w:t>
      </w:r>
      <w:r w:rsidR="00F25370" w:rsidRPr="00F25370">
        <w:t xml:space="preserve">days later, mRNA was quantified using RT-qPCR in </w:t>
      </w:r>
      <w:r w:rsidR="00890D2A">
        <w:t xml:space="preserve">three </w:t>
      </w:r>
      <w:r w:rsidR="00F25370" w:rsidRPr="00F25370">
        <w:t xml:space="preserve">pools of 10 </w:t>
      </w:r>
      <w:r w:rsidR="00F25370">
        <w:t>SG</w:t>
      </w:r>
      <w:r w:rsidR="00F25370" w:rsidRPr="00F25370">
        <w:t>.</w:t>
      </w:r>
      <w:r w:rsidR="00F25370">
        <w:t xml:space="preserve"> </w:t>
      </w:r>
      <w:r w:rsidR="00F25370" w:rsidRPr="00F25370">
        <w:rPr>
          <w:i/>
          <w:iCs/>
        </w:rPr>
        <w:t xml:space="preserve">Actin </w:t>
      </w:r>
      <w:r w:rsidR="00F25370" w:rsidRPr="00F25370">
        <w:t xml:space="preserve">expression was used for normalization. </w:t>
      </w:r>
      <w:r w:rsidR="00F25370">
        <w:t xml:space="preserve"> </w:t>
      </w:r>
      <w:r w:rsidR="00890D2A" w:rsidRPr="001B4F81">
        <w:rPr>
          <w:b/>
        </w:rPr>
        <w:t>a-</w:t>
      </w:r>
      <w:r w:rsidR="00890D2A">
        <w:rPr>
          <w:b/>
        </w:rPr>
        <w:t>d</w:t>
      </w:r>
      <w:r w:rsidR="00890D2A">
        <w:t xml:space="preserve">. </w:t>
      </w:r>
      <w:r w:rsidR="00F25370">
        <w:t xml:space="preserve">Silencing efficiency </w:t>
      </w:r>
      <w:r w:rsidR="00890D2A">
        <w:t xml:space="preserve">for </w:t>
      </w:r>
      <w:r w:rsidR="00F25370" w:rsidRPr="001B4F81">
        <w:rPr>
          <w:i/>
        </w:rPr>
        <w:t>SGBAP</w:t>
      </w:r>
      <w:r w:rsidR="002B03C7" w:rsidRPr="00416491">
        <w:t xml:space="preserve"> </w:t>
      </w:r>
      <w:r w:rsidR="00F25370" w:rsidRPr="00416491">
        <w:t>(</w:t>
      </w:r>
      <w:r w:rsidR="00507160" w:rsidRPr="00324ACE">
        <w:rPr>
          <w:b/>
          <w:bCs/>
        </w:rPr>
        <w:t>a</w:t>
      </w:r>
      <w:r w:rsidR="00F25370" w:rsidRPr="00416491">
        <w:t xml:space="preserve">), </w:t>
      </w:r>
      <w:r w:rsidR="00F25370" w:rsidRPr="001B4F81">
        <w:rPr>
          <w:i/>
        </w:rPr>
        <w:t>SGS1</w:t>
      </w:r>
      <w:r w:rsidR="002B03C7" w:rsidRPr="00416491">
        <w:t xml:space="preserve"> </w:t>
      </w:r>
      <w:r w:rsidR="00F25370" w:rsidRPr="00416491">
        <w:t>(</w:t>
      </w:r>
      <w:r w:rsidR="00507160" w:rsidRPr="00324ACE">
        <w:rPr>
          <w:b/>
          <w:bCs/>
        </w:rPr>
        <w:t>b</w:t>
      </w:r>
      <w:r w:rsidR="00F25370" w:rsidRPr="00416491">
        <w:t xml:space="preserve">), </w:t>
      </w:r>
      <w:r w:rsidR="002B03C7" w:rsidRPr="001B4F81">
        <w:rPr>
          <w:i/>
        </w:rPr>
        <w:t>ADA</w:t>
      </w:r>
      <w:r w:rsidR="002B03C7" w:rsidRPr="00416491">
        <w:t xml:space="preserve"> (</w:t>
      </w:r>
      <w:r w:rsidR="00507160" w:rsidRPr="00324ACE">
        <w:rPr>
          <w:b/>
          <w:bCs/>
        </w:rPr>
        <w:t>c</w:t>
      </w:r>
      <w:r w:rsidR="002B03C7" w:rsidRPr="00416491">
        <w:t xml:space="preserve">) and </w:t>
      </w:r>
      <w:r w:rsidR="002B03C7" w:rsidRPr="001B4F81">
        <w:rPr>
          <w:i/>
        </w:rPr>
        <w:t>GILT</w:t>
      </w:r>
      <w:r w:rsidR="002B03C7" w:rsidRPr="00416491">
        <w:t>-like (</w:t>
      </w:r>
      <w:r w:rsidR="00507160" w:rsidRPr="00324ACE">
        <w:rPr>
          <w:b/>
          <w:bCs/>
        </w:rPr>
        <w:t>d</w:t>
      </w:r>
      <w:r w:rsidR="002B03C7" w:rsidRPr="00416491">
        <w:t>) in</w:t>
      </w:r>
      <w:r w:rsidR="002B03C7">
        <w:t xml:space="preserve"> SG </w:t>
      </w:r>
      <w:r w:rsidR="00890D2A">
        <w:t xml:space="preserve">upon infection with </w:t>
      </w:r>
      <w:r w:rsidR="00F25370">
        <w:t>DENV2</w:t>
      </w:r>
      <w:r w:rsidR="002B03C7">
        <w:t xml:space="preserve">. </w:t>
      </w:r>
      <w:r w:rsidR="00890D2A" w:rsidRPr="001B4F81">
        <w:rPr>
          <w:b/>
        </w:rPr>
        <w:t>e-h</w:t>
      </w:r>
      <w:r w:rsidR="00890D2A">
        <w:t xml:space="preserve">. </w:t>
      </w:r>
      <w:r w:rsidR="002B03C7">
        <w:t xml:space="preserve">Silencing efficiency </w:t>
      </w:r>
      <w:r w:rsidR="00890D2A">
        <w:t xml:space="preserve">for </w:t>
      </w:r>
      <w:r w:rsidR="002B03C7" w:rsidRPr="001B4F81">
        <w:rPr>
          <w:i/>
        </w:rPr>
        <w:t>SGBAP</w:t>
      </w:r>
      <w:r w:rsidR="002B03C7" w:rsidRPr="00416491">
        <w:t xml:space="preserve"> (</w:t>
      </w:r>
      <w:r w:rsidR="00507160" w:rsidRPr="00324ACE">
        <w:rPr>
          <w:b/>
          <w:bCs/>
        </w:rPr>
        <w:t>e</w:t>
      </w:r>
      <w:r w:rsidR="002B03C7" w:rsidRPr="00507160">
        <w:t xml:space="preserve">), </w:t>
      </w:r>
      <w:r w:rsidR="002B03C7" w:rsidRPr="001B4F81">
        <w:rPr>
          <w:i/>
        </w:rPr>
        <w:t>SGS1</w:t>
      </w:r>
      <w:r w:rsidR="002B03C7" w:rsidRPr="00324ACE">
        <w:rPr>
          <w:b/>
          <w:bCs/>
        </w:rPr>
        <w:t xml:space="preserve"> </w:t>
      </w:r>
      <w:r w:rsidR="002B03C7" w:rsidRPr="00416491">
        <w:t>(</w:t>
      </w:r>
      <w:r w:rsidR="00507160" w:rsidRPr="00324ACE">
        <w:rPr>
          <w:b/>
          <w:bCs/>
        </w:rPr>
        <w:t>f</w:t>
      </w:r>
      <w:r w:rsidR="002B03C7" w:rsidRPr="00416491">
        <w:t xml:space="preserve">), </w:t>
      </w:r>
      <w:r w:rsidR="002B03C7" w:rsidRPr="001B4F81">
        <w:rPr>
          <w:i/>
        </w:rPr>
        <w:t>ADA</w:t>
      </w:r>
      <w:r w:rsidR="002B03C7" w:rsidRPr="00416491">
        <w:t xml:space="preserve"> (</w:t>
      </w:r>
      <w:r w:rsidR="00507160" w:rsidRPr="00324ACE">
        <w:rPr>
          <w:b/>
          <w:bCs/>
        </w:rPr>
        <w:t>g</w:t>
      </w:r>
      <w:r w:rsidR="002B03C7" w:rsidRPr="00416491">
        <w:t xml:space="preserve">) and </w:t>
      </w:r>
      <w:r w:rsidR="002B03C7" w:rsidRPr="001B4F81">
        <w:rPr>
          <w:i/>
        </w:rPr>
        <w:t>GILT</w:t>
      </w:r>
      <w:r w:rsidR="002B03C7" w:rsidRPr="00416491">
        <w:t>-like (</w:t>
      </w:r>
      <w:r w:rsidR="00507160" w:rsidRPr="00324ACE">
        <w:rPr>
          <w:b/>
          <w:bCs/>
        </w:rPr>
        <w:t>h</w:t>
      </w:r>
      <w:r w:rsidR="002B03C7" w:rsidRPr="00416491">
        <w:t>) in SG</w:t>
      </w:r>
      <w:r w:rsidR="00890D2A">
        <w:t xml:space="preserve"> upon</w:t>
      </w:r>
      <w:r w:rsidR="002B03C7" w:rsidRPr="00416491">
        <w:t xml:space="preserve"> infection</w:t>
      </w:r>
      <w:r w:rsidR="00890D2A">
        <w:t xml:space="preserve"> with ZIKV</w:t>
      </w:r>
      <w:r w:rsidR="002B03C7" w:rsidRPr="00416491">
        <w:t xml:space="preserve">. </w:t>
      </w:r>
      <w:proofErr w:type="spellStart"/>
      <w:r w:rsidR="00890D2A" w:rsidRPr="001B4F81">
        <w:rPr>
          <w:b/>
        </w:rPr>
        <w:t>i</w:t>
      </w:r>
      <w:proofErr w:type="spellEnd"/>
      <w:r w:rsidR="00890D2A" w:rsidRPr="001B4F81">
        <w:rPr>
          <w:b/>
        </w:rPr>
        <w:t>-l</w:t>
      </w:r>
      <w:r w:rsidR="00890D2A">
        <w:t xml:space="preserve">. </w:t>
      </w:r>
      <w:r w:rsidR="002B03C7" w:rsidRPr="00416491">
        <w:t xml:space="preserve">Silencing efficiency </w:t>
      </w:r>
      <w:r w:rsidR="00890D2A">
        <w:t>for</w:t>
      </w:r>
      <w:r w:rsidR="00890D2A" w:rsidRPr="00416491">
        <w:t xml:space="preserve"> </w:t>
      </w:r>
      <w:r w:rsidR="002B03C7" w:rsidRPr="001B4F81">
        <w:rPr>
          <w:i/>
        </w:rPr>
        <w:lastRenderedPageBreak/>
        <w:t>SGBAP</w:t>
      </w:r>
      <w:r w:rsidR="002B03C7" w:rsidRPr="00416491">
        <w:t xml:space="preserve"> (</w:t>
      </w:r>
      <w:proofErr w:type="spellStart"/>
      <w:r w:rsidR="00507160" w:rsidRPr="00324ACE">
        <w:rPr>
          <w:b/>
          <w:bCs/>
        </w:rPr>
        <w:t>i</w:t>
      </w:r>
      <w:proofErr w:type="spellEnd"/>
      <w:r w:rsidR="002B03C7" w:rsidRPr="00416491">
        <w:t xml:space="preserve">), </w:t>
      </w:r>
      <w:r w:rsidR="002B03C7" w:rsidRPr="001B4F81">
        <w:rPr>
          <w:i/>
        </w:rPr>
        <w:t>SGS1</w:t>
      </w:r>
      <w:r w:rsidR="002B03C7" w:rsidRPr="00416491">
        <w:t xml:space="preserve"> (</w:t>
      </w:r>
      <w:r w:rsidR="00507160" w:rsidRPr="00324ACE">
        <w:rPr>
          <w:b/>
          <w:bCs/>
        </w:rPr>
        <w:t>j</w:t>
      </w:r>
      <w:r w:rsidR="002B03C7" w:rsidRPr="00416491">
        <w:t xml:space="preserve">), </w:t>
      </w:r>
      <w:r w:rsidR="002B03C7" w:rsidRPr="001B4F81">
        <w:rPr>
          <w:i/>
        </w:rPr>
        <w:t>ADA</w:t>
      </w:r>
      <w:r w:rsidR="002B03C7" w:rsidRPr="00416491">
        <w:t xml:space="preserve"> (</w:t>
      </w:r>
      <w:r w:rsidR="00507160" w:rsidRPr="00324ACE">
        <w:rPr>
          <w:b/>
          <w:bCs/>
        </w:rPr>
        <w:t>k</w:t>
      </w:r>
      <w:r w:rsidR="002B03C7" w:rsidRPr="00416491">
        <w:t xml:space="preserve">) and </w:t>
      </w:r>
      <w:r w:rsidR="002B03C7" w:rsidRPr="001B4F81">
        <w:rPr>
          <w:i/>
        </w:rPr>
        <w:t>GILT</w:t>
      </w:r>
      <w:r w:rsidR="002B03C7" w:rsidRPr="00416491">
        <w:t>-like (</w:t>
      </w:r>
      <w:r w:rsidR="00507160" w:rsidRPr="00324ACE">
        <w:rPr>
          <w:b/>
          <w:bCs/>
        </w:rPr>
        <w:t>l</w:t>
      </w:r>
      <w:r w:rsidR="002B03C7" w:rsidRPr="00416491">
        <w:t>) in SG</w:t>
      </w:r>
      <w:r w:rsidR="00890D2A">
        <w:t xml:space="preserve"> upon infection with</w:t>
      </w:r>
      <w:r w:rsidR="002B03C7" w:rsidRPr="00416491">
        <w:t xml:space="preserve"> CHIKV</w:t>
      </w:r>
      <w:r w:rsidR="002B03C7">
        <w:t xml:space="preserve">. </w:t>
      </w:r>
      <w:proofErr w:type="spellStart"/>
      <w:r w:rsidR="002B03C7" w:rsidRPr="00166F70">
        <w:t>ds</w:t>
      </w:r>
      <w:r w:rsidR="002B03C7" w:rsidRPr="00166F70">
        <w:rPr>
          <w:i/>
          <w:iCs/>
        </w:rPr>
        <w:t>Ctrl</w:t>
      </w:r>
      <w:proofErr w:type="spellEnd"/>
      <w:r w:rsidR="002B03C7" w:rsidRPr="00166F70">
        <w:t xml:space="preserve">, dsRNA against LacZ; </w:t>
      </w:r>
      <w:proofErr w:type="spellStart"/>
      <w:r w:rsidR="002B03C7" w:rsidRPr="00166F70">
        <w:t>ds</w:t>
      </w:r>
      <w:r w:rsidR="002B03C7">
        <w:rPr>
          <w:i/>
          <w:iCs/>
        </w:rPr>
        <w:t>SGBAP</w:t>
      </w:r>
      <w:proofErr w:type="spellEnd"/>
      <w:r w:rsidR="002B03C7" w:rsidRPr="00166F70">
        <w:t>, dsRNA against salivary gland</w:t>
      </w:r>
      <w:r w:rsidR="002B03C7">
        <w:t xml:space="preserve"> broad spectrum antiviral</w:t>
      </w:r>
      <w:r w:rsidR="002B03C7" w:rsidRPr="00166F70">
        <w:t xml:space="preserve"> protein; ds</w:t>
      </w:r>
      <w:r w:rsidR="002B03C7" w:rsidRPr="00166F70">
        <w:rPr>
          <w:i/>
          <w:iCs/>
        </w:rPr>
        <w:t>SGS1</w:t>
      </w:r>
      <w:r w:rsidR="002B03C7" w:rsidRPr="00166F70">
        <w:t xml:space="preserve">, dsRNA against salivary gland surface protein 1; </w:t>
      </w:r>
      <w:proofErr w:type="spellStart"/>
      <w:r w:rsidR="002B03C7" w:rsidRPr="00166F70">
        <w:t>ds</w:t>
      </w:r>
      <w:r w:rsidR="002B03C7" w:rsidRPr="00166F70">
        <w:rPr>
          <w:i/>
          <w:iCs/>
        </w:rPr>
        <w:t>ADA</w:t>
      </w:r>
      <w:proofErr w:type="spellEnd"/>
      <w:r w:rsidR="002B03C7" w:rsidRPr="00166F70">
        <w:t xml:space="preserve">, dsRNA against adenosine deaminase protein; </w:t>
      </w:r>
      <w:proofErr w:type="spellStart"/>
      <w:r w:rsidR="002B03C7" w:rsidRPr="00166F70">
        <w:t>ds</w:t>
      </w:r>
      <w:r w:rsidR="002B03C7" w:rsidRPr="00166F70">
        <w:rPr>
          <w:i/>
          <w:iCs/>
        </w:rPr>
        <w:t>GILT</w:t>
      </w:r>
      <w:proofErr w:type="spellEnd"/>
      <w:r w:rsidR="002B03C7">
        <w:rPr>
          <w:i/>
          <w:iCs/>
        </w:rPr>
        <w:t>-like</w:t>
      </w:r>
      <w:r w:rsidR="002B03C7" w:rsidRPr="00166F70">
        <w:t>, dsRNA against gamma interferon responsive lysosomal thiol protein</w:t>
      </w:r>
      <w:r w:rsidR="002B03C7">
        <w:t>-like</w:t>
      </w:r>
      <w:r w:rsidR="002B03C7" w:rsidRPr="00166F70">
        <w:t xml:space="preserve">. </w:t>
      </w:r>
      <w:r w:rsidR="00F25370">
        <w:t>B</w:t>
      </w:r>
      <w:r w:rsidR="00F25370" w:rsidRPr="00166F70">
        <w:t>ars show means ± s.e.m. from three repeats.</w:t>
      </w:r>
    </w:p>
    <w:p w14:paraId="69E0B231" w14:textId="6C20E754" w:rsidR="00FA0669" w:rsidRDefault="00FA0669" w:rsidP="00F25370">
      <w:pPr>
        <w:spacing w:line="480" w:lineRule="auto"/>
      </w:pPr>
    </w:p>
    <w:p w14:paraId="45576013" w14:textId="0EB1F42E" w:rsidR="00FA0669" w:rsidRDefault="00FA0669" w:rsidP="00F25370">
      <w:pPr>
        <w:spacing w:line="480" w:lineRule="auto"/>
      </w:pPr>
      <w:r w:rsidRPr="00B001D0">
        <w:rPr>
          <w:b/>
        </w:rPr>
        <w:t>F</w:t>
      </w:r>
      <w:r w:rsidR="00507160">
        <w:rPr>
          <w:b/>
        </w:rPr>
        <w:t>ig</w:t>
      </w:r>
      <w:r w:rsidR="00890D2A">
        <w:rPr>
          <w:b/>
        </w:rPr>
        <w:t>.</w:t>
      </w:r>
      <w:r w:rsidRPr="00B001D0">
        <w:rPr>
          <w:b/>
        </w:rPr>
        <w:t xml:space="preserve"> S</w:t>
      </w:r>
      <w:r w:rsidR="004C013B" w:rsidRPr="00B001D0">
        <w:rPr>
          <w:b/>
        </w:rPr>
        <w:t>4</w:t>
      </w:r>
      <w:r>
        <w:t xml:space="preserve">. </w:t>
      </w:r>
      <w:r w:rsidR="004C013B">
        <w:t xml:space="preserve">Tissue expression analysis for </w:t>
      </w:r>
      <w:r w:rsidR="004C013B" w:rsidRPr="001B4F81">
        <w:rPr>
          <w:i/>
        </w:rPr>
        <w:t>SGBAP</w:t>
      </w:r>
      <w:r w:rsidR="002F0540">
        <w:t xml:space="preserve"> (AAEL019</w:t>
      </w:r>
      <w:r w:rsidR="00BF3A88">
        <w:t>9</w:t>
      </w:r>
      <w:r w:rsidR="002F0540">
        <w:t>96)</w:t>
      </w:r>
      <w:r w:rsidR="004C013B">
        <w:t xml:space="preserve">, </w:t>
      </w:r>
      <w:r w:rsidR="004C013B" w:rsidRPr="001B4F81">
        <w:rPr>
          <w:i/>
        </w:rPr>
        <w:t>SGS1</w:t>
      </w:r>
      <w:r w:rsidR="002F0540">
        <w:t xml:space="preserve"> (AAEL009993)</w:t>
      </w:r>
      <w:r w:rsidR="004C013B">
        <w:t xml:space="preserve">, </w:t>
      </w:r>
      <w:r w:rsidR="004C013B" w:rsidRPr="001B4F81">
        <w:rPr>
          <w:i/>
        </w:rPr>
        <w:t>ADA</w:t>
      </w:r>
      <w:r w:rsidR="004C013B">
        <w:t xml:space="preserve"> </w:t>
      </w:r>
      <w:r w:rsidR="002F0540">
        <w:t xml:space="preserve">(AAEL026165) </w:t>
      </w:r>
      <w:r w:rsidR="004C013B">
        <w:t xml:space="preserve">and </w:t>
      </w:r>
      <w:r w:rsidR="004C013B" w:rsidRPr="001B4F81">
        <w:rPr>
          <w:i/>
        </w:rPr>
        <w:t>GILT</w:t>
      </w:r>
      <w:r w:rsidR="004C013B">
        <w:t>-like</w:t>
      </w:r>
      <w:r w:rsidR="002F0540">
        <w:t xml:space="preserve"> (AAEL004873) </w:t>
      </w:r>
      <w:r w:rsidR="00890D2A">
        <w:t>genes</w:t>
      </w:r>
      <w:r w:rsidR="004C013B">
        <w:t xml:space="preserve">. </w:t>
      </w:r>
      <w:r w:rsidR="002F0540">
        <w:rPr>
          <w:lang w:val="en-US"/>
        </w:rPr>
        <w:t>T</w:t>
      </w:r>
      <w:r w:rsidR="004C013B">
        <w:rPr>
          <w:lang w:val="en-US"/>
        </w:rPr>
        <w:t>ranscripts per million (</w:t>
      </w:r>
      <w:r w:rsidR="004C013B" w:rsidRPr="004C013B">
        <w:rPr>
          <w:lang w:val="en-US"/>
        </w:rPr>
        <w:t>TPM</w:t>
      </w:r>
      <w:r w:rsidR="004C013B">
        <w:rPr>
          <w:lang w:val="en-US"/>
        </w:rPr>
        <w:t xml:space="preserve">) </w:t>
      </w:r>
      <w:r w:rsidR="002F0540">
        <w:rPr>
          <w:lang w:val="en-US"/>
        </w:rPr>
        <w:t xml:space="preserve">in different </w:t>
      </w:r>
      <w:r w:rsidR="002F0540" w:rsidRPr="00B001D0">
        <w:rPr>
          <w:i/>
          <w:lang w:val="en-US"/>
        </w:rPr>
        <w:t>A. aegypti</w:t>
      </w:r>
      <w:r w:rsidR="002F0540">
        <w:rPr>
          <w:lang w:val="en-US"/>
        </w:rPr>
        <w:t xml:space="preserve"> tissues were retrieved</w:t>
      </w:r>
      <w:r w:rsidR="004C013B" w:rsidRPr="004C013B">
        <w:rPr>
          <w:lang w:val="en-US"/>
        </w:rPr>
        <w:t xml:space="preserve"> </w:t>
      </w:r>
      <w:r w:rsidR="002F0540">
        <w:rPr>
          <w:lang w:val="en-US"/>
        </w:rPr>
        <w:t>using</w:t>
      </w:r>
      <w:r w:rsidR="004C013B" w:rsidRPr="004C013B">
        <w:rPr>
          <w:lang w:val="en-US"/>
        </w:rPr>
        <w:t xml:space="preserve"> </w:t>
      </w:r>
      <w:proofErr w:type="spellStart"/>
      <w:r w:rsidR="004C013B" w:rsidRPr="004C013B">
        <w:rPr>
          <w:lang w:val="en-US"/>
        </w:rPr>
        <w:t>VectorBase</w:t>
      </w:r>
      <w:proofErr w:type="spellEnd"/>
      <w:r w:rsidR="004C013B" w:rsidRPr="004C013B">
        <w:rPr>
          <w:lang w:val="en-US"/>
        </w:rPr>
        <w:t xml:space="preserve"> from </w:t>
      </w:r>
      <w:proofErr w:type="spellStart"/>
      <w:r w:rsidR="004C013B" w:rsidRPr="004C013B">
        <w:rPr>
          <w:lang w:val="en-US"/>
        </w:rPr>
        <w:t>Raquin</w:t>
      </w:r>
      <w:proofErr w:type="spellEnd"/>
      <w:r w:rsidR="004C013B" w:rsidRPr="004C013B">
        <w:rPr>
          <w:lang w:val="en-US"/>
        </w:rPr>
        <w:t xml:space="preserve"> et al.</w:t>
      </w:r>
      <w:r w:rsidR="004C013B">
        <w:rPr>
          <w:lang w:val="en-US"/>
        </w:rPr>
        <w:fldChar w:fldCharType="begin"/>
      </w:r>
      <w:r w:rsidR="00324ACE">
        <w:rPr>
          <w:lang w:val="en-US"/>
        </w:rPr>
        <w:instrText xml:space="preserve"> ADDIN ZOTERO_ITEM CSL_CITATION {"citationID":"cdQ5EOYD","properties":{"formattedCitation":"\\super 19\\nosupersub{}","plainCitation":"19","noteIndex":0},"citationItems":[{"id":973,"uris":["http://zotero.org/users/5659518/items/2AZ7MIXU"],"uri":["http://zotero.org/users/5659518/items/2AZ7MIXU"],"itemData":{"id":973,"type":"article-journal","abstract":"Dengue virus (DENV) causes more human infections than any other mosquito-borne virus. The current lack of antiviral strategies has prompted genome-wide screens for host genes that are required for DENV infectivity. Earlier transcriptomic studies that identified DENV host factors in the primary vector Aedes aegypti used inbred laboratory colonies and/or pools of mosquitoes that erase individual variation. Here, we performed transcriptome sequencing on individual midguts in a field-derived Ae. aegypti population to identify new candidate host factors modulating DENV replication. We analyzed the transcriptomic data using an approach that accounts for individual co-variation between viral RNA load and gene expression. This approach generates a prediction about the agonist or antagonist effect of candidate genes on DENV replication based on the sign of the correlation between gene expression and viral RNA load. Using this method, we identified 39 candidate genes that went undetected by conventional pairwise comparison of gene expression levels between DENV-infected midguts and uninfected controls. Only four candidate genes were detected by both methods, emphasizing their complementarity. We demonstrated the value of our approach by functional validation of a candidate agonist gene encoding a sterol regulatory element-binding protein (SREBP), which was identified by correlation analysis but not by pairwise comparison. We confirmed that SREBP promotes DENV infection in the midgut by RNAi-mediated gene knockdown in vivo. We suggest that our approach for transcriptomic analysis can empower genome-wide screens for potential agonist or antagonist factors by leveraging inter-individual variation in gene expression. More generally, this method is applicable to a wide range of phenotypic traits displaying inter-individual variation.","container-title":"PLOS Neglected Tropical Diseases","DOI":"10.1371/journal.pntd.0006152","ISSN":"1935-2735","issue":"12","journalAbbreviation":"PLOS Neglected Tropical Diseases","language":"en","note":"publisher: Public Library of Science","page":"e0006152","source":"PLoS Journals","title":"Individual co-variation between viral RNA load and gene expression reveals novel host factors during early dengue virus infection of the Aedes aegypti midgut","volume":"11","author":[{"family":"Raquin","given":"Vincent"},{"family":"Merkling","given":"Sarah Hélène"},{"family":"Gausson","given":"Valérie"},{"family":"Moltini-Conclois","given":"Isabelle"},{"family":"Frangeul","given":"Lionel"},{"family":"Varet","given":"Hugo"},{"family":"Dillies","given":"Marie-Agnès"},{"family":"Saleh","given":"Maria-Carla"},{"family":"Lambrechts","given":"Louis"}],"issued":{"date-parts":[["2017",12,19]]}}}],"schema":"https://github.com/citation-style-language/schema/raw/master/csl-citation.json"} </w:instrText>
      </w:r>
      <w:r w:rsidR="004C013B">
        <w:rPr>
          <w:lang w:val="en-US"/>
        </w:rPr>
        <w:fldChar w:fldCharType="separate"/>
      </w:r>
      <w:r w:rsidR="00324ACE" w:rsidRPr="00324ACE">
        <w:rPr>
          <w:vertAlign w:val="superscript"/>
        </w:rPr>
        <w:t>19</w:t>
      </w:r>
      <w:r w:rsidR="004C013B">
        <w:rPr>
          <w:lang w:val="en-US"/>
        </w:rPr>
        <w:fldChar w:fldCharType="end"/>
      </w:r>
      <w:r w:rsidR="004C013B">
        <w:t xml:space="preserve">, </w:t>
      </w:r>
      <w:r w:rsidR="004C013B" w:rsidRPr="004C013B">
        <w:rPr>
          <w:lang w:val="en-US"/>
        </w:rPr>
        <w:t>Mathews et al.</w:t>
      </w:r>
      <w:r w:rsidR="004C013B">
        <w:rPr>
          <w:lang w:val="en-US"/>
        </w:rPr>
        <w:fldChar w:fldCharType="begin"/>
      </w:r>
      <w:r w:rsidR="00324ACE">
        <w:rPr>
          <w:lang w:val="en-US"/>
        </w:rPr>
        <w:instrText xml:space="preserve"> ADDIN ZOTERO_ITEM CSL_CITATION {"citationID":"s8q45osE","properties":{"formattedCitation":"\\super 20\\nosupersub{}","plainCitation":"20","noteIndex":0},"citationItems":[{"id":977,"uris":["http://zotero.org/users/5659518/items/KZ2W9CJA"],"uri":["http://zotero.org/users/5659518/items/KZ2W9CJA"],"itemData":{"id":977,"type":"article-journal","abstract":"Background\nA complete genome sequence and the advent of genome editing open up non-traditional model organisms to mechanistic genetic studies. The mosquito Aedes aegypti is an important vector of infectious diseases such as dengue, chikungunya, and yellow fever and has a large and complex genome, which has slowed annotation efforts. We used comprehensive transcriptomic analysis of adult gene expression to improve the genome annotation and to provide a detailed tissue-specific catalogue of neural gene expression at different adult behavioral states.\n\nResults\nWe carried out deep RNA sequencing across all major peripheral male and female sensory tissues, the brain and (female) ovary. Furthermore, we examined gene expression across three important phases of the female reproductive cycle, a remarkable example of behavioral switching in which a female mosquito alternates between obtaining blood-meals from humans and laying eggs. Using genome-guided alignments and de novo transcriptome assembly, our re-annotation includes 572 new putative protein-coding genes and updates to 13.5 and 50.3 % of existing transcripts within coding sequences and untranslated regions, respectively. Using this updated annotation, we detail gene expression in each tissue, identifying large numbers of transcripts regulated by blood-feeding and sexually dimorphic transcripts that may provide clues to the biology of male- and female-specific behaviors, such as mating and blood-feeding, which are areas of intensive study for those interested in vector control.\n\nConclusions\nThis neurotranscriptome forms a strong foundation for the study of genes in the mosquito nervous system and investigation of sensory-driven behaviors and their regulation. Furthermore, understanding the molecular genetic basis of mosquito chemosensory behavior has important implications for vector control.\n\nElectronic supplementary material\nThe online version of this article (doi:10.1186/s12864-015-2239-0) contains supplementary material, which is available to authorized users.","container-title":"BMC Genomics","DOI":"10.1186/s12864-015-2239-0","ISSN":"1471-2164","journalAbbreviation":"BMC Genomics","note":"PMID: 26738925\nPMCID: PMC4704297","page":"32","source":"PubMed Central","title":"The neurotranscriptome of the Aedes aegypti mosquito","volume":"17","author":[{"family":"Matthews","given":"Benjamin J."},{"family":"McBride","given":"Carolyn S."},{"family":"DeGennaro","given":"Matthew"},{"family":"Despo","given":"Orion"},{"family":"Vosshall","given":"Leslie B."}],"issued":{"date-parts":[["2016",1,6]]}}}],"schema":"https://github.com/citation-style-language/schema/raw/master/csl-citation.json"} </w:instrText>
      </w:r>
      <w:r w:rsidR="004C013B">
        <w:rPr>
          <w:lang w:val="en-US"/>
        </w:rPr>
        <w:fldChar w:fldCharType="separate"/>
      </w:r>
      <w:r w:rsidR="00324ACE" w:rsidRPr="00324ACE">
        <w:rPr>
          <w:vertAlign w:val="superscript"/>
        </w:rPr>
        <w:t>20</w:t>
      </w:r>
      <w:r w:rsidR="004C013B">
        <w:rPr>
          <w:lang w:val="en-US"/>
        </w:rPr>
        <w:fldChar w:fldCharType="end"/>
      </w:r>
      <w:r w:rsidR="002F0540">
        <w:rPr>
          <w:lang w:val="en-US"/>
        </w:rPr>
        <w:t>,</w:t>
      </w:r>
      <w:r w:rsidR="004C013B">
        <w:t xml:space="preserve"> </w:t>
      </w:r>
      <w:proofErr w:type="spellStart"/>
      <w:r w:rsidR="004C013B" w:rsidRPr="004C013B">
        <w:rPr>
          <w:lang w:val="en-US"/>
        </w:rPr>
        <w:t>Anglero</w:t>
      </w:r>
      <w:proofErr w:type="spellEnd"/>
      <w:r w:rsidR="004C013B" w:rsidRPr="004C013B">
        <w:rPr>
          <w:lang w:val="en-US"/>
        </w:rPr>
        <w:t>-Rodriguez et al.</w:t>
      </w:r>
      <w:r w:rsidR="004C013B">
        <w:rPr>
          <w:lang w:val="en-US"/>
        </w:rPr>
        <w:fldChar w:fldCharType="begin"/>
      </w:r>
      <w:r w:rsidR="00324ACE">
        <w:rPr>
          <w:lang w:val="en-US"/>
        </w:rPr>
        <w:instrText xml:space="preserve"> ADDIN ZOTERO_ITEM CSL_CITATION {"citationID":"eILH7MJG","properties":{"formattedCitation":"\\super 21\\nosupersub{}","plainCitation":"21","noteIndex":0},"citationItems":[{"id":11,"uris":["http://zotero.org/users/5659518/items/STG42S88"],"uri":["http://zotero.org/users/5659518/items/STG42S88"],"itemData":{"id":11,"type":"article-journal","abstract":"Zika (ZIKV) and dengue virus (DENV) are transmitted to humans by Aedes mosquitoes. However, the molecular interactions between the vector and ZIKV remain largely unexplored. In this work, we further investigated the tropism of ZIKV in two different Aedes aegypti strains and show that the virus infection kinetics, tissue migration, and susceptibility to infection differ between mosquito strains. We also compare the vector transcriptome changes upon ZIKV or DENV infection demonstrating that 40% of the mosquito’s midgut infection-responsive transcriptome is virus-specific at 7 days after virus ingestion. Regulated genes included key factors of the mosquito’s anti-viral immunity. Comparison of the ZIKV and DENV infection-responsive transcriptome data to those available for yellow fever virus and West Nile virus identified 26 genes likely to play key roles in virus infection of Aedes mosquitoes. Through reverse genetic analyses, we show that the Toll and the Jak/Stat innate immune pathways mediate increased resistance to ZIKV infection, and the conserved DENV host factors vATPase and inosine-5′-monophosphate dehydrogenase are also utilized for ZIKV infection.","container-title":"Frontiers in Microbiology","DOI":"10.3389/fmicb.2017.02050","ISSN":"1664-302X","journalAbbreviation":"Front Microbiol","note":"PMID: 29109710\nPMCID: PMC5660061","source":"PubMed Central","title":"Aedes aegypti Molecular Responses to Zika Virus: Modulation of Infection by the Toll and Jak/Stat Immune Pathways and Virus Host Factors","title-short":"Aedes aegypti Molecular Responses to Zika Virus","URL":"https://www.ncbi.nlm.nih.gov/pmc/articles/PMC5660061/","volume":"8","author":[{"family":"Angleró-Rodríguez","given":"Yesseinia I."},{"family":"MacLeod","given":"Hannah J."},{"family":"Kang","given":"Seokyoung"},{"family":"Carlson","given":"Jenny S."},{"family":"Jupatanakul","given":"Natapong"},{"family":"Dimopoulos","given":"George"}],"accessed":{"date-parts":[["2018",7,10]]},"issued":{"date-parts":[["2017",10,23]]}}}],"schema":"https://github.com/citation-style-language/schema/raw/master/csl-citation.json"} </w:instrText>
      </w:r>
      <w:r w:rsidR="004C013B">
        <w:rPr>
          <w:lang w:val="en-US"/>
        </w:rPr>
        <w:fldChar w:fldCharType="separate"/>
      </w:r>
      <w:r w:rsidR="00324ACE" w:rsidRPr="00324ACE">
        <w:rPr>
          <w:vertAlign w:val="superscript"/>
        </w:rPr>
        <w:t>21</w:t>
      </w:r>
      <w:r w:rsidR="004C013B">
        <w:rPr>
          <w:lang w:val="en-US"/>
        </w:rPr>
        <w:fldChar w:fldCharType="end"/>
      </w:r>
      <w:r w:rsidR="004C013B">
        <w:t xml:space="preserve">, </w:t>
      </w:r>
      <w:r w:rsidR="004C013B" w:rsidRPr="004C013B">
        <w:rPr>
          <w:lang w:val="en-US"/>
        </w:rPr>
        <w:t>Dong et al</w:t>
      </w:r>
      <w:r w:rsidR="002F0540">
        <w:rPr>
          <w:lang w:val="en-US"/>
        </w:rPr>
        <w:t>.</w:t>
      </w:r>
      <w:r w:rsidR="004C013B">
        <w:rPr>
          <w:lang w:val="en-US"/>
        </w:rPr>
        <w:fldChar w:fldCharType="begin"/>
      </w:r>
      <w:r w:rsidR="00324ACE">
        <w:rPr>
          <w:lang w:val="en-US"/>
        </w:rPr>
        <w:instrText xml:space="preserve"> ADDIN ZOTERO_ITEM CSL_CITATION {"citationID":"jmvtKPzH","properties":{"formattedCitation":"\\super 22\\nosupersub{}","plainCitation":"22","noteIndex":0},"citationItems":[{"id":282,"uris":["http://zotero.org/users/5659518/items/3X58V472"],"uri":["http://zotero.org/users/5659518/items/3X58V472"],"itemData":{"id":282,"type":"article-journal","abstract":"Background: The mosquito Aedes aegypti is the primary vector for medically important arthropod-borne viruses, including chikungunya virus (CHIKV). Following oral acquisition, an arbovirus has to persistently infect several organs in the mosquito before becoming transmissible to another vertebrate host. A major obstacle an arbovirus has to overcome during its infection cycle inside the mosquito is the midgut escape barrier, representing the exit mechanism arboviruses utilize when disseminating from the midgut. To understand the transcriptomic basis of midgut escape and to reveal genes involved in the process, we conducted a comparative transcriptomic analysis of midgut samples from mosquitoes which had received a saline meal (SM) or a protein meal (PM) (not) containing CHIKV.\nResults: CHIKV which was orally acquired by a mosquito along with a SM or PM productively infected the midgut epithelium and disseminated to secondary tissues. A total of 27 RNA-Seq libraries from midguts of mosquitoes that had received PM or SM (not) containing CHIKV at 1 and 2 days post-feeding were generated and sequenced. Fewer than 80 genes responded differentially to the presence of CHIKV in midguts of mosquitoes that had acquired the virus along with SM or PM. SM feeding induced differential expression (DE) of 479 genes at day 1 and 314 genes at day 2 when compared to midguts of sugarfed mosquitoes. By comparison, PM feeding induced 6029 DE genes at day 1 and 7368 genes at day 2. Twenty-three DE genes encoding trypsins, metalloproteinases, and serine-type endopeptidases were significantly upregulated in midguts of mosquitoes at day 1 following SM or PM ingestion. Two of these genes were Ae. aegypti late trypsin (AeLT) and serine collagenase 1 precursor (AeSP1). In vitro, recombinant AeLT showed strong matrix metalloproteinase activity whereas recombinant AeSP1 did not.\nConclusions: By substituting a bloodmeal for SM, we identified midgut-expressed genes not involved in blood or protein digestion. These included genes coding for trypsins, metalloproteinases, and serine-type endopeptidases, which could be involved in facilitating midgut escape for arboviruses in Ae. aegypti. The presence of CHIKV in any of the ingested meals had relatively minor effects on the overall gene expression profiles in midguts.","container-title":"BMC Genomics","DOI":"10.1186/s12864-017-3775-6","ISSN":"1471-2164","issue":"1","language":"en","source":"Crossref","title":"The midgut transcriptome of Aedes aegypti fed with saline or protein meals containing chikungunya virus reveals genes potentially involved in viral midgut escape","URL":"http://bmcgenomics.biomedcentral.com/articles/10.1186/s12864-017-3775-6","volume":"18","author":[{"family":"Dong","given":"Shengzhang"},{"family":"Behura","given":"Susanta K."},{"family":"Franz","given":"Alexander W. E."}],"accessed":{"date-parts":[["2018",11,1]]},"issued":{"date-parts":[["2017",12]]}}}],"schema":"https://github.com/citation-style-language/schema/raw/master/csl-citation.json"} </w:instrText>
      </w:r>
      <w:r w:rsidR="004C013B">
        <w:rPr>
          <w:lang w:val="en-US"/>
        </w:rPr>
        <w:fldChar w:fldCharType="separate"/>
      </w:r>
      <w:r w:rsidR="00324ACE" w:rsidRPr="00324ACE">
        <w:rPr>
          <w:vertAlign w:val="superscript"/>
        </w:rPr>
        <w:t>22</w:t>
      </w:r>
      <w:r w:rsidR="004C013B">
        <w:rPr>
          <w:lang w:val="en-US"/>
        </w:rPr>
        <w:fldChar w:fldCharType="end"/>
      </w:r>
      <w:r w:rsidR="004C013B">
        <w:t xml:space="preserve"> and </w:t>
      </w:r>
      <w:r w:rsidR="004C013B" w:rsidRPr="004C013B">
        <w:rPr>
          <w:lang w:val="en-US"/>
        </w:rPr>
        <w:t>Ribeiro et al.</w:t>
      </w:r>
      <w:r w:rsidR="004C013B">
        <w:rPr>
          <w:lang w:val="en-US"/>
        </w:rPr>
        <w:fldChar w:fldCharType="begin"/>
      </w:r>
      <w:r w:rsidR="00324ACE">
        <w:rPr>
          <w:lang w:val="en-US"/>
        </w:rPr>
        <w:instrText xml:space="preserve"> ADDIN ZOTERO_ITEM CSL_CITATION {"citationID":"rK8PQPTM","properties":{"formattedCitation":"\\super 13\\nosupersub{}","plainCitation":"13","noteIndex":0},"citationItems":[{"id":724,"uris":["http://zotero.org/users/5659518/items/T5W3P5J9"],"uri":["http://zotero.org/users/5659518/items/T5W3P5J9"],"itemData":{"id":724,"type":"article-journal","abstract":"Background: Saliva of blood-sucking arthropods contains a cocktail of antihemostatic agents and immunomodulators that help blood feeding. Mosquitoes additionally feed on sugar meals and have specialized regions of their glands containing glycosidases and antimicrobials that might help control bacterial growth in the ingested meals. To expand our knowledge on the salivary cocktail of Ædes ægypti, a vector of dengue and yellow fevers, we analyzed a set of 4,232 expressed sequence tags from cDNA libraries of adult female mosquitoes.\nResults: A nonredundant catalogue of 614 transcripts (573 of which are novel) is described, including 136 coding for proteins of a putative secretory nature. Additionally, a two-dimensional gel electrophoresis of salivary gland (SG) homogenates followed by tryptic digestion of selected protein bands and MS/MS analysis revealed the expression of 24 proteins. Analysis of tissue-specific transcription of a subset of these genes revealed at least 31 genes whose expression is specific or enriched in female SG, whereas 24 additional genes were expressed in female SG and in males but not in other female tissues. Most of the 55 proteins coded by these SG transcripts have no known function and represent high-priority candidates for expression and functional analysis as antihemostatic or antimicrobial agents. An unexpected finding is the occurrence of four protein families specific to SG that were probably a product of horizontal transfer from prokaryotic organisms to mosquitoes.\nConclusion: Overall, this paper contributes to the novel identification of 573 new transcripts, or near 3% of the Æ. ægypti proteome assuming a 20,000-protein set, and to the best-described sialome of any blood-feeding insect.","container-title":"BMC Genomics","DOI":"10.1186/1471-2164-8-6","ISSN":"1471-2164","issue":"1","journalAbbreviation":"BMC Genomics","language":"en","page":"6","source":"DOI.org (Crossref)","title":"An annotated catalogue of salivary gland transcripts in the adult female mosquito, Ædes ægypti*","volume":"8","author":[{"family":"Ribeiro","given":"José MC"},{"family":"Arcà","given":"Bruno"},{"family":"Lombardo","given":"Fabrizio"},{"family":"Calvo","given":"Eric"},{"literal":"Van My Phan"},{"family":"Chandra","given":"Prafulla K"},{"family":"Wikel","given":"Stephen K"}],"issued":{"date-parts":[["2007",12]]}}}],"schema":"https://github.com/citation-style-language/schema/raw/master/csl-citation.json"} </w:instrText>
      </w:r>
      <w:r w:rsidR="004C013B">
        <w:rPr>
          <w:lang w:val="en-US"/>
        </w:rPr>
        <w:fldChar w:fldCharType="separate"/>
      </w:r>
      <w:r w:rsidR="00324ACE" w:rsidRPr="00324ACE">
        <w:rPr>
          <w:vertAlign w:val="superscript"/>
        </w:rPr>
        <w:t>13</w:t>
      </w:r>
      <w:r w:rsidR="004C013B">
        <w:rPr>
          <w:lang w:val="en-US"/>
        </w:rPr>
        <w:fldChar w:fldCharType="end"/>
      </w:r>
      <w:r w:rsidR="00E07944">
        <w:rPr>
          <w:lang w:val="en-US"/>
        </w:rPr>
        <w:t>.</w:t>
      </w:r>
    </w:p>
    <w:p w14:paraId="3B704A2B" w14:textId="77777777" w:rsidR="00F25370" w:rsidRDefault="00F25370" w:rsidP="007C2BC3">
      <w:pPr>
        <w:spacing w:line="480" w:lineRule="auto"/>
      </w:pPr>
    </w:p>
    <w:p w14:paraId="32AD584E" w14:textId="35ED3AFF" w:rsidR="000F3A82" w:rsidRDefault="00CC287F" w:rsidP="007C2BC3">
      <w:pPr>
        <w:spacing w:line="480" w:lineRule="auto"/>
      </w:pPr>
      <w:r w:rsidRPr="004B0523">
        <w:rPr>
          <w:b/>
          <w:bCs/>
        </w:rPr>
        <w:t>F</w:t>
      </w:r>
      <w:r>
        <w:rPr>
          <w:b/>
          <w:bCs/>
        </w:rPr>
        <w:t>ig. S5.</w:t>
      </w:r>
      <w:r w:rsidRPr="00402756">
        <w:rPr>
          <w:b/>
          <w:bCs/>
        </w:rPr>
        <w:t xml:space="preserve"> </w:t>
      </w:r>
      <w:r w:rsidRPr="00416491">
        <w:t xml:space="preserve">Re-annotation of SGBAP (AAEL019996) protein sequence. </w:t>
      </w:r>
      <w:r>
        <w:t xml:space="preserve">Current nucleotide and amino acid sequences from </w:t>
      </w:r>
      <w:proofErr w:type="spellStart"/>
      <w:r>
        <w:t>VectorBase</w:t>
      </w:r>
      <w:proofErr w:type="spellEnd"/>
      <w:r>
        <w:t xml:space="preserve"> are shown in top two rows, while sequences with our proposed reannotation are shown in bottom two rows. The translation initiation site (TIS) and the respective Kozak sequences in the current and re-annotated protein sequences are highlighted in teal blue and purple. The signal peptides in the current and re-annotated protein sequences are shown in grey and brown boxes, respectively. The predicted intron sequence (highlighted in yellow) does not have correct donor and acceptor sites as well as polypyrimidine track and hence, </w:t>
      </w:r>
      <w:r w:rsidR="008D186B">
        <w:t xml:space="preserve">was </w:t>
      </w:r>
      <w:r>
        <w:t xml:space="preserve">re-annotated as part of the exon. The re-annotation identifies the second </w:t>
      </w:r>
      <w:proofErr w:type="spellStart"/>
      <w:r>
        <w:t>Cys</w:t>
      </w:r>
      <w:proofErr w:type="spellEnd"/>
      <w:r>
        <w:t xml:space="preserve"> that may form the disulphide bridge with other </w:t>
      </w:r>
      <w:proofErr w:type="spellStart"/>
      <w:r>
        <w:t>Cys</w:t>
      </w:r>
      <w:proofErr w:type="spellEnd"/>
      <w:r>
        <w:t xml:space="preserve"> residue (red fonts). The unique peptide sequences detected in our </w:t>
      </w:r>
      <w:proofErr w:type="spellStart"/>
      <w:r>
        <w:t>iTRAQ</w:t>
      </w:r>
      <w:proofErr w:type="spellEnd"/>
      <w:r>
        <w:t xml:space="preserve"> MS/MS analysis are highlighted in green. The arrowheads indicate potential </w:t>
      </w:r>
      <w:r w:rsidRPr="007C4E04">
        <w:rPr>
          <w:i/>
        </w:rPr>
        <w:t>N</w:t>
      </w:r>
      <w:r>
        <w:t>-glycosylation sites. The identification of the C-terminal peptide indicates that the</w:t>
      </w:r>
      <w:r w:rsidRPr="00E36AB0">
        <w:t xml:space="preserve"> </w:t>
      </w:r>
      <w:r w:rsidRPr="007C4E04">
        <w:rPr>
          <w:i/>
        </w:rPr>
        <w:t>N</w:t>
      </w:r>
      <w:r w:rsidRPr="00E36AB0">
        <w:t>-glycosylation site at the C-terminal</w:t>
      </w:r>
      <w:r>
        <w:t xml:space="preserve"> </w:t>
      </w:r>
      <w:r w:rsidRPr="00E36AB0">
        <w:t>is either not or partially glycosylated.</w:t>
      </w:r>
      <w:r>
        <w:t xml:space="preserve">  </w:t>
      </w:r>
    </w:p>
    <w:p w14:paraId="6EE3906F" w14:textId="77777777" w:rsidR="00E36AB0" w:rsidRDefault="00E36AB0" w:rsidP="007C2BC3">
      <w:pPr>
        <w:spacing w:line="480" w:lineRule="auto"/>
      </w:pPr>
    </w:p>
    <w:p w14:paraId="2039BC8A" w14:textId="24765D96" w:rsidR="00086CE3" w:rsidRPr="006764FA" w:rsidRDefault="008E2FF1" w:rsidP="007C2BC3">
      <w:pPr>
        <w:spacing w:line="480" w:lineRule="auto"/>
        <w:rPr>
          <w:lang w:val="en-US"/>
        </w:rPr>
      </w:pPr>
      <w:r w:rsidRPr="004B0523">
        <w:rPr>
          <w:b/>
          <w:bCs/>
        </w:rPr>
        <w:lastRenderedPageBreak/>
        <w:t>F</w:t>
      </w:r>
      <w:r w:rsidR="00507160">
        <w:rPr>
          <w:b/>
          <w:bCs/>
        </w:rPr>
        <w:t>ig</w:t>
      </w:r>
      <w:r w:rsidR="005A18CB">
        <w:rPr>
          <w:b/>
          <w:bCs/>
        </w:rPr>
        <w:t>.</w:t>
      </w:r>
      <w:r w:rsidR="00416491">
        <w:rPr>
          <w:b/>
          <w:bCs/>
        </w:rPr>
        <w:t xml:space="preserve"> S</w:t>
      </w:r>
      <w:r w:rsidR="004C013B">
        <w:rPr>
          <w:b/>
          <w:bCs/>
        </w:rPr>
        <w:t>6</w:t>
      </w:r>
      <w:r w:rsidR="008F7B9D">
        <w:rPr>
          <w:b/>
          <w:bCs/>
        </w:rPr>
        <w:t xml:space="preserve">. </w:t>
      </w:r>
      <w:r w:rsidR="00086CE3">
        <w:t xml:space="preserve">Phylogenetic tree of </w:t>
      </w:r>
      <w:r w:rsidR="00806F58" w:rsidRPr="001B4F81">
        <w:rPr>
          <w:i/>
        </w:rPr>
        <w:t>SGBAP</w:t>
      </w:r>
      <w:r w:rsidR="00806F58">
        <w:t xml:space="preserve"> (AAEL019996)</w:t>
      </w:r>
      <w:r w:rsidR="00086CE3">
        <w:t xml:space="preserve"> </w:t>
      </w:r>
      <w:r w:rsidR="00096EDD">
        <w:t xml:space="preserve">with </w:t>
      </w:r>
      <w:r w:rsidR="00276ACF">
        <w:t>2</w:t>
      </w:r>
      <w:r w:rsidR="00AD720C">
        <w:t>1</w:t>
      </w:r>
      <w:r w:rsidR="00276ACF">
        <w:t xml:space="preserve"> </w:t>
      </w:r>
      <w:r w:rsidR="00086CE3">
        <w:t>homologs in</w:t>
      </w:r>
      <w:r w:rsidR="00073DC8">
        <w:t xml:space="preserve"> </w:t>
      </w:r>
      <w:r w:rsidR="00073DC8" w:rsidRPr="00B001D0">
        <w:rPr>
          <w:i/>
        </w:rPr>
        <w:t>Aedes aegypti</w:t>
      </w:r>
      <w:r w:rsidR="00073DC8">
        <w:t>),</w:t>
      </w:r>
      <w:r w:rsidR="00086CE3">
        <w:t xml:space="preserve"> </w:t>
      </w:r>
      <w:r w:rsidR="00086CE3" w:rsidRPr="00B001D0">
        <w:rPr>
          <w:i/>
        </w:rPr>
        <w:t xml:space="preserve">Aedes </w:t>
      </w:r>
      <w:proofErr w:type="spellStart"/>
      <w:r w:rsidR="00086CE3" w:rsidRPr="00B001D0">
        <w:rPr>
          <w:i/>
        </w:rPr>
        <w:t>albopictus</w:t>
      </w:r>
      <w:r w:rsidR="00073DC8">
        <w:t>and</w:t>
      </w:r>
      <w:proofErr w:type="spellEnd"/>
      <w:r w:rsidR="00073DC8">
        <w:t xml:space="preserve"> </w:t>
      </w:r>
      <w:r w:rsidR="00073DC8" w:rsidRPr="00B001D0">
        <w:rPr>
          <w:i/>
        </w:rPr>
        <w:t>Culex quinquefasciatus</w:t>
      </w:r>
      <w:r w:rsidR="00073DC8">
        <w:t xml:space="preserve">. </w:t>
      </w:r>
      <w:r w:rsidR="006229C1">
        <w:t xml:space="preserve"> </w:t>
      </w:r>
      <w:r w:rsidR="006229C1">
        <w:rPr>
          <w:color w:val="000000"/>
          <w:shd w:val="clear" w:color="auto" w:fill="FFFFFF"/>
        </w:rPr>
        <w:t>A</w:t>
      </w:r>
      <w:r w:rsidR="006229C1" w:rsidRPr="00083130">
        <w:rPr>
          <w:color w:val="000000"/>
          <w:shd w:val="clear" w:color="auto" w:fill="FFFFFF"/>
        </w:rPr>
        <w:t xml:space="preserve"> bootstrap consensus tree inferred from 1000 replicates</w:t>
      </w:r>
      <w:r w:rsidR="006229C1">
        <w:rPr>
          <w:color w:val="000000"/>
          <w:shd w:val="clear" w:color="auto" w:fill="FFFFFF"/>
        </w:rPr>
        <w:t xml:space="preserve"> and</w:t>
      </w:r>
      <w:r w:rsidR="006229C1" w:rsidRPr="00083130">
        <w:rPr>
          <w:color w:val="000000"/>
          <w:shd w:val="clear" w:color="auto" w:fill="FFFFFF"/>
        </w:rPr>
        <w:t xml:space="preserve"> is taken to represent the evolutionary history of the taxa </w:t>
      </w:r>
      <w:r w:rsidR="006229C1">
        <w:rPr>
          <w:color w:val="000000"/>
          <w:shd w:val="clear" w:color="auto" w:fill="FFFFFF"/>
        </w:rPr>
        <w:t>analysed.</w:t>
      </w:r>
      <w:r w:rsidR="006229C1" w:rsidRPr="00CA3086" w:rsidDel="00096EDD">
        <w:t xml:space="preserve"> </w:t>
      </w:r>
      <w:r w:rsidR="00086CE3">
        <w:t xml:space="preserve">Bootstraps are </w:t>
      </w:r>
      <w:r w:rsidR="00276ACF">
        <w:t>noted at each node</w:t>
      </w:r>
      <w:r w:rsidR="00086CE3">
        <w:t xml:space="preserve">. </w:t>
      </w:r>
      <w:r w:rsidR="00EA0A9A">
        <w:t xml:space="preserve">AAEL </w:t>
      </w:r>
      <w:r w:rsidR="006764FA">
        <w:t>and CPI denotes</w:t>
      </w:r>
      <w:r w:rsidR="00EA0A9A">
        <w:t xml:space="preserve"> </w:t>
      </w:r>
      <w:r w:rsidR="00EA0A9A" w:rsidRPr="001B4F81">
        <w:rPr>
          <w:i/>
          <w:iCs/>
        </w:rPr>
        <w:t>A. aegypti</w:t>
      </w:r>
      <w:r w:rsidR="00691C05">
        <w:t xml:space="preserve"> </w:t>
      </w:r>
      <w:r w:rsidR="006764FA">
        <w:t xml:space="preserve">and </w:t>
      </w:r>
      <w:r w:rsidR="006764FA" w:rsidRPr="001B4F81">
        <w:rPr>
          <w:i/>
          <w:iCs/>
        </w:rPr>
        <w:t>C.</w:t>
      </w:r>
      <w:r w:rsidR="006764FA" w:rsidRPr="006764FA">
        <w:rPr>
          <w:i/>
        </w:rPr>
        <w:t xml:space="preserve"> </w:t>
      </w:r>
      <w:r w:rsidR="006764FA" w:rsidRPr="00335CB9">
        <w:rPr>
          <w:i/>
        </w:rPr>
        <w:t>quinquefasciatus</w:t>
      </w:r>
      <w:r w:rsidR="006764FA">
        <w:t xml:space="preserve"> </w:t>
      </w:r>
      <w:proofErr w:type="spellStart"/>
      <w:r w:rsidR="00096EDD">
        <w:t>VectorBase</w:t>
      </w:r>
      <w:proofErr w:type="spellEnd"/>
      <w:r w:rsidR="00691C05">
        <w:t xml:space="preserve"> </w:t>
      </w:r>
      <w:r w:rsidR="006764FA">
        <w:t>gene accession numbers</w:t>
      </w:r>
      <w:r w:rsidR="00691C05">
        <w:t>,</w:t>
      </w:r>
      <w:r w:rsidR="006764FA">
        <w:t xml:space="preserve"> respectively;</w:t>
      </w:r>
      <w:r w:rsidR="00691C05">
        <w:t xml:space="preserve"> Both AALF and</w:t>
      </w:r>
      <w:r w:rsidR="006764FA">
        <w:t xml:space="preserve"> LOC</w:t>
      </w:r>
      <w:r w:rsidR="00691C05">
        <w:fldChar w:fldCharType="begin"/>
      </w:r>
      <w:r w:rsidR="00691C05">
        <w:instrText xml:space="preserve"> ADDIN ZOTERO_ITEM CSL_CITATION {"citationID":"t85CDT5Y","properties":{"formattedCitation":"\\super 23\\nosupersub{}","plainCitation":"23","noteIndex":0},"citationItems":[{"id":1009,"uris":["http://zotero.org/users/5659518/items/YD7US8Y6"],"uri":["http://zotero.org/users/5659518/items/YD7US8Y6"],"itemData":{"id":1009,"type":"article-journal","abstract":"BACKGROUND: The Asian tiger mosquito Aedes albopictus is globally expanding and has become the main vector for human arboviruses in Europe. With limited antiviral drugs and vaccines available, vector control is the primary approach to prevent mosquito-borne diseases. A reliable and accurate DNA sequence of the Ae. albopictus genome is essential to develop new approaches that involve genetic manipulation of mosquitoes.\nRESULTS: We use long-read sequencing methods and modern scaffolding techniques (PacBio, 10X, and Hi-C) to produce AalbF2, a dramatically improved assembly of the Ae. albopictus genome. AalbF2 reveals widespread viral insertions, novel microRNAs and piRNA clusters, the sex-determining locus, and new immunity genes, and enables genome-wide studies of geographically diverse Ae. albopictus populations and analyses of the developmental and stage-dependent network of expression data. Additionally, we build the first physical map for this species with 75% of the assembled genome anchored to the chromosomes.\nCONCLUSION: The AalbF2 genome assembly represents the most up-to-date collective knowledge of the Ae. albopictus genome. These resources represent a foundation to improve understanding of the adaptation potential and the epidemiological relevance of this species and foster the development of innovative control measures.","container-title":"Genome Biology","DOI":"10.1186/s13059-020-02141-w","ISSN":"1474-760X","issue":"1","journalAbbreviation":"Genome Biol","language":"eng","note":"PMID: 32847630\nPMCID: PMC7448346","page":"215","source":"PubMed","title":"Improved reference genome of the arboviral vector Aedes albopictus","volume":"21","author":[{"family":"Palatini","given":"Umberto"},{"family":"Masri","given":"Reem A."},{"family":"Cosme","given":"Luciano V."},{"family":"Koren","given":"Sergey"},{"family":"Thibaud-Nissen","given":"Françoise"},{"family":"Biedler","given":"James K."},{"family":"Krsticevic","given":"Flavia"},{"family":"Johnston","given":"J. Spencer"},{"family":"Halbach","given":"Rebecca"},{"family":"Crawford","given":"Jacob E."},{"family":"Antoshechkin","given":"Igor"},{"family":"Failloux","given":"Anna-Bella"},{"family":"Pischedda","given":"Elisa"},{"family":"Marconcini","given":"Michele"},{"family":"Ghurye","given":"Jay"},{"family":"Rhie","given":"Arang"},{"family":"Sharma","given":"Atashi"},{"family":"Karagodin","given":"Dmitry A."},{"family":"Jenrette","given":"Jeremy"},{"family":"Gamez","given":"Stephanie"},{"family":"Miesen","given":"Pascal"},{"family":"Masterson","given":"Patrick"},{"family":"Caccone","given":"Adalgisa"},{"family":"Sharakhova","given":"Maria V."},{"family":"Tu","given":"Zhijian"},{"family":"Papathanos","given":"Philippos A."},{"family":"Van Rij","given":"Ronald P."},{"family":"Akbari","given":"Omar S."},{"family":"Powell","given":"Jeffrey"},{"family":"Phillippy","given":"Adam M."},{"family":"Bonizzoni","given":"Mariangela"}],"issued":{"date-parts":[["2020",8,26]]}}}],"schema":"https://github.com/citation-style-language/schema/raw/master/csl-citation.json"} </w:instrText>
      </w:r>
      <w:r w:rsidR="00691C05">
        <w:fldChar w:fldCharType="separate"/>
      </w:r>
      <w:r w:rsidR="00691C05" w:rsidRPr="00691C05">
        <w:rPr>
          <w:vertAlign w:val="superscript"/>
        </w:rPr>
        <w:t>23</w:t>
      </w:r>
      <w:r w:rsidR="00691C05">
        <w:fldChar w:fldCharType="end"/>
      </w:r>
      <w:r w:rsidR="006764FA">
        <w:t xml:space="preserve"> denote </w:t>
      </w:r>
      <w:r w:rsidR="006764FA" w:rsidRPr="000C5722">
        <w:rPr>
          <w:i/>
          <w:iCs/>
        </w:rPr>
        <w:t>A. albopictus</w:t>
      </w:r>
      <w:r w:rsidR="006764FA">
        <w:rPr>
          <w:i/>
          <w:iCs/>
        </w:rPr>
        <w:t xml:space="preserve"> </w:t>
      </w:r>
      <w:r w:rsidR="006764FA">
        <w:t>gene</w:t>
      </w:r>
      <w:r w:rsidR="00691C05">
        <w:t xml:space="preserve"> IDs from </w:t>
      </w:r>
      <w:proofErr w:type="spellStart"/>
      <w:r w:rsidR="00096EDD">
        <w:t>VectorBase</w:t>
      </w:r>
      <w:proofErr w:type="spellEnd"/>
      <w:r w:rsidR="00096EDD">
        <w:t xml:space="preserve"> </w:t>
      </w:r>
      <w:r w:rsidR="006764FA">
        <w:t xml:space="preserve">. </w:t>
      </w:r>
    </w:p>
    <w:p w14:paraId="3F217909" w14:textId="77777777" w:rsidR="000F3A82" w:rsidRPr="00B001D0" w:rsidRDefault="000F3A82" w:rsidP="007C2BC3">
      <w:pPr>
        <w:spacing w:line="480" w:lineRule="auto"/>
        <w:rPr>
          <w:lang w:val="en-US"/>
        </w:rPr>
      </w:pPr>
    </w:p>
    <w:p w14:paraId="3F64CF24" w14:textId="77777777" w:rsidR="004B3026" w:rsidRPr="004B0523" w:rsidRDefault="004B3026" w:rsidP="007C2BC3">
      <w:pPr>
        <w:spacing w:line="480" w:lineRule="auto"/>
      </w:pPr>
    </w:p>
    <w:p w14:paraId="022D19CD" w14:textId="33EF94F6" w:rsidR="000F3A82" w:rsidRPr="00507160" w:rsidRDefault="00416491" w:rsidP="007C2BC3">
      <w:pPr>
        <w:spacing w:line="480" w:lineRule="auto"/>
        <w:rPr>
          <w:b/>
          <w:bCs/>
        </w:rPr>
      </w:pPr>
      <w:r w:rsidRPr="0016213A">
        <w:rPr>
          <w:b/>
          <w:bCs/>
        </w:rPr>
        <w:t>T</w:t>
      </w:r>
      <w:r w:rsidR="00507160" w:rsidRPr="00507160">
        <w:rPr>
          <w:b/>
          <w:bCs/>
        </w:rPr>
        <w:t>able legends</w:t>
      </w:r>
    </w:p>
    <w:p w14:paraId="196B69AD" w14:textId="77777777" w:rsidR="004B3026" w:rsidRDefault="004B3026" w:rsidP="007C2BC3">
      <w:pPr>
        <w:spacing w:line="480" w:lineRule="auto"/>
        <w:rPr>
          <w:b/>
          <w:bCs/>
        </w:rPr>
      </w:pPr>
    </w:p>
    <w:p w14:paraId="48C1E445" w14:textId="77777777" w:rsidR="004B3026" w:rsidRDefault="004B3026" w:rsidP="007C2BC3">
      <w:pPr>
        <w:spacing w:line="480" w:lineRule="auto"/>
        <w:rPr>
          <w:b/>
          <w:bCs/>
        </w:rPr>
      </w:pPr>
    </w:p>
    <w:p w14:paraId="1189246D" w14:textId="77777777" w:rsidR="000F3A82" w:rsidRDefault="000F3A82" w:rsidP="007C2BC3">
      <w:pPr>
        <w:spacing w:line="480" w:lineRule="auto"/>
        <w:rPr>
          <w:b/>
          <w:bCs/>
        </w:rPr>
      </w:pPr>
    </w:p>
    <w:p w14:paraId="55471A60" w14:textId="30B52A0D" w:rsidR="000F3A82" w:rsidRPr="002805AE" w:rsidRDefault="00507160" w:rsidP="007C2BC3">
      <w:pPr>
        <w:spacing w:line="480" w:lineRule="auto"/>
        <w:rPr>
          <w:b/>
        </w:rPr>
      </w:pPr>
      <w:r>
        <w:rPr>
          <w:b/>
          <w:bCs/>
        </w:rPr>
        <w:t xml:space="preserve">Table </w:t>
      </w:r>
      <w:r w:rsidR="00416491">
        <w:rPr>
          <w:b/>
          <w:bCs/>
        </w:rPr>
        <w:t>S</w:t>
      </w:r>
      <w:r w:rsidR="009F76D0">
        <w:rPr>
          <w:b/>
          <w:bCs/>
        </w:rPr>
        <w:t>1</w:t>
      </w:r>
      <w:r w:rsidR="000F3A82">
        <w:rPr>
          <w:b/>
          <w:bCs/>
        </w:rPr>
        <w:t xml:space="preserve">. </w:t>
      </w:r>
      <w:r w:rsidR="000F3A82" w:rsidRPr="00416491">
        <w:rPr>
          <w:bCs/>
        </w:rPr>
        <w:t>Primer sequences for RNAi silencing and RT-qPCR quantification</w:t>
      </w:r>
    </w:p>
    <w:tbl>
      <w:tblPr>
        <w:tblStyle w:val="TableGrid"/>
        <w:tblW w:w="9498" w:type="dxa"/>
        <w:tblLook w:val="04A0" w:firstRow="1" w:lastRow="0" w:firstColumn="1" w:lastColumn="0" w:noHBand="0" w:noVBand="1"/>
      </w:tblPr>
      <w:tblGrid>
        <w:gridCol w:w="2335"/>
        <w:gridCol w:w="3443"/>
        <w:gridCol w:w="3720"/>
      </w:tblGrid>
      <w:tr w:rsidR="000F3A82" w:rsidRPr="002805AE" w14:paraId="615766ED" w14:textId="77777777" w:rsidTr="0003794B">
        <w:trPr>
          <w:trHeight w:val="315"/>
        </w:trPr>
        <w:tc>
          <w:tcPr>
            <w:tcW w:w="2335" w:type="dxa"/>
            <w:tcBorders>
              <w:top w:val="single" w:sz="4" w:space="0" w:color="auto"/>
              <w:left w:val="nil"/>
              <w:bottom w:val="single" w:sz="4" w:space="0" w:color="auto"/>
              <w:right w:val="nil"/>
            </w:tcBorders>
            <w:hideMark/>
          </w:tcPr>
          <w:p w14:paraId="23CBB83B" w14:textId="77777777" w:rsidR="000F3A82" w:rsidRPr="002805AE" w:rsidRDefault="000F3A82" w:rsidP="00AB109C">
            <w:pPr>
              <w:spacing w:line="480" w:lineRule="auto"/>
              <w:rPr>
                <w:rFonts w:eastAsiaTheme="minorEastAsia"/>
                <w:b/>
                <w:bCs/>
                <w:sz w:val="18"/>
                <w:szCs w:val="18"/>
              </w:rPr>
            </w:pPr>
            <w:r w:rsidRPr="002805AE">
              <w:rPr>
                <w:rFonts w:eastAsiaTheme="minorEastAsia"/>
                <w:b/>
                <w:bCs/>
                <w:sz w:val="18"/>
                <w:szCs w:val="18"/>
              </w:rPr>
              <w:t>Gene name/ Acc. No.</w:t>
            </w:r>
          </w:p>
        </w:tc>
        <w:tc>
          <w:tcPr>
            <w:tcW w:w="3443" w:type="dxa"/>
            <w:tcBorders>
              <w:top w:val="single" w:sz="4" w:space="0" w:color="auto"/>
              <w:left w:val="nil"/>
              <w:bottom w:val="single" w:sz="4" w:space="0" w:color="auto"/>
              <w:right w:val="nil"/>
            </w:tcBorders>
            <w:hideMark/>
          </w:tcPr>
          <w:p w14:paraId="596783BA" w14:textId="77777777" w:rsidR="000F3A82" w:rsidRPr="002805AE" w:rsidRDefault="000F3A82" w:rsidP="00AB109C">
            <w:pPr>
              <w:spacing w:line="480" w:lineRule="auto"/>
              <w:rPr>
                <w:rFonts w:eastAsiaTheme="minorEastAsia"/>
                <w:b/>
                <w:bCs/>
                <w:sz w:val="18"/>
                <w:szCs w:val="18"/>
              </w:rPr>
            </w:pPr>
            <w:r w:rsidRPr="002805AE">
              <w:rPr>
                <w:rFonts w:eastAsiaTheme="minorEastAsia"/>
                <w:b/>
                <w:bCs/>
                <w:sz w:val="18"/>
                <w:szCs w:val="18"/>
              </w:rPr>
              <w:t>dsRNA primers</w:t>
            </w:r>
          </w:p>
        </w:tc>
        <w:tc>
          <w:tcPr>
            <w:tcW w:w="3720" w:type="dxa"/>
            <w:tcBorders>
              <w:top w:val="single" w:sz="4" w:space="0" w:color="auto"/>
              <w:left w:val="nil"/>
              <w:bottom w:val="single" w:sz="4" w:space="0" w:color="auto"/>
              <w:right w:val="nil"/>
            </w:tcBorders>
            <w:hideMark/>
          </w:tcPr>
          <w:p w14:paraId="73355DAB" w14:textId="77777777" w:rsidR="000F3A82" w:rsidRPr="002805AE" w:rsidRDefault="000F3A82" w:rsidP="00AB109C">
            <w:pPr>
              <w:spacing w:line="480" w:lineRule="auto"/>
              <w:rPr>
                <w:rFonts w:eastAsiaTheme="minorEastAsia"/>
                <w:b/>
                <w:bCs/>
                <w:sz w:val="18"/>
                <w:szCs w:val="18"/>
              </w:rPr>
            </w:pPr>
            <w:r w:rsidRPr="002805AE">
              <w:rPr>
                <w:rFonts w:eastAsiaTheme="minorEastAsia"/>
                <w:b/>
                <w:bCs/>
                <w:sz w:val="18"/>
                <w:szCs w:val="18"/>
              </w:rPr>
              <w:t>RT-qPCR primers</w:t>
            </w:r>
          </w:p>
        </w:tc>
      </w:tr>
      <w:tr w:rsidR="000F3A82" w:rsidRPr="002805AE" w14:paraId="7B759FB8" w14:textId="77777777" w:rsidTr="00E9311F">
        <w:trPr>
          <w:trHeight w:val="269"/>
        </w:trPr>
        <w:tc>
          <w:tcPr>
            <w:tcW w:w="2335" w:type="dxa"/>
            <w:tcBorders>
              <w:top w:val="single" w:sz="4" w:space="0" w:color="auto"/>
              <w:left w:val="nil"/>
              <w:bottom w:val="nil"/>
              <w:right w:val="nil"/>
            </w:tcBorders>
            <w:noWrap/>
          </w:tcPr>
          <w:p w14:paraId="71146B09" w14:textId="77777777" w:rsidR="000F3A82" w:rsidRPr="002805AE" w:rsidRDefault="000F3A82" w:rsidP="00396641">
            <w:pPr>
              <w:spacing w:line="480" w:lineRule="auto"/>
              <w:rPr>
                <w:rFonts w:eastAsiaTheme="minorEastAsia"/>
                <w:sz w:val="18"/>
                <w:szCs w:val="18"/>
              </w:rPr>
            </w:pPr>
            <w:r w:rsidRPr="00826099">
              <w:rPr>
                <w:rFonts w:eastAsiaTheme="minorEastAsia"/>
                <w:i/>
                <w:sz w:val="18"/>
                <w:szCs w:val="18"/>
              </w:rPr>
              <w:t>Actin</w:t>
            </w:r>
            <w:r>
              <w:rPr>
                <w:rFonts w:eastAsiaTheme="minorEastAsia"/>
                <w:sz w:val="18"/>
                <w:szCs w:val="18"/>
              </w:rPr>
              <w:t xml:space="preserve"> / AAEL011197</w:t>
            </w:r>
          </w:p>
        </w:tc>
        <w:tc>
          <w:tcPr>
            <w:tcW w:w="3443" w:type="dxa"/>
            <w:tcBorders>
              <w:top w:val="single" w:sz="4" w:space="0" w:color="auto"/>
              <w:left w:val="nil"/>
              <w:bottom w:val="nil"/>
              <w:right w:val="nil"/>
            </w:tcBorders>
            <w:noWrap/>
          </w:tcPr>
          <w:p w14:paraId="375B296A" w14:textId="77777777" w:rsidR="000F3A82" w:rsidRPr="002805AE" w:rsidRDefault="000F3A82" w:rsidP="00396641">
            <w:pPr>
              <w:spacing w:line="480" w:lineRule="auto"/>
              <w:rPr>
                <w:rFonts w:eastAsiaTheme="minorEastAsia"/>
                <w:sz w:val="18"/>
                <w:szCs w:val="18"/>
              </w:rPr>
            </w:pPr>
          </w:p>
        </w:tc>
        <w:tc>
          <w:tcPr>
            <w:tcW w:w="3720" w:type="dxa"/>
            <w:tcBorders>
              <w:top w:val="single" w:sz="4" w:space="0" w:color="auto"/>
              <w:left w:val="nil"/>
              <w:bottom w:val="nil"/>
              <w:right w:val="nil"/>
            </w:tcBorders>
            <w:noWrap/>
          </w:tcPr>
          <w:p w14:paraId="3F5085C6" w14:textId="77777777" w:rsidR="000F3A82" w:rsidRPr="002805AE" w:rsidRDefault="000F3A82" w:rsidP="0067292D">
            <w:pPr>
              <w:spacing w:line="480" w:lineRule="auto"/>
              <w:rPr>
                <w:rFonts w:eastAsiaTheme="minorEastAsia"/>
                <w:color w:val="000000" w:themeColor="text1"/>
                <w:sz w:val="18"/>
                <w:szCs w:val="18"/>
              </w:rPr>
            </w:pPr>
            <w:proofErr w:type="spellStart"/>
            <w:r w:rsidRPr="002805AE">
              <w:rPr>
                <w:rFonts w:eastAsiaTheme="minorEastAsia"/>
                <w:color w:val="000000" w:themeColor="text1"/>
                <w:sz w:val="18"/>
                <w:szCs w:val="18"/>
              </w:rPr>
              <w:t>Fw</w:t>
            </w:r>
            <w:proofErr w:type="spellEnd"/>
            <w:r w:rsidRPr="002805AE">
              <w:rPr>
                <w:rFonts w:eastAsiaTheme="minorEastAsia"/>
                <w:color w:val="000000" w:themeColor="text1"/>
                <w:sz w:val="18"/>
                <w:szCs w:val="18"/>
              </w:rPr>
              <w:t>: GAACACCCAGTCCTGCTGACA</w:t>
            </w:r>
          </w:p>
          <w:p w14:paraId="2C70B8FD" w14:textId="67FBB901" w:rsidR="000F3A82" w:rsidRPr="002805AE" w:rsidRDefault="000F3A82" w:rsidP="0003794B">
            <w:pPr>
              <w:spacing w:line="480" w:lineRule="auto"/>
              <w:rPr>
                <w:rFonts w:eastAsiaTheme="minorEastAsia"/>
                <w:sz w:val="18"/>
                <w:szCs w:val="18"/>
              </w:rPr>
            </w:pPr>
            <w:proofErr w:type="spellStart"/>
            <w:r w:rsidRPr="002805AE">
              <w:rPr>
                <w:rFonts w:eastAsiaTheme="minorEastAsia"/>
                <w:color w:val="000000" w:themeColor="text1"/>
                <w:sz w:val="18"/>
                <w:szCs w:val="18"/>
              </w:rPr>
              <w:t>Rv</w:t>
            </w:r>
            <w:proofErr w:type="spellEnd"/>
            <w:r w:rsidRPr="002805AE">
              <w:rPr>
                <w:rFonts w:eastAsiaTheme="minorEastAsia"/>
                <w:color w:val="000000" w:themeColor="text1"/>
                <w:sz w:val="18"/>
                <w:szCs w:val="18"/>
              </w:rPr>
              <w:t>: TGCGTCATCTTCTCACGGTTAG</w:t>
            </w:r>
          </w:p>
        </w:tc>
      </w:tr>
      <w:tr w:rsidR="000F3A82" w:rsidRPr="002805AE" w14:paraId="24965000" w14:textId="77777777" w:rsidTr="00E9311F">
        <w:trPr>
          <w:trHeight w:val="1096"/>
        </w:trPr>
        <w:tc>
          <w:tcPr>
            <w:tcW w:w="2335" w:type="dxa"/>
            <w:tcBorders>
              <w:top w:val="nil"/>
              <w:left w:val="nil"/>
              <w:bottom w:val="nil"/>
              <w:right w:val="nil"/>
            </w:tcBorders>
            <w:noWrap/>
          </w:tcPr>
          <w:p w14:paraId="6A7D3F91" w14:textId="77777777" w:rsidR="000F3A82" w:rsidRPr="006C2F2B" w:rsidRDefault="000F3A82" w:rsidP="00396641">
            <w:pPr>
              <w:spacing w:line="480" w:lineRule="auto"/>
              <w:rPr>
                <w:rFonts w:eastAsiaTheme="minorEastAsia"/>
                <w:i/>
                <w:sz w:val="18"/>
                <w:szCs w:val="18"/>
              </w:rPr>
            </w:pPr>
            <w:r w:rsidRPr="006C2F2B">
              <w:rPr>
                <w:rFonts w:eastAsiaTheme="minorEastAsia"/>
                <w:i/>
                <w:sz w:val="18"/>
                <w:szCs w:val="18"/>
              </w:rPr>
              <w:t>Lac Z</w:t>
            </w:r>
          </w:p>
        </w:tc>
        <w:tc>
          <w:tcPr>
            <w:tcW w:w="3443" w:type="dxa"/>
            <w:tcBorders>
              <w:top w:val="nil"/>
              <w:left w:val="nil"/>
              <w:bottom w:val="nil"/>
              <w:right w:val="nil"/>
            </w:tcBorders>
            <w:noWrap/>
          </w:tcPr>
          <w:p w14:paraId="61FC82E7" w14:textId="77777777" w:rsidR="000F3A82" w:rsidRPr="002805AE" w:rsidRDefault="000F3A82" w:rsidP="0003794B">
            <w:pPr>
              <w:spacing w:line="480" w:lineRule="auto"/>
              <w:rPr>
                <w:rFonts w:eastAsiaTheme="minorEastAsia"/>
                <w:color w:val="000000" w:themeColor="text1"/>
                <w:sz w:val="18"/>
                <w:szCs w:val="18"/>
              </w:rPr>
            </w:pPr>
            <w:proofErr w:type="spellStart"/>
            <w:r w:rsidRPr="002805AE">
              <w:rPr>
                <w:rFonts w:eastAsiaTheme="minorEastAsia"/>
                <w:color w:val="000000" w:themeColor="text1"/>
                <w:sz w:val="18"/>
                <w:szCs w:val="18"/>
              </w:rPr>
              <w:t>Fw</w:t>
            </w:r>
            <w:proofErr w:type="spellEnd"/>
            <w:r w:rsidRPr="002805AE">
              <w:rPr>
                <w:rFonts w:eastAsiaTheme="minorEastAsia"/>
                <w:color w:val="000000" w:themeColor="text1"/>
                <w:sz w:val="18"/>
                <w:szCs w:val="18"/>
              </w:rPr>
              <w:t>: TACCCGTAGGTAGTCACGCA</w:t>
            </w:r>
          </w:p>
          <w:p w14:paraId="2F36C0F8" w14:textId="77777777" w:rsidR="000F3A82" w:rsidRPr="002805AE" w:rsidRDefault="000F3A82" w:rsidP="0003794B">
            <w:pPr>
              <w:spacing w:line="480" w:lineRule="auto"/>
              <w:rPr>
                <w:rFonts w:eastAsiaTheme="minorEastAsia"/>
                <w:color w:val="000000" w:themeColor="text1"/>
                <w:sz w:val="18"/>
                <w:szCs w:val="18"/>
              </w:rPr>
            </w:pPr>
            <w:proofErr w:type="spellStart"/>
            <w:r w:rsidRPr="002805AE">
              <w:rPr>
                <w:rFonts w:eastAsiaTheme="minorEastAsia"/>
                <w:sz w:val="18"/>
                <w:szCs w:val="18"/>
              </w:rPr>
              <w:t>Rv</w:t>
            </w:r>
            <w:proofErr w:type="spellEnd"/>
            <w:r w:rsidRPr="002805AE">
              <w:rPr>
                <w:rFonts w:eastAsiaTheme="minorEastAsia"/>
                <w:sz w:val="18"/>
                <w:szCs w:val="18"/>
              </w:rPr>
              <w:t>:</w:t>
            </w:r>
            <w:r w:rsidRPr="002805AE">
              <w:rPr>
                <w:rFonts w:eastAsiaTheme="minorEastAsia"/>
                <w:color w:val="000000" w:themeColor="text1"/>
                <w:sz w:val="18"/>
                <w:szCs w:val="18"/>
              </w:rPr>
              <w:t xml:space="preserve"> TACGATGCGCCCATCTACAC</w:t>
            </w:r>
          </w:p>
        </w:tc>
        <w:tc>
          <w:tcPr>
            <w:tcW w:w="3720" w:type="dxa"/>
            <w:tcBorders>
              <w:top w:val="nil"/>
              <w:left w:val="nil"/>
              <w:bottom w:val="nil"/>
              <w:right w:val="nil"/>
            </w:tcBorders>
            <w:noWrap/>
          </w:tcPr>
          <w:p w14:paraId="6295B6E5" w14:textId="77777777" w:rsidR="000F3A82" w:rsidRPr="002805AE" w:rsidRDefault="000F3A82" w:rsidP="0003794B">
            <w:pPr>
              <w:spacing w:line="480" w:lineRule="auto"/>
              <w:rPr>
                <w:rFonts w:eastAsiaTheme="minorEastAsia"/>
                <w:sz w:val="18"/>
                <w:szCs w:val="18"/>
              </w:rPr>
            </w:pPr>
          </w:p>
        </w:tc>
      </w:tr>
      <w:tr w:rsidR="000F3A82" w:rsidRPr="002805AE" w14:paraId="61887864" w14:textId="77777777" w:rsidTr="00E9311F">
        <w:trPr>
          <w:trHeight w:val="640"/>
        </w:trPr>
        <w:tc>
          <w:tcPr>
            <w:tcW w:w="2335" w:type="dxa"/>
            <w:tcBorders>
              <w:top w:val="nil"/>
              <w:left w:val="nil"/>
              <w:bottom w:val="nil"/>
              <w:right w:val="nil"/>
            </w:tcBorders>
            <w:noWrap/>
            <w:hideMark/>
          </w:tcPr>
          <w:p w14:paraId="3587DD8D" w14:textId="77777777" w:rsidR="000F3A82" w:rsidRDefault="000F3A82" w:rsidP="00396641">
            <w:pPr>
              <w:spacing w:line="480" w:lineRule="auto"/>
              <w:rPr>
                <w:rFonts w:eastAsiaTheme="minorEastAsia"/>
                <w:sz w:val="18"/>
                <w:szCs w:val="18"/>
              </w:rPr>
            </w:pPr>
            <w:r w:rsidRPr="002805AE">
              <w:rPr>
                <w:rFonts w:eastAsiaTheme="minorEastAsia"/>
                <w:sz w:val="18"/>
                <w:szCs w:val="18"/>
              </w:rPr>
              <w:t> </w:t>
            </w:r>
            <w:r w:rsidRPr="005831ED">
              <w:rPr>
                <w:rFonts w:eastAsiaTheme="minorEastAsia"/>
                <w:i/>
                <w:iCs/>
                <w:sz w:val="18"/>
                <w:szCs w:val="18"/>
              </w:rPr>
              <w:t>ADA</w:t>
            </w:r>
            <w:r>
              <w:rPr>
                <w:rFonts w:eastAsiaTheme="minorEastAsia"/>
                <w:sz w:val="18"/>
                <w:szCs w:val="18"/>
              </w:rPr>
              <w:t>/</w:t>
            </w:r>
            <w:r w:rsidR="005831ED">
              <w:rPr>
                <w:rFonts w:eastAsiaTheme="minorEastAsia"/>
                <w:sz w:val="18"/>
                <w:szCs w:val="18"/>
              </w:rPr>
              <w:t xml:space="preserve"> AAEL005672</w:t>
            </w:r>
          </w:p>
          <w:p w14:paraId="384B43FD" w14:textId="77777777" w:rsidR="000F3A82" w:rsidRPr="000F3A82" w:rsidRDefault="000F3A82" w:rsidP="00396641">
            <w:pPr>
              <w:spacing w:line="480" w:lineRule="auto"/>
              <w:rPr>
                <w:rFonts w:eastAsiaTheme="minorEastAsia"/>
                <w:sz w:val="18"/>
                <w:szCs w:val="18"/>
              </w:rPr>
            </w:pPr>
          </w:p>
        </w:tc>
        <w:tc>
          <w:tcPr>
            <w:tcW w:w="3443" w:type="dxa"/>
            <w:tcBorders>
              <w:top w:val="nil"/>
              <w:left w:val="nil"/>
              <w:bottom w:val="nil"/>
              <w:right w:val="nil"/>
            </w:tcBorders>
            <w:noWrap/>
            <w:hideMark/>
          </w:tcPr>
          <w:p w14:paraId="19200785" w14:textId="77777777" w:rsidR="00D81914" w:rsidRDefault="000F3A82" w:rsidP="00E9311F">
            <w:pPr>
              <w:spacing w:line="480" w:lineRule="auto"/>
              <w:rPr>
                <w:rFonts w:eastAsiaTheme="minorEastAsia"/>
                <w:sz w:val="18"/>
                <w:szCs w:val="18"/>
              </w:rPr>
            </w:pPr>
            <w:proofErr w:type="spellStart"/>
            <w:r w:rsidRPr="002805AE">
              <w:rPr>
                <w:rFonts w:eastAsiaTheme="minorEastAsia"/>
                <w:sz w:val="18"/>
                <w:szCs w:val="18"/>
              </w:rPr>
              <w:t>Fw</w:t>
            </w:r>
            <w:proofErr w:type="spellEnd"/>
            <w:r w:rsidRPr="002805AE">
              <w:rPr>
                <w:rFonts w:eastAsiaTheme="minorEastAsia"/>
                <w:sz w:val="18"/>
                <w:szCs w:val="18"/>
              </w:rPr>
              <w:t xml:space="preserve">: </w:t>
            </w:r>
            <w:r w:rsidR="005831ED" w:rsidRPr="005831ED">
              <w:rPr>
                <w:rFonts w:eastAsiaTheme="minorEastAsia"/>
                <w:sz w:val="18"/>
                <w:szCs w:val="18"/>
              </w:rPr>
              <w:t>GGTATCACATGGGCCACAAT</w:t>
            </w:r>
          </w:p>
          <w:p w14:paraId="43D6638C" w14:textId="024B2D93" w:rsidR="000F3A82" w:rsidRPr="002805AE" w:rsidRDefault="000F3A82" w:rsidP="00E9311F">
            <w:pPr>
              <w:spacing w:line="480" w:lineRule="auto"/>
              <w:rPr>
                <w:rFonts w:eastAsiaTheme="minorEastAsia"/>
                <w:sz w:val="18"/>
                <w:szCs w:val="18"/>
              </w:rPr>
            </w:pPr>
            <w:proofErr w:type="spellStart"/>
            <w:r w:rsidRPr="002805AE">
              <w:rPr>
                <w:rFonts w:eastAsiaTheme="minorEastAsia"/>
                <w:sz w:val="18"/>
                <w:szCs w:val="18"/>
              </w:rPr>
              <w:t>Rv</w:t>
            </w:r>
            <w:proofErr w:type="spellEnd"/>
            <w:r w:rsidRPr="002805AE">
              <w:rPr>
                <w:rFonts w:eastAsiaTheme="minorEastAsia"/>
                <w:sz w:val="18"/>
                <w:szCs w:val="18"/>
              </w:rPr>
              <w:t xml:space="preserve">:  </w:t>
            </w:r>
            <w:r w:rsidR="005831ED" w:rsidRPr="005831ED">
              <w:rPr>
                <w:rFonts w:eastAsiaTheme="minorEastAsia"/>
                <w:sz w:val="18"/>
                <w:szCs w:val="18"/>
              </w:rPr>
              <w:t>ATTCCGGATGATTCGATTTG</w:t>
            </w:r>
          </w:p>
        </w:tc>
        <w:tc>
          <w:tcPr>
            <w:tcW w:w="3720" w:type="dxa"/>
            <w:tcBorders>
              <w:top w:val="nil"/>
              <w:left w:val="nil"/>
              <w:bottom w:val="nil"/>
              <w:right w:val="nil"/>
            </w:tcBorders>
            <w:noWrap/>
            <w:hideMark/>
          </w:tcPr>
          <w:p w14:paraId="12B5BFB7" w14:textId="7D54EC2B" w:rsidR="000F3A82" w:rsidRPr="00D81914" w:rsidRDefault="000F3A82" w:rsidP="00D81914">
            <w:pPr>
              <w:spacing w:after="120" w:line="480" w:lineRule="auto"/>
              <w:rPr>
                <w:rFonts w:eastAsiaTheme="minorEastAsia"/>
                <w:sz w:val="18"/>
                <w:szCs w:val="18"/>
              </w:rPr>
            </w:pPr>
            <w:proofErr w:type="spellStart"/>
            <w:r w:rsidRPr="0003794B">
              <w:rPr>
                <w:rFonts w:eastAsiaTheme="minorEastAsia"/>
                <w:sz w:val="18"/>
                <w:szCs w:val="18"/>
              </w:rPr>
              <w:t>Fw</w:t>
            </w:r>
            <w:proofErr w:type="spellEnd"/>
            <w:r w:rsidRPr="0003794B">
              <w:rPr>
                <w:rFonts w:eastAsiaTheme="minorEastAsia"/>
                <w:sz w:val="18"/>
                <w:szCs w:val="18"/>
              </w:rPr>
              <w:t xml:space="preserve">: </w:t>
            </w:r>
            <w:r w:rsidR="005831ED" w:rsidRPr="0003794B">
              <w:rPr>
                <w:rFonts w:eastAsiaTheme="minorEastAsia"/>
                <w:sz w:val="18"/>
                <w:szCs w:val="18"/>
              </w:rPr>
              <w:t>TGCTTGACCGTTTCGGACAG</w:t>
            </w:r>
            <w:r w:rsidRPr="0003794B">
              <w:rPr>
                <w:rFonts w:eastAsiaTheme="minorEastAsia"/>
                <w:sz w:val="18"/>
                <w:szCs w:val="18"/>
              </w:rPr>
              <w:br/>
            </w:r>
            <w:proofErr w:type="spellStart"/>
            <w:r w:rsidRPr="0003794B">
              <w:rPr>
                <w:rFonts w:eastAsiaTheme="minorEastAsia"/>
                <w:sz w:val="18"/>
                <w:szCs w:val="18"/>
              </w:rPr>
              <w:t>Rv</w:t>
            </w:r>
            <w:proofErr w:type="spellEnd"/>
            <w:r w:rsidRPr="0003794B">
              <w:rPr>
                <w:rFonts w:eastAsiaTheme="minorEastAsia"/>
                <w:sz w:val="18"/>
                <w:szCs w:val="18"/>
              </w:rPr>
              <w:t xml:space="preserve">: </w:t>
            </w:r>
            <w:r w:rsidR="005831ED" w:rsidRPr="0003794B">
              <w:rPr>
                <w:rFonts w:eastAsiaTheme="minorEastAsia"/>
                <w:sz w:val="18"/>
                <w:szCs w:val="18"/>
              </w:rPr>
              <w:t>CAGTGCTGCCCAAAGCCATA</w:t>
            </w:r>
          </w:p>
        </w:tc>
      </w:tr>
      <w:tr w:rsidR="000F3A82" w:rsidRPr="002805AE" w14:paraId="05B35628" w14:textId="77777777" w:rsidTr="00E9311F">
        <w:trPr>
          <w:trHeight w:val="315"/>
        </w:trPr>
        <w:tc>
          <w:tcPr>
            <w:tcW w:w="2335" w:type="dxa"/>
            <w:tcBorders>
              <w:top w:val="nil"/>
              <w:left w:val="nil"/>
              <w:bottom w:val="nil"/>
              <w:right w:val="nil"/>
            </w:tcBorders>
            <w:noWrap/>
            <w:hideMark/>
          </w:tcPr>
          <w:p w14:paraId="4B7F74E9" w14:textId="77777777" w:rsidR="000F3A82" w:rsidRPr="002805AE" w:rsidRDefault="000F3A82" w:rsidP="0003794B">
            <w:pPr>
              <w:spacing w:line="480" w:lineRule="auto"/>
              <w:rPr>
                <w:rFonts w:eastAsiaTheme="minorEastAsia"/>
                <w:sz w:val="18"/>
                <w:szCs w:val="18"/>
              </w:rPr>
            </w:pPr>
            <w:r w:rsidRPr="005831ED">
              <w:rPr>
                <w:rFonts w:eastAsiaTheme="minorEastAsia"/>
                <w:i/>
                <w:iCs/>
                <w:sz w:val="18"/>
                <w:szCs w:val="18"/>
              </w:rPr>
              <w:t>GILT-like</w:t>
            </w:r>
            <w:r>
              <w:rPr>
                <w:rFonts w:eastAsiaTheme="minorEastAsia"/>
                <w:sz w:val="18"/>
                <w:szCs w:val="18"/>
              </w:rPr>
              <w:t>/</w:t>
            </w:r>
            <w:r w:rsidR="005831ED">
              <w:rPr>
                <w:rFonts w:eastAsiaTheme="minorEastAsia"/>
                <w:sz w:val="18"/>
                <w:szCs w:val="18"/>
              </w:rPr>
              <w:t xml:space="preserve"> AAEL004873</w:t>
            </w:r>
          </w:p>
        </w:tc>
        <w:tc>
          <w:tcPr>
            <w:tcW w:w="3443" w:type="dxa"/>
            <w:vMerge w:val="restart"/>
            <w:tcBorders>
              <w:top w:val="nil"/>
              <w:left w:val="nil"/>
              <w:bottom w:val="nil"/>
              <w:right w:val="nil"/>
            </w:tcBorders>
            <w:noWrap/>
            <w:hideMark/>
          </w:tcPr>
          <w:p w14:paraId="73B4EDA7" w14:textId="77777777" w:rsidR="000F3A82" w:rsidRPr="002805AE" w:rsidRDefault="000F3A82" w:rsidP="0003794B">
            <w:pPr>
              <w:spacing w:line="480" w:lineRule="auto"/>
              <w:rPr>
                <w:rFonts w:eastAsiaTheme="minorEastAsia"/>
                <w:sz w:val="18"/>
                <w:szCs w:val="18"/>
              </w:rPr>
            </w:pPr>
            <w:proofErr w:type="spellStart"/>
            <w:r w:rsidRPr="002805AE">
              <w:rPr>
                <w:rFonts w:eastAsiaTheme="minorEastAsia"/>
                <w:sz w:val="18"/>
                <w:szCs w:val="18"/>
              </w:rPr>
              <w:t>Fw</w:t>
            </w:r>
            <w:proofErr w:type="spellEnd"/>
            <w:r w:rsidRPr="002805AE">
              <w:rPr>
                <w:rFonts w:eastAsiaTheme="minorEastAsia"/>
                <w:sz w:val="18"/>
                <w:szCs w:val="18"/>
              </w:rPr>
              <w:t xml:space="preserve">: </w:t>
            </w:r>
            <w:r w:rsidR="005831ED" w:rsidRPr="005831ED">
              <w:rPr>
                <w:rFonts w:eastAsiaTheme="minorEastAsia"/>
                <w:sz w:val="18"/>
                <w:szCs w:val="18"/>
              </w:rPr>
              <w:t>AGTTGAGTTTGAACGGTCCC</w:t>
            </w:r>
          </w:p>
          <w:p w14:paraId="7F0E05CB" w14:textId="77777777" w:rsidR="000F3A82" w:rsidRPr="002805AE" w:rsidRDefault="000F3A82" w:rsidP="0003794B">
            <w:pPr>
              <w:spacing w:line="480" w:lineRule="auto"/>
              <w:rPr>
                <w:rFonts w:eastAsiaTheme="minorEastAsia"/>
                <w:sz w:val="18"/>
                <w:szCs w:val="18"/>
              </w:rPr>
            </w:pPr>
            <w:proofErr w:type="spellStart"/>
            <w:r w:rsidRPr="002805AE">
              <w:rPr>
                <w:rFonts w:eastAsiaTheme="minorEastAsia"/>
                <w:sz w:val="18"/>
                <w:szCs w:val="18"/>
              </w:rPr>
              <w:t>Rv</w:t>
            </w:r>
            <w:proofErr w:type="spellEnd"/>
            <w:r w:rsidRPr="002805AE">
              <w:rPr>
                <w:rFonts w:eastAsiaTheme="minorEastAsia"/>
                <w:sz w:val="18"/>
                <w:szCs w:val="18"/>
              </w:rPr>
              <w:t xml:space="preserve">: </w:t>
            </w:r>
            <w:r w:rsidR="005831ED" w:rsidRPr="005831ED">
              <w:rPr>
                <w:rFonts w:eastAsiaTheme="minorEastAsia"/>
                <w:sz w:val="18"/>
                <w:szCs w:val="18"/>
              </w:rPr>
              <w:t>GTCCGGACAGAGCGATTC</w:t>
            </w:r>
          </w:p>
        </w:tc>
        <w:tc>
          <w:tcPr>
            <w:tcW w:w="3720" w:type="dxa"/>
            <w:vMerge w:val="restart"/>
            <w:tcBorders>
              <w:top w:val="nil"/>
              <w:left w:val="nil"/>
              <w:bottom w:val="nil"/>
              <w:right w:val="nil"/>
            </w:tcBorders>
            <w:noWrap/>
            <w:hideMark/>
          </w:tcPr>
          <w:p w14:paraId="58012CC3" w14:textId="77777777" w:rsidR="000F3A82" w:rsidRPr="002805AE" w:rsidRDefault="000F3A82" w:rsidP="0003794B">
            <w:pPr>
              <w:spacing w:line="480" w:lineRule="auto"/>
              <w:rPr>
                <w:rFonts w:eastAsiaTheme="minorEastAsia"/>
                <w:sz w:val="18"/>
                <w:szCs w:val="18"/>
              </w:rPr>
            </w:pPr>
            <w:proofErr w:type="spellStart"/>
            <w:r w:rsidRPr="002805AE">
              <w:rPr>
                <w:rFonts w:eastAsiaTheme="minorEastAsia"/>
                <w:sz w:val="18"/>
                <w:szCs w:val="18"/>
              </w:rPr>
              <w:t>Fw</w:t>
            </w:r>
            <w:proofErr w:type="spellEnd"/>
            <w:r w:rsidRPr="002805AE">
              <w:rPr>
                <w:rFonts w:eastAsiaTheme="minorEastAsia"/>
                <w:sz w:val="18"/>
                <w:szCs w:val="18"/>
              </w:rPr>
              <w:t xml:space="preserve">: </w:t>
            </w:r>
            <w:r w:rsidR="005831ED" w:rsidRPr="005831ED">
              <w:rPr>
                <w:rFonts w:eastAsiaTheme="minorEastAsia"/>
                <w:sz w:val="18"/>
                <w:szCs w:val="18"/>
              </w:rPr>
              <w:t>TTTCCGTCAGACCTTCGACA</w:t>
            </w:r>
          </w:p>
          <w:p w14:paraId="401F23F5" w14:textId="77777777" w:rsidR="000F3A82" w:rsidRPr="002805AE" w:rsidRDefault="000F3A82" w:rsidP="0003794B">
            <w:pPr>
              <w:spacing w:line="480" w:lineRule="auto"/>
              <w:rPr>
                <w:rFonts w:eastAsiaTheme="minorEastAsia"/>
                <w:sz w:val="18"/>
                <w:szCs w:val="18"/>
              </w:rPr>
            </w:pPr>
            <w:proofErr w:type="spellStart"/>
            <w:r w:rsidRPr="002805AE">
              <w:rPr>
                <w:rFonts w:eastAsiaTheme="minorEastAsia"/>
                <w:sz w:val="18"/>
                <w:szCs w:val="18"/>
              </w:rPr>
              <w:t>Rv</w:t>
            </w:r>
            <w:proofErr w:type="spellEnd"/>
            <w:r w:rsidRPr="002805AE">
              <w:rPr>
                <w:rFonts w:eastAsiaTheme="minorEastAsia"/>
                <w:sz w:val="18"/>
                <w:szCs w:val="18"/>
              </w:rPr>
              <w:t xml:space="preserve">: </w:t>
            </w:r>
            <w:r w:rsidR="005831ED" w:rsidRPr="005831ED">
              <w:rPr>
                <w:rFonts w:eastAsiaTheme="minorEastAsia"/>
                <w:sz w:val="18"/>
                <w:szCs w:val="18"/>
              </w:rPr>
              <w:t>CCAAAGTCAGCAGACCCAAC</w:t>
            </w:r>
          </w:p>
        </w:tc>
      </w:tr>
      <w:tr w:rsidR="000F3A82" w:rsidRPr="002805AE" w14:paraId="029A8D86" w14:textId="77777777" w:rsidTr="0003794B">
        <w:trPr>
          <w:trHeight w:val="315"/>
        </w:trPr>
        <w:tc>
          <w:tcPr>
            <w:tcW w:w="2335" w:type="dxa"/>
            <w:tcBorders>
              <w:top w:val="nil"/>
              <w:left w:val="nil"/>
              <w:bottom w:val="nil"/>
              <w:right w:val="nil"/>
            </w:tcBorders>
            <w:noWrap/>
            <w:hideMark/>
          </w:tcPr>
          <w:p w14:paraId="4BFD0270" w14:textId="77777777" w:rsidR="000F3A82" w:rsidRPr="002805AE" w:rsidRDefault="000F3A82" w:rsidP="0003794B">
            <w:pPr>
              <w:spacing w:line="480" w:lineRule="auto"/>
              <w:rPr>
                <w:rFonts w:eastAsiaTheme="minorEastAsia"/>
                <w:sz w:val="18"/>
                <w:szCs w:val="18"/>
              </w:rPr>
            </w:pPr>
            <w:r w:rsidRPr="002805AE">
              <w:rPr>
                <w:rFonts w:eastAsiaTheme="minorEastAsia"/>
                <w:sz w:val="18"/>
                <w:szCs w:val="18"/>
              </w:rPr>
              <w:t> </w:t>
            </w:r>
          </w:p>
        </w:tc>
        <w:tc>
          <w:tcPr>
            <w:tcW w:w="3443" w:type="dxa"/>
            <w:vMerge/>
            <w:tcBorders>
              <w:top w:val="nil"/>
              <w:left w:val="nil"/>
              <w:bottom w:val="nil"/>
              <w:right w:val="nil"/>
            </w:tcBorders>
            <w:noWrap/>
            <w:hideMark/>
          </w:tcPr>
          <w:p w14:paraId="44536E96" w14:textId="77777777" w:rsidR="000F3A82" w:rsidRPr="002805AE" w:rsidRDefault="000F3A82" w:rsidP="0003794B">
            <w:pPr>
              <w:spacing w:line="480" w:lineRule="auto"/>
              <w:rPr>
                <w:rFonts w:eastAsiaTheme="minorEastAsia"/>
                <w:sz w:val="18"/>
                <w:szCs w:val="18"/>
              </w:rPr>
            </w:pPr>
          </w:p>
        </w:tc>
        <w:tc>
          <w:tcPr>
            <w:tcW w:w="3720" w:type="dxa"/>
            <w:vMerge/>
            <w:tcBorders>
              <w:top w:val="nil"/>
              <w:left w:val="nil"/>
              <w:bottom w:val="nil"/>
              <w:right w:val="nil"/>
            </w:tcBorders>
            <w:noWrap/>
            <w:hideMark/>
          </w:tcPr>
          <w:p w14:paraId="4FC6398C" w14:textId="77777777" w:rsidR="000F3A82" w:rsidRPr="002805AE" w:rsidRDefault="000F3A82" w:rsidP="0003794B">
            <w:pPr>
              <w:spacing w:line="480" w:lineRule="auto"/>
              <w:rPr>
                <w:rFonts w:eastAsiaTheme="minorEastAsia"/>
                <w:sz w:val="18"/>
                <w:szCs w:val="18"/>
              </w:rPr>
            </w:pPr>
          </w:p>
        </w:tc>
      </w:tr>
      <w:tr w:rsidR="000F3A82" w:rsidRPr="002805AE" w14:paraId="674D9E45" w14:textId="77777777" w:rsidTr="0003794B">
        <w:trPr>
          <w:trHeight w:val="801"/>
        </w:trPr>
        <w:tc>
          <w:tcPr>
            <w:tcW w:w="2335" w:type="dxa"/>
            <w:tcBorders>
              <w:top w:val="nil"/>
              <w:left w:val="nil"/>
              <w:bottom w:val="nil"/>
              <w:right w:val="nil"/>
            </w:tcBorders>
            <w:noWrap/>
            <w:hideMark/>
          </w:tcPr>
          <w:p w14:paraId="7E34031A" w14:textId="77777777" w:rsidR="000F3A82" w:rsidRPr="002805AE" w:rsidRDefault="000F3A82" w:rsidP="0003794B">
            <w:pPr>
              <w:spacing w:line="480" w:lineRule="auto"/>
              <w:rPr>
                <w:rFonts w:eastAsiaTheme="minorEastAsia"/>
                <w:sz w:val="18"/>
                <w:szCs w:val="18"/>
              </w:rPr>
            </w:pPr>
            <w:r w:rsidRPr="005831ED">
              <w:rPr>
                <w:rFonts w:eastAsiaTheme="minorEastAsia"/>
                <w:i/>
                <w:iCs/>
                <w:sz w:val="18"/>
                <w:szCs w:val="18"/>
              </w:rPr>
              <w:t>SGS1/</w:t>
            </w:r>
            <w:r>
              <w:rPr>
                <w:rFonts w:eastAsiaTheme="minorEastAsia"/>
                <w:sz w:val="18"/>
                <w:szCs w:val="18"/>
              </w:rPr>
              <w:t xml:space="preserve"> AAEL009993</w:t>
            </w:r>
          </w:p>
        </w:tc>
        <w:tc>
          <w:tcPr>
            <w:tcW w:w="3443" w:type="dxa"/>
            <w:tcBorders>
              <w:top w:val="nil"/>
              <w:left w:val="nil"/>
              <w:bottom w:val="nil"/>
              <w:right w:val="nil"/>
            </w:tcBorders>
            <w:noWrap/>
            <w:hideMark/>
          </w:tcPr>
          <w:p w14:paraId="2C67E9D8" w14:textId="77777777" w:rsidR="000F3A82" w:rsidRPr="002805AE" w:rsidRDefault="000F3A82" w:rsidP="0003794B">
            <w:pPr>
              <w:spacing w:line="480" w:lineRule="auto"/>
              <w:rPr>
                <w:rFonts w:eastAsiaTheme="minorEastAsia"/>
                <w:sz w:val="18"/>
                <w:szCs w:val="18"/>
              </w:rPr>
            </w:pPr>
            <w:proofErr w:type="spellStart"/>
            <w:r w:rsidRPr="002805AE">
              <w:rPr>
                <w:rFonts w:eastAsiaTheme="minorEastAsia"/>
                <w:sz w:val="18"/>
                <w:szCs w:val="18"/>
              </w:rPr>
              <w:t>Fw</w:t>
            </w:r>
            <w:proofErr w:type="spellEnd"/>
            <w:r w:rsidRPr="002805AE">
              <w:rPr>
                <w:rFonts w:eastAsiaTheme="minorEastAsia"/>
                <w:sz w:val="18"/>
                <w:szCs w:val="18"/>
              </w:rPr>
              <w:t xml:space="preserve">:  </w:t>
            </w:r>
            <w:r w:rsidRPr="000F3A82">
              <w:rPr>
                <w:rFonts w:eastAsiaTheme="minorEastAsia"/>
                <w:sz w:val="18"/>
                <w:szCs w:val="18"/>
              </w:rPr>
              <w:t>CTTCTGGAAGCCGGAGGT</w:t>
            </w:r>
          </w:p>
          <w:p w14:paraId="2982D584" w14:textId="77777777" w:rsidR="000F3A82" w:rsidRPr="002805AE" w:rsidRDefault="000F3A82" w:rsidP="0003794B">
            <w:pPr>
              <w:spacing w:line="480" w:lineRule="auto"/>
              <w:rPr>
                <w:rFonts w:eastAsiaTheme="minorEastAsia"/>
                <w:sz w:val="18"/>
                <w:szCs w:val="18"/>
              </w:rPr>
            </w:pPr>
            <w:proofErr w:type="spellStart"/>
            <w:r w:rsidRPr="002805AE">
              <w:rPr>
                <w:rFonts w:eastAsiaTheme="minorEastAsia"/>
                <w:sz w:val="18"/>
                <w:szCs w:val="18"/>
              </w:rPr>
              <w:t>Rv</w:t>
            </w:r>
            <w:proofErr w:type="spellEnd"/>
            <w:r w:rsidRPr="002805AE">
              <w:rPr>
                <w:rFonts w:eastAsiaTheme="minorEastAsia"/>
                <w:sz w:val="18"/>
                <w:szCs w:val="18"/>
              </w:rPr>
              <w:t xml:space="preserve">:  </w:t>
            </w:r>
            <w:r w:rsidRPr="000F3A82">
              <w:rPr>
                <w:rFonts w:eastAsiaTheme="minorEastAsia"/>
                <w:sz w:val="18"/>
                <w:szCs w:val="18"/>
              </w:rPr>
              <w:t>CACCACTCTTCACCAACACAA</w:t>
            </w:r>
          </w:p>
        </w:tc>
        <w:tc>
          <w:tcPr>
            <w:tcW w:w="3720" w:type="dxa"/>
            <w:tcBorders>
              <w:top w:val="nil"/>
              <w:left w:val="nil"/>
              <w:bottom w:val="nil"/>
              <w:right w:val="nil"/>
            </w:tcBorders>
            <w:noWrap/>
            <w:hideMark/>
          </w:tcPr>
          <w:p w14:paraId="1B45FED3" w14:textId="77777777" w:rsidR="000F3A82" w:rsidRPr="002805AE" w:rsidRDefault="000F3A82" w:rsidP="0003794B">
            <w:pPr>
              <w:spacing w:line="480" w:lineRule="auto"/>
              <w:rPr>
                <w:rFonts w:eastAsiaTheme="minorEastAsia"/>
                <w:sz w:val="18"/>
                <w:szCs w:val="18"/>
              </w:rPr>
            </w:pPr>
            <w:proofErr w:type="spellStart"/>
            <w:r w:rsidRPr="002805AE">
              <w:rPr>
                <w:rFonts w:eastAsiaTheme="minorEastAsia"/>
                <w:sz w:val="18"/>
                <w:szCs w:val="18"/>
              </w:rPr>
              <w:t>Fw</w:t>
            </w:r>
            <w:proofErr w:type="spellEnd"/>
            <w:r w:rsidRPr="002805AE">
              <w:rPr>
                <w:rFonts w:eastAsiaTheme="minorEastAsia"/>
                <w:sz w:val="18"/>
                <w:szCs w:val="18"/>
              </w:rPr>
              <w:t xml:space="preserve">: </w:t>
            </w:r>
            <w:r w:rsidRPr="000F3A82">
              <w:rPr>
                <w:rFonts w:eastAsiaTheme="minorEastAsia"/>
                <w:sz w:val="18"/>
                <w:szCs w:val="18"/>
              </w:rPr>
              <w:t>ACAAAGTCGGACATCCAGGT</w:t>
            </w:r>
            <w:r w:rsidRPr="002805AE">
              <w:rPr>
                <w:rFonts w:eastAsiaTheme="minorEastAsia"/>
                <w:sz w:val="18"/>
                <w:szCs w:val="18"/>
              </w:rPr>
              <w:br/>
            </w:r>
            <w:proofErr w:type="spellStart"/>
            <w:r w:rsidRPr="002805AE">
              <w:rPr>
                <w:rFonts w:eastAsiaTheme="minorEastAsia"/>
                <w:sz w:val="18"/>
                <w:szCs w:val="18"/>
              </w:rPr>
              <w:t>Rv</w:t>
            </w:r>
            <w:proofErr w:type="spellEnd"/>
            <w:r w:rsidRPr="002805AE">
              <w:rPr>
                <w:rFonts w:eastAsiaTheme="minorEastAsia"/>
                <w:sz w:val="18"/>
                <w:szCs w:val="18"/>
              </w:rPr>
              <w:t xml:space="preserve">: </w:t>
            </w:r>
            <w:r w:rsidRPr="000F3A82">
              <w:rPr>
                <w:rFonts w:eastAsiaTheme="minorEastAsia"/>
                <w:sz w:val="18"/>
                <w:szCs w:val="18"/>
              </w:rPr>
              <w:t>TAGACCACCACGTGCTTCTT</w:t>
            </w:r>
          </w:p>
        </w:tc>
      </w:tr>
      <w:tr w:rsidR="000F3A82" w:rsidRPr="002805AE" w14:paraId="0FCF2015" w14:textId="77777777" w:rsidTr="0003794B">
        <w:trPr>
          <w:trHeight w:val="801"/>
        </w:trPr>
        <w:tc>
          <w:tcPr>
            <w:tcW w:w="2335" w:type="dxa"/>
            <w:tcBorders>
              <w:top w:val="nil"/>
              <w:left w:val="nil"/>
              <w:bottom w:val="single" w:sz="4" w:space="0" w:color="auto"/>
              <w:right w:val="nil"/>
            </w:tcBorders>
            <w:noWrap/>
          </w:tcPr>
          <w:p w14:paraId="27BDB10F" w14:textId="77777777" w:rsidR="000F3A82" w:rsidRPr="002805AE" w:rsidRDefault="000F3A82" w:rsidP="0003794B">
            <w:pPr>
              <w:spacing w:line="480" w:lineRule="auto"/>
              <w:rPr>
                <w:rFonts w:eastAsiaTheme="minorEastAsia"/>
                <w:sz w:val="18"/>
                <w:szCs w:val="18"/>
              </w:rPr>
            </w:pPr>
            <w:r w:rsidRPr="002805AE">
              <w:rPr>
                <w:rFonts w:eastAsiaTheme="minorEastAsia"/>
                <w:sz w:val="18"/>
                <w:szCs w:val="18"/>
              </w:rPr>
              <w:t> </w:t>
            </w:r>
            <w:r w:rsidRPr="005831ED">
              <w:rPr>
                <w:rFonts w:eastAsiaTheme="minorEastAsia"/>
                <w:i/>
                <w:iCs/>
                <w:sz w:val="18"/>
                <w:szCs w:val="18"/>
              </w:rPr>
              <w:t>SGAP/</w:t>
            </w:r>
            <w:r>
              <w:rPr>
                <w:rFonts w:eastAsiaTheme="minorEastAsia"/>
                <w:sz w:val="18"/>
                <w:szCs w:val="18"/>
              </w:rPr>
              <w:t xml:space="preserve"> AAEL019996</w:t>
            </w:r>
          </w:p>
        </w:tc>
        <w:tc>
          <w:tcPr>
            <w:tcW w:w="3443" w:type="dxa"/>
            <w:tcBorders>
              <w:top w:val="nil"/>
              <w:left w:val="nil"/>
              <w:bottom w:val="single" w:sz="4" w:space="0" w:color="auto"/>
              <w:right w:val="nil"/>
            </w:tcBorders>
            <w:noWrap/>
          </w:tcPr>
          <w:p w14:paraId="333E46D2" w14:textId="77777777" w:rsidR="000F3A82" w:rsidRDefault="000F3A82" w:rsidP="0003794B">
            <w:pPr>
              <w:spacing w:line="480" w:lineRule="auto"/>
              <w:rPr>
                <w:rFonts w:eastAsiaTheme="minorEastAsia"/>
                <w:sz w:val="18"/>
                <w:szCs w:val="18"/>
              </w:rPr>
            </w:pPr>
            <w:proofErr w:type="spellStart"/>
            <w:r>
              <w:rPr>
                <w:rFonts w:eastAsiaTheme="minorEastAsia"/>
                <w:sz w:val="18"/>
                <w:szCs w:val="18"/>
              </w:rPr>
              <w:t>Fw</w:t>
            </w:r>
            <w:proofErr w:type="spellEnd"/>
            <w:r>
              <w:rPr>
                <w:rFonts w:eastAsiaTheme="minorEastAsia"/>
                <w:sz w:val="18"/>
                <w:szCs w:val="18"/>
              </w:rPr>
              <w:t xml:space="preserve">: </w:t>
            </w:r>
            <w:r w:rsidRPr="000F3A82">
              <w:rPr>
                <w:rFonts w:eastAsiaTheme="minorEastAsia"/>
                <w:sz w:val="18"/>
                <w:szCs w:val="18"/>
              </w:rPr>
              <w:t>ATTCCACAAAGATGGTCGCT</w:t>
            </w:r>
          </w:p>
          <w:p w14:paraId="772FACDE" w14:textId="77777777" w:rsidR="000F3A82" w:rsidRPr="002805AE" w:rsidRDefault="000F3A82" w:rsidP="0003794B">
            <w:pPr>
              <w:spacing w:line="480" w:lineRule="auto"/>
              <w:rPr>
                <w:rFonts w:eastAsiaTheme="minorEastAsia"/>
                <w:sz w:val="18"/>
                <w:szCs w:val="18"/>
              </w:rPr>
            </w:pPr>
            <w:proofErr w:type="spellStart"/>
            <w:r>
              <w:rPr>
                <w:rFonts w:eastAsiaTheme="minorEastAsia"/>
                <w:sz w:val="18"/>
                <w:szCs w:val="18"/>
              </w:rPr>
              <w:t>Rv</w:t>
            </w:r>
            <w:proofErr w:type="spellEnd"/>
            <w:r>
              <w:rPr>
                <w:rFonts w:eastAsiaTheme="minorEastAsia"/>
                <w:sz w:val="18"/>
                <w:szCs w:val="18"/>
              </w:rPr>
              <w:t>: C</w:t>
            </w:r>
            <w:r w:rsidRPr="000F3A82">
              <w:rPr>
                <w:rFonts w:eastAsiaTheme="minorEastAsia"/>
                <w:sz w:val="18"/>
                <w:szCs w:val="18"/>
              </w:rPr>
              <w:t>TGCCGAGCCATTACTTCTC</w:t>
            </w:r>
          </w:p>
        </w:tc>
        <w:tc>
          <w:tcPr>
            <w:tcW w:w="3720" w:type="dxa"/>
            <w:tcBorders>
              <w:top w:val="nil"/>
              <w:left w:val="nil"/>
              <w:bottom w:val="single" w:sz="4" w:space="0" w:color="auto"/>
              <w:right w:val="nil"/>
            </w:tcBorders>
            <w:noWrap/>
          </w:tcPr>
          <w:p w14:paraId="7B07C4E5" w14:textId="77777777" w:rsidR="000F3A82" w:rsidRDefault="000F3A82" w:rsidP="0003794B">
            <w:pPr>
              <w:spacing w:line="480" w:lineRule="auto"/>
              <w:rPr>
                <w:rFonts w:eastAsiaTheme="minorEastAsia"/>
                <w:sz w:val="18"/>
                <w:szCs w:val="18"/>
              </w:rPr>
            </w:pPr>
            <w:proofErr w:type="spellStart"/>
            <w:r>
              <w:rPr>
                <w:rFonts w:eastAsiaTheme="minorEastAsia"/>
                <w:sz w:val="18"/>
                <w:szCs w:val="18"/>
              </w:rPr>
              <w:t>Fw</w:t>
            </w:r>
            <w:proofErr w:type="spellEnd"/>
            <w:r>
              <w:rPr>
                <w:rFonts w:eastAsiaTheme="minorEastAsia"/>
                <w:sz w:val="18"/>
                <w:szCs w:val="18"/>
              </w:rPr>
              <w:t xml:space="preserve">: </w:t>
            </w:r>
            <w:r w:rsidRPr="000F3A82">
              <w:rPr>
                <w:rFonts w:eastAsiaTheme="minorEastAsia"/>
                <w:sz w:val="18"/>
                <w:szCs w:val="18"/>
              </w:rPr>
              <w:t>TTCGCTTGGAATAAATCGTAGTCTG</w:t>
            </w:r>
          </w:p>
          <w:p w14:paraId="741975F5" w14:textId="77777777" w:rsidR="000F3A82" w:rsidRPr="002805AE" w:rsidRDefault="000F3A82" w:rsidP="0003794B">
            <w:pPr>
              <w:spacing w:line="480" w:lineRule="auto"/>
              <w:rPr>
                <w:rFonts w:eastAsiaTheme="minorEastAsia"/>
                <w:sz w:val="18"/>
                <w:szCs w:val="18"/>
              </w:rPr>
            </w:pPr>
            <w:proofErr w:type="spellStart"/>
            <w:r>
              <w:rPr>
                <w:rFonts w:eastAsiaTheme="minorEastAsia"/>
                <w:sz w:val="18"/>
                <w:szCs w:val="18"/>
              </w:rPr>
              <w:t>Rv</w:t>
            </w:r>
            <w:proofErr w:type="spellEnd"/>
            <w:r>
              <w:rPr>
                <w:rFonts w:eastAsiaTheme="minorEastAsia"/>
                <w:sz w:val="18"/>
                <w:szCs w:val="18"/>
              </w:rPr>
              <w:t xml:space="preserve">: </w:t>
            </w:r>
            <w:r w:rsidRPr="000F3A82">
              <w:rPr>
                <w:rFonts w:eastAsiaTheme="minorEastAsia"/>
                <w:sz w:val="18"/>
                <w:szCs w:val="18"/>
              </w:rPr>
              <w:t>TATTCATCATCCATGTAGTTCCCAC</w:t>
            </w:r>
          </w:p>
        </w:tc>
      </w:tr>
    </w:tbl>
    <w:p w14:paraId="180E84A5" w14:textId="77777777" w:rsidR="000F3A82" w:rsidRPr="0016213A" w:rsidRDefault="000F3A82" w:rsidP="000F3A82">
      <w:pPr>
        <w:rPr>
          <w:b/>
          <w:bCs/>
        </w:rPr>
      </w:pPr>
    </w:p>
    <w:p w14:paraId="00037E92" w14:textId="59AD08BE" w:rsidR="000F3A82" w:rsidRDefault="000F3A82" w:rsidP="000F3A82"/>
    <w:p w14:paraId="5E354427" w14:textId="77777777" w:rsidR="008E56FC" w:rsidRPr="00166F70" w:rsidRDefault="008E56FC" w:rsidP="000F3A82"/>
    <w:p w14:paraId="211B453D" w14:textId="311B013A" w:rsidR="005831ED" w:rsidRPr="002805AE" w:rsidRDefault="00507160" w:rsidP="005831ED">
      <w:pPr>
        <w:spacing w:line="480" w:lineRule="auto"/>
        <w:rPr>
          <w:b/>
        </w:rPr>
      </w:pPr>
      <w:r>
        <w:rPr>
          <w:b/>
          <w:bCs/>
        </w:rPr>
        <w:lastRenderedPageBreak/>
        <w:t>Table</w:t>
      </w:r>
      <w:r w:rsidRPr="002805AE">
        <w:rPr>
          <w:b/>
          <w:color w:val="000000" w:themeColor="text1"/>
        </w:rPr>
        <w:t xml:space="preserve"> </w:t>
      </w:r>
      <w:r w:rsidR="00416491">
        <w:rPr>
          <w:b/>
          <w:color w:val="000000" w:themeColor="text1"/>
        </w:rPr>
        <w:t>S</w:t>
      </w:r>
      <w:r w:rsidR="009F76D0">
        <w:rPr>
          <w:b/>
          <w:color w:val="000000" w:themeColor="text1"/>
        </w:rPr>
        <w:t>2</w:t>
      </w:r>
      <w:r w:rsidR="005831ED" w:rsidRPr="002805AE">
        <w:rPr>
          <w:b/>
        </w:rPr>
        <w:t xml:space="preserve">. </w:t>
      </w:r>
      <w:r w:rsidR="005831ED" w:rsidRPr="00416491">
        <w:rPr>
          <w:bCs/>
        </w:rPr>
        <w:t>Primer sequences for virus quantification</w:t>
      </w:r>
    </w:p>
    <w:tbl>
      <w:tblPr>
        <w:tblStyle w:val="TableGrid"/>
        <w:tblW w:w="5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5227"/>
      </w:tblGrid>
      <w:tr w:rsidR="005831ED" w:rsidRPr="002805AE" w14:paraId="7EA27EBA" w14:textId="77777777" w:rsidTr="00AB109C">
        <w:trPr>
          <w:trHeight w:val="315"/>
        </w:trPr>
        <w:tc>
          <w:tcPr>
            <w:tcW w:w="1927" w:type="dxa"/>
            <w:tcBorders>
              <w:top w:val="single" w:sz="4" w:space="0" w:color="auto"/>
              <w:bottom w:val="single" w:sz="4" w:space="0" w:color="auto"/>
            </w:tcBorders>
            <w:noWrap/>
          </w:tcPr>
          <w:p w14:paraId="2E3BF05B" w14:textId="77777777" w:rsidR="005831ED" w:rsidRPr="002805AE" w:rsidRDefault="005831ED" w:rsidP="00AB109C">
            <w:pPr>
              <w:spacing w:line="480" w:lineRule="auto"/>
              <w:rPr>
                <w:b/>
                <w:color w:val="000000"/>
                <w:sz w:val="18"/>
                <w:szCs w:val="18"/>
              </w:rPr>
            </w:pPr>
            <w:r w:rsidRPr="002805AE">
              <w:rPr>
                <w:b/>
                <w:color w:val="000000"/>
                <w:sz w:val="18"/>
                <w:szCs w:val="18"/>
              </w:rPr>
              <w:t>Virus name</w:t>
            </w:r>
          </w:p>
        </w:tc>
        <w:tc>
          <w:tcPr>
            <w:tcW w:w="3845" w:type="dxa"/>
            <w:tcBorders>
              <w:top w:val="single" w:sz="4" w:space="0" w:color="auto"/>
              <w:bottom w:val="single" w:sz="4" w:space="0" w:color="auto"/>
            </w:tcBorders>
            <w:noWrap/>
          </w:tcPr>
          <w:p w14:paraId="4C80A764" w14:textId="77777777" w:rsidR="005831ED" w:rsidRPr="002805AE" w:rsidRDefault="005831ED" w:rsidP="00AB109C">
            <w:pPr>
              <w:spacing w:line="480" w:lineRule="auto"/>
              <w:rPr>
                <w:b/>
                <w:color w:val="000000"/>
                <w:sz w:val="18"/>
                <w:szCs w:val="18"/>
              </w:rPr>
            </w:pPr>
            <w:r w:rsidRPr="002805AE">
              <w:rPr>
                <w:b/>
                <w:color w:val="000000"/>
                <w:sz w:val="18"/>
                <w:szCs w:val="18"/>
              </w:rPr>
              <w:t>RT-qPCR primers</w:t>
            </w:r>
          </w:p>
        </w:tc>
      </w:tr>
      <w:tr w:rsidR="005831ED" w:rsidRPr="002805AE" w14:paraId="5846977D" w14:textId="77777777" w:rsidTr="00AB109C">
        <w:trPr>
          <w:trHeight w:val="315"/>
        </w:trPr>
        <w:tc>
          <w:tcPr>
            <w:tcW w:w="1927" w:type="dxa"/>
            <w:tcBorders>
              <w:top w:val="single" w:sz="4" w:space="0" w:color="auto"/>
            </w:tcBorders>
            <w:noWrap/>
          </w:tcPr>
          <w:p w14:paraId="3AE4B489" w14:textId="77777777" w:rsidR="005831ED" w:rsidRPr="002805AE" w:rsidRDefault="005831ED" w:rsidP="00AB109C">
            <w:pPr>
              <w:spacing w:line="480" w:lineRule="auto"/>
              <w:rPr>
                <w:color w:val="000000"/>
                <w:sz w:val="18"/>
                <w:szCs w:val="18"/>
              </w:rPr>
            </w:pPr>
          </w:p>
          <w:p w14:paraId="72EEB51F" w14:textId="77777777" w:rsidR="005831ED" w:rsidRPr="002805AE" w:rsidRDefault="005831ED" w:rsidP="00AB109C">
            <w:pPr>
              <w:spacing w:line="480" w:lineRule="auto"/>
              <w:rPr>
                <w:color w:val="000000"/>
                <w:sz w:val="18"/>
                <w:szCs w:val="18"/>
              </w:rPr>
            </w:pPr>
            <w:r w:rsidRPr="002805AE">
              <w:rPr>
                <w:color w:val="000000"/>
                <w:sz w:val="18"/>
                <w:szCs w:val="18"/>
              </w:rPr>
              <w:t>CHIKV</w:t>
            </w:r>
          </w:p>
        </w:tc>
        <w:tc>
          <w:tcPr>
            <w:tcW w:w="3845" w:type="dxa"/>
            <w:tcBorders>
              <w:top w:val="single" w:sz="4" w:space="0" w:color="auto"/>
            </w:tcBorders>
            <w:noWrap/>
          </w:tcPr>
          <w:p w14:paraId="4AA75FCC" w14:textId="77777777" w:rsidR="005831ED" w:rsidRPr="002805AE" w:rsidRDefault="005831ED" w:rsidP="00AB109C">
            <w:pPr>
              <w:spacing w:line="480" w:lineRule="auto"/>
              <w:rPr>
                <w:color w:val="000000"/>
                <w:sz w:val="18"/>
                <w:szCs w:val="18"/>
              </w:rPr>
            </w:pPr>
          </w:p>
          <w:p w14:paraId="1212E091" w14:textId="77777777" w:rsidR="005831ED" w:rsidRPr="002805AE" w:rsidRDefault="005831ED" w:rsidP="00AB109C">
            <w:pPr>
              <w:spacing w:line="480" w:lineRule="auto"/>
              <w:rPr>
                <w:color w:val="000000"/>
                <w:sz w:val="18"/>
                <w:szCs w:val="18"/>
              </w:rPr>
            </w:pPr>
            <w:proofErr w:type="spellStart"/>
            <w:r w:rsidRPr="002805AE">
              <w:rPr>
                <w:color w:val="000000"/>
                <w:sz w:val="18"/>
                <w:szCs w:val="18"/>
              </w:rPr>
              <w:t>Fw</w:t>
            </w:r>
            <w:proofErr w:type="spellEnd"/>
            <w:r w:rsidRPr="002805AE">
              <w:rPr>
                <w:color w:val="000000"/>
                <w:sz w:val="18"/>
                <w:szCs w:val="18"/>
              </w:rPr>
              <w:t>: AAAGGGCAAACTCAGCTTCAC</w:t>
            </w:r>
          </w:p>
          <w:p w14:paraId="529925A9" w14:textId="49F1549D" w:rsidR="005831ED" w:rsidRPr="002805AE" w:rsidRDefault="005831ED" w:rsidP="00AB109C">
            <w:pPr>
              <w:spacing w:line="480" w:lineRule="auto"/>
              <w:rPr>
                <w:rFonts w:eastAsiaTheme="minorEastAsia"/>
                <w:sz w:val="18"/>
                <w:szCs w:val="18"/>
              </w:rPr>
            </w:pPr>
            <w:proofErr w:type="spellStart"/>
            <w:r w:rsidRPr="002805AE">
              <w:rPr>
                <w:color w:val="000000"/>
                <w:sz w:val="18"/>
                <w:szCs w:val="18"/>
              </w:rPr>
              <w:t>Rv</w:t>
            </w:r>
            <w:proofErr w:type="spellEnd"/>
            <w:r w:rsidRPr="002805AE">
              <w:rPr>
                <w:color w:val="000000"/>
                <w:sz w:val="18"/>
                <w:szCs w:val="18"/>
              </w:rPr>
              <w:t>: GCCTGGGCTCATCGTTATTC</w:t>
            </w:r>
          </w:p>
        </w:tc>
      </w:tr>
      <w:tr w:rsidR="005831ED" w:rsidRPr="002805AE" w14:paraId="47C4FCF9" w14:textId="77777777" w:rsidTr="00AB109C">
        <w:trPr>
          <w:trHeight w:val="315"/>
        </w:trPr>
        <w:tc>
          <w:tcPr>
            <w:tcW w:w="1927" w:type="dxa"/>
            <w:noWrap/>
          </w:tcPr>
          <w:p w14:paraId="272E811C" w14:textId="77777777" w:rsidR="005831ED" w:rsidRPr="002805AE" w:rsidRDefault="005831ED" w:rsidP="00AB109C">
            <w:pPr>
              <w:spacing w:line="480" w:lineRule="auto"/>
              <w:rPr>
                <w:rFonts w:eastAsiaTheme="minorEastAsia"/>
                <w:sz w:val="18"/>
                <w:szCs w:val="18"/>
              </w:rPr>
            </w:pPr>
            <w:r>
              <w:rPr>
                <w:rFonts w:eastAsiaTheme="minorEastAsia"/>
                <w:sz w:val="18"/>
                <w:szCs w:val="18"/>
              </w:rPr>
              <w:t>DENV2</w:t>
            </w:r>
          </w:p>
        </w:tc>
        <w:tc>
          <w:tcPr>
            <w:tcW w:w="3845" w:type="dxa"/>
            <w:noWrap/>
          </w:tcPr>
          <w:p w14:paraId="3E1BDBD3" w14:textId="77777777" w:rsidR="005831ED" w:rsidRPr="002805AE" w:rsidRDefault="005831ED" w:rsidP="00AB109C">
            <w:pPr>
              <w:spacing w:line="480" w:lineRule="auto"/>
              <w:rPr>
                <w:rFonts w:eastAsiaTheme="minorEastAsia"/>
                <w:color w:val="000000" w:themeColor="text1"/>
                <w:sz w:val="18"/>
                <w:szCs w:val="18"/>
              </w:rPr>
            </w:pPr>
            <w:proofErr w:type="spellStart"/>
            <w:r w:rsidRPr="002805AE">
              <w:rPr>
                <w:rFonts w:eastAsiaTheme="minorEastAsia"/>
                <w:color w:val="000000" w:themeColor="text1"/>
                <w:sz w:val="18"/>
                <w:szCs w:val="18"/>
              </w:rPr>
              <w:t>Fw</w:t>
            </w:r>
            <w:proofErr w:type="spellEnd"/>
            <w:r w:rsidRPr="002805AE">
              <w:rPr>
                <w:rFonts w:eastAsiaTheme="minorEastAsia"/>
                <w:color w:val="000000" w:themeColor="text1"/>
                <w:sz w:val="18"/>
                <w:szCs w:val="18"/>
              </w:rPr>
              <w:t xml:space="preserve">: </w:t>
            </w:r>
            <w:r w:rsidRPr="002805AE">
              <w:rPr>
                <w:color w:val="000000" w:themeColor="text1"/>
                <w:sz w:val="18"/>
                <w:szCs w:val="18"/>
                <w:shd w:val="clear" w:color="auto" w:fill="FFFFFF"/>
              </w:rPr>
              <w:t>CAGGTTATGGCACTGTCACGAT</w:t>
            </w:r>
          </w:p>
          <w:p w14:paraId="4DCD0086" w14:textId="77777777" w:rsidR="005831ED" w:rsidRPr="002805AE" w:rsidRDefault="005831ED" w:rsidP="00AB109C">
            <w:pPr>
              <w:spacing w:line="480" w:lineRule="auto"/>
              <w:rPr>
                <w:rFonts w:eastAsiaTheme="minorEastAsia"/>
                <w:color w:val="000000" w:themeColor="text1"/>
                <w:sz w:val="18"/>
                <w:szCs w:val="18"/>
              </w:rPr>
            </w:pPr>
            <w:proofErr w:type="spellStart"/>
            <w:r w:rsidRPr="002805AE">
              <w:rPr>
                <w:rFonts w:eastAsiaTheme="minorEastAsia"/>
                <w:color w:val="000000" w:themeColor="text1"/>
                <w:sz w:val="18"/>
                <w:szCs w:val="18"/>
              </w:rPr>
              <w:t>Rv</w:t>
            </w:r>
            <w:proofErr w:type="spellEnd"/>
            <w:r w:rsidRPr="002805AE">
              <w:rPr>
                <w:rFonts w:eastAsiaTheme="minorEastAsia"/>
                <w:color w:val="000000" w:themeColor="text1"/>
                <w:sz w:val="18"/>
                <w:szCs w:val="18"/>
              </w:rPr>
              <w:t xml:space="preserve">: </w:t>
            </w:r>
            <w:r w:rsidRPr="002805AE">
              <w:rPr>
                <w:color w:val="000000" w:themeColor="text1"/>
                <w:sz w:val="18"/>
                <w:szCs w:val="18"/>
                <w:shd w:val="clear" w:color="auto" w:fill="FFFFFF"/>
              </w:rPr>
              <w:t> CCATCTGCAGCAACACCATCTC</w:t>
            </w:r>
          </w:p>
          <w:p w14:paraId="4C99EA79" w14:textId="77777777" w:rsidR="005831ED" w:rsidRPr="002805AE" w:rsidRDefault="005831ED" w:rsidP="00AB109C">
            <w:pPr>
              <w:spacing w:line="480" w:lineRule="auto"/>
              <w:rPr>
                <w:rFonts w:eastAsiaTheme="minorEastAsia"/>
                <w:sz w:val="18"/>
                <w:szCs w:val="18"/>
              </w:rPr>
            </w:pPr>
            <w:r w:rsidRPr="002805AE">
              <w:rPr>
                <w:rFonts w:eastAsiaTheme="minorEastAsia"/>
                <w:color w:val="000000" w:themeColor="text1"/>
                <w:sz w:val="18"/>
                <w:szCs w:val="18"/>
              </w:rPr>
              <w:t>Probe:</w:t>
            </w:r>
            <w:r w:rsidRPr="002805AE">
              <w:rPr>
                <w:color w:val="000000" w:themeColor="text1"/>
                <w:sz w:val="18"/>
                <w:szCs w:val="18"/>
                <w:shd w:val="clear" w:color="auto" w:fill="FFFFFF"/>
              </w:rPr>
              <w:t>/5HEX</w:t>
            </w:r>
            <w:r w:rsidRPr="002805AE">
              <w:rPr>
                <w:color w:val="000000"/>
                <w:sz w:val="18"/>
                <w:szCs w:val="18"/>
                <w:shd w:val="clear" w:color="auto" w:fill="FFFFFF"/>
              </w:rPr>
              <w:t>/CTCTCCGAGAACAGGCCTCGACTTAAA/3BHQ1/</w:t>
            </w:r>
          </w:p>
        </w:tc>
      </w:tr>
      <w:tr w:rsidR="005831ED" w:rsidRPr="002805AE" w14:paraId="05ECAEAE" w14:textId="77777777" w:rsidTr="00AB109C">
        <w:trPr>
          <w:trHeight w:val="315"/>
        </w:trPr>
        <w:tc>
          <w:tcPr>
            <w:tcW w:w="1927" w:type="dxa"/>
            <w:tcBorders>
              <w:bottom w:val="single" w:sz="4" w:space="0" w:color="auto"/>
            </w:tcBorders>
            <w:noWrap/>
          </w:tcPr>
          <w:p w14:paraId="6B29AE34" w14:textId="77777777" w:rsidR="005831ED" w:rsidRPr="002805AE" w:rsidRDefault="005831ED" w:rsidP="00AB109C">
            <w:pPr>
              <w:spacing w:line="480" w:lineRule="auto"/>
              <w:rPr>
                <w:rFonts w:eastAsiaTheme="minorEastAsia"/>
                <w:sz w:val="18"/>
                <w:szCs w:val="18"/>
              </w:rPr>
            </w:pPr>
            <w:r w:rsidRPr="002805AE">
              <w:rPr>
                <w:rFonts w:eastAsiaTheme="minorEastAsia"/>
                <w:sz w:val="18"/>
                <w:szCs w:val="18"/>
              </w:rPr>
              <w:t>ZIKV</w:t>
            </w:r>
          </w:p>
        </w:tc>
        <w:tc>
          <w:tcPr>
            <w:tcW w:w="3845" w:type="dxa"/>
            <w:tcBorders>
              <w:bottom w:val="single" w:sz="4" w:space="0" w:color="auto"/>
            </w:tcBorders>
            <w:noWrap/>
          </w:tcPr>
          <w:p w14:paraId="390CE140" w14:textId="77777777" w:rsidR="005831ED" w:rsidRPr="002805AE" w:rsidRDefault="005831ED" w:rsidP="00AB109C">
            <w:pPr>
              <w:spacing w:line="480" w:lineRule="auto"/>
              <w:rPr>
                <w:color w:val="000000"/>
                <w:sz w:val="18"/>
                <w:szCs w:val="18"/>
              </w:rPr>
            </w:pPr>
            <w:proofErr w:type="spellStart"/>
            <w:r w:rsidRPr="002805AE">
              <w:rPr>
                <w:color w:val="000000"/>
                <w:sz w:val="18"/>
                <w:szCs w:val="18"/>
              </w:rPr>
              <w:t>Fw</w:t>
            </w:r>
            <w:proofErr w:type="spellEnd"/>
            <w:r w:rsidRPr="002805AE">
              <w:rPr>
                <w:color w:val="000000"/>
                <w:sz w:val="18"/>
                <w:szCs w:val="18"/>
              </w:rPr>
              <w:t>: CCGCTGCCCAACACAAG</w:t>
            </w:r>
          </w:p>
          <w:p w14:paraId="3E2A1E81" w14:textId="77777777" w:rsidR="005831ED" w:rsidRPr="002805AE" w:rsidRDefault="005831ED" w:rsidP="00AB109C">
            <w:pPr>
              <w:spacing w:line="480" w:lineRule="auto"/>
              <w:rPr>
                <w:color w:val="000000"/>
                <w:sz w:val="18"/>
                <w:szCs w:val="18"/>
              </w:rPr>
            </w:pPr>
            <w:proofErr w:type="spellStart"/>
            <w:r w:rsidRPr="002805AE">
              <w:rPr>
                <w:color w:val="000000"/>
                <w:sz w:val="18"/>
                <w:szCs w:val="18"/>
              </w:rPr>
              <w:t>Rv</w:t>
            </w:r>
            <w:proofErr w:type="spellEnd"/>
            <w:r w:rsidRPr="002805AE">
              <w:rPr>
                <w:color w:val="000000"/>
                <w:sz w:val="18"/>
                <w:szCs w:val="18"/>
              </w:rPr>
              <w:t>: CCACTAACGTTCTTTTGCAGACAT</w:t>
            </w:r>
          </w:p>
          <w:p w14:paraId="70E114ED" w14:textId="77777777" w:rsidR="005831ED" w:rsidRPr="002805AE" w:rsidRDefault="005831ED" w:rsidP="00AB109C">
            <w:pPr>
              <w:spacing w:line="480" w:lineRule="auto"/>
              <w:rPr>
                <w:rFonts w:eastAsiaTheme="minorEastAsia"/>
                <w:sz w:val="18"/>
                <w:szCs w:val="18"/>
              </w:rPr>
            </w:pPr>
          </w:p>
        </w:tc>
      </w:tr>
    </w:tbl>
    <w:p w14:paraId="63F5EFF2" w14:textId="11FC0C1D" w:rsidR="005831ED" w:rsidRDefault="005831ED" w:rsidP="005831ED">
      <w:pPr>
        <w:spacing w:line="480" w:lineRule="auto"/>
        <w:rPr>
          <w:b/>
        </w:rPr>
      </w:pPr>
    </w:p>
    <w:p w14:paraId="7BCF7EBD" w14:textId="64B54065" w:rsidR="00096EDD" w:rsidRPr="00416491" w:rsidRDefault="009F76D0" w:rsidP="009F76D0">
      <w:pPr>
        <w:spacing w:line="480" w:lineRule="auto"/>
      </w:pPr>
      <w:r>
        <w:rPr>
          <w:b/>
          <w:bCs/>
        </w:rPr>
        <w:t>Table S3</w:t>
      </w:r>
      <w:r w:rsidRPr="0016213A">
        <w:rPr>
          <w:b/>
          <w:bCs/>
        </w:rPr>
        <w:t xml:space="preserve">. </w:t>
      </w:r>
      <w:r w:rsidRPr="00416491">
        <w:t xml:space="preserve">Proteins identified in uninfected </w:t>
      </w:r>
      <w:r w:rsidRPr="00416491">
        <w:rPr>
          <w:i/>
          <w:iCs/>
        </w:rPr>
        <w:t>A. aegypti</w:t>
      </w:r>
      <w:r w:rsidRPr="00416491">
        <w:t xml:space="preserve"> SG</w:t>
      </w:r>
    </w:p>
    <w:p w14:paraId="70F21427" w14:textId="77777777" w:rsidR="009F76D0" w:rsidRDefault="009F76D0" w:rsidP="009F76D0">
      <w:pPr>
        <w:spacing w:line="480" w:lineRule="auto"/>
        <w:rPr>
          <w:b/>
          <w:bCs/>
        </w:rPr>
      </w:pPr>
    </w:p>
    <w:p w14:paraId="0928F3AE" w14:textId="3F2614DD" w:rsidR="009F76D0" w:rsidRPr="00416491" w:rsidRDefault="009F76D0" w:rsidP="009F76D0">
      <w:pPr>
        <w:spacing w:line="480" w:lineRule="auto"/>
      </w:pPr>
      <w:r>
        <w:rPr>
          <w:b/>
          <w:bCs/>
        </w:rPr>
        <w:t>Table S4.</w:t>
      </w:r>
      <w:r w:rsidRPr="0016213A">
        <w:rPr>
          <w:b/>
          <w:bCs/>
        </w:rPr>
        <w:t xml:space="preserve"> </w:t>
      </w:r>
      <w:r w:rsidRPr="00416491">
        <w:t xml:space="preserve">Differentially expressed proteins in </w:t>
      </w:r>
      <w:r w:rsidRPr="00416491">
        <w:rPr>
          <w:i/>
          <w:iCs/>
        </w:rPr>
        <w:t>A. Aegypti</w:t>
      </w:r>
      <w:r w:rsidRPr="00416491">
        <w:t xml:space="preserve"> SG in response to DENV2, ZIKV and CHIKV infections</w:t>
      </w:r>
    </w:p>
    <w:p w14:paraId="550A59EE" w14:textId="5AFF93D2" w:rsidR="009F76D0" w:rsidRDefault="009F76D0" w:rsidP="005831ED">
      <w:pPr>
        <w:spacing w:line="480" w:lineRule="auto"/>
        <w:rPr>
          <w:b/>
        </w:rPr>
      </w:pPr>
    </w:p>
    <w:p w14:paraId="19D6D7B4" w14:textId="616A8485" w:rsidR="009935E1" w:rsidRDefault="009935E1" w:rsidP="005831ED">
      <w:pPr>
        <w:spacing w:line="480" w:lineRule="auto"/>
        <w:rPr>
          <w:b/>
        </w:rPr>
      </w:pPr>
      <w:r>
        <w:rPr>
          <w:b/>
        </w:rPr>
        <w:t xml:space="preserve">Table </w:t>
      </w:r>
      <w:r w:rsidR="00443D08">
        <w:rPr>
          <w:b/>
        </w:rPr>
        <w:t>S</w:t>
      </w:r>
      <w:r>
        <w:rPr>
          <w:b/>
        </w:rPr>
        <w:t xml:space="preserve">5. </w:t>
      </w:r>
      <w:r w:rsidR="00650A58">
        <w:rPr>
          <w:b/>
        </w:rPr>
        <w:t>List of viral proteins identified in infected SG</w:t>
      </w:r>
    </w:p>
    <w:p w14:paraId="37F40CA1" w14:textId="77777777" w:rsidR="004039FB" w:rsidRPr="002805AE" w:rsidRDefault="004039FB" w:rsidP="005831ED">
      <w:pPr>
        <w:spacing w:line="480" w:lineRule="auto"/>
        <w:rPr>
          <w:b/>
        </w:rPr>
      </w:pPr>
    </w:p>
    <w:p w14:paraId="6D031398" w14:textId="77777777" w:rsidR="005831ED" w:rsidRDefault="005831ED" w:rsidP="005831ED"/>
    <w:p w14:paraId="2A1391A6" w14:textId="1D8B71B2" w:rsidR="00FA2E7C" w:rsidRPr="00324ACE" w:rsidRDefault="00416491" w:rsidP="00324ACE">
      <w:pPr>
        <w:spacing w:line="480" w:lineRule="auto"/>
        <w:jc w:val="both"/>
        <w:rPr>
          <w:b/>
          <w:bCs/>
        </w:rPr>
      </w:pPr>
      <w:r w:rsidRPr="00324ACE">
        <w:rPr>
          <w:b/>
          <w:bCs/>
        </w:rPr>
        <w:t>S</w:t>
      </w:r>
      <w:r w:rsidR="00507160" w:rsidRPr="00324ACE">
        <w:rPr>
          <w:b/>
          <w:bCs/>
        </w:rPr>
        <w:t>upplementary references</w:t>
      </w:r>
    </w:p>
    <w:p w14:paraId="4D5DE666" w14:textId="3F1398E0" w:rsidR="00691C05" w:rsidRPr="00691C05" w:rsidRDefault="00F350E2" w:rsidP="00691C05">
      <w:pPr>
        <w:pStyle w:val="Bibliography"/>
        <w:rPr>
          <w:rFonts w:ascii="Times New Roman" w:hAnsi="Times New Roman" w:cs="Times New Roman"/>
          <w:sz w:val="24"/>
        </w:rPr>
      </w:pPr>
      <w:r w:rsidRPr="003C0C9E">
        <w:fldChar w:fldCharType="begin"/>
      </w:r>
      <w:r w:rsidR="00324ACE" w:rsidRPr="001B4F81">
        <w:rPr>
          <w:lang w:val="en-SG"/>
        </w:rPr>
        <w:instrText xml:space="preserve"> ADDIN ZOTERO_BIBL {"uncited":[],"omitted":[],"custom":[]} CSL_BIBLIOGRAPHY </w:instrText>
      </w:r>
      <w:r w:rsidRPr="003C0C9E">
        <w:fldChar w:fldCharType="separate"/>
      </w:r>
      <w:r w:rsidR="00691C05" w:rsidRPr="00691C05">
        <w:rPr>
          <w:rFonts w:ascii="Times New Roman" w:hAnsi="Times New Roman" w:cs="Times New Roman"/>
          <w:sz w:val="24"/>
        </w:rPr>
        <w:t>1.</w:t>
      </w:r>
      <w:r w:rsidR="00691C05" w:rsidRPr="00691C05">
        <w:rPr>
          <w:rFonts w:ascii="Times New Roman" w:hAnsi="Times New Roman" w:cs="Times New Roman"/>
          <w:sz w:val="24"/>
        </w:rPr>
        <w:tab/>
        <w:t>Fontaine, K. A., Sanchez, E. L., Camarda, R. &amp; Lagunoff, M. Dengue</w:t>
      </w:r>
      <w:r w:rsidR="00946143" w:rsidRPr="00691C05">
        <w:rPr>
          <w:rFonts w:ascii="Times New Roman" w:hAnsi="Times New Roman" w:cs="Times New Roman"/>
          <w:sz w:val="24"/>
        </w:rPr>
        <w:t xml:space="preserve"> virus indu</w:t>
      </w:r>
      <w:r w:rsidR="00691C05" w:rsidRPr="00691C05">
        <w:rPr>
          <w:rFonts w:ascii="Times New Roman" w:hAnsi="Times New Roman" w:cs="Times New Roman"/>
          <w:sz w:val="24"/>
        </w:rPr>
        <w:t xml:space="preserve">ces and </w:t>
      </w:r>
      <w:r w:rsidR="00946143" w:rsidRPr="00691C05">
        <w:rPr>
          <w:rFonts w:ascii="Times New Roman" w:hAnsi="Times New Roman" w:cs="Times New Roman"/>
          <w:sz w:val="24"/>
        </w:rPr>
        <w:t>requires glycolysis for optimal r</w:t>
      </w:r>
      <w:r w:rsidR="00691C05" w:rsidRPr="00691C05">
        <w:rPr>
          <w:rFonts w:ascii="Times New Roman" w:hAnsi="Times New Roman" w:cs="Times New Roman"/>
          <w:sz w:val="24"/>
        </w:rPr>
        <w:t xml:space="preserve">eplication. </w:t>
      </w:r>
      <w:r w:rsidR="00691C05" w:rsidRPr="00691C05">
        <w:rPr>
          <w:rFonts w:ascii="Times New Roman" w:hAnsi="Times New Roman" w:cs="Times New Roman"/>
          <w:i/>
          <w:iCs/>
          <w:sz w:val="24"/>
        </w:rPr>
        <w:t>J. Virol.</w:t>
      </w:r>
      <w:r w:rsidR="00691C05" w:rsidRPr="00691C05">
        <w:rPr>
          <w:rFonts w:ascii="Times New Roman" w:hAnsi="Times New Roman" w:cs="Times New Roman"/>
          <w:sz w:val="24"/>
        </w:rPr>
        <w:t xml:space="preserve"> </w:t>
      </w:r>
      <w:r w:rsidR="00691C05" w:rsidRPr="00691C05">
        <w:rPr>
          <w:rFonts w:ascii="Times New Roman" w:hAnsi="Times New Roman" w:cs="Times New Roman"/>
          <w:b/>
          <w:bCs/>
          <w:sz w:val="24"/>
        </w:rPr>
        <w:t>89</w:t>
      </w:r>
      <w:r w:rsidR="00691C05" w:rsidRPr="00691C05">
        <w:rPr>
          <w:rFonts w:ascii="Times New Roman" w:hAnsi="Times New Roman" w:cs="Times New Roman"/>
          <w:sz w:val="24"/>
        </w:rPr>
        <w:t>, 2358–2366 (2015).</w:t>
      </w:r>
    </w:p>
    <w:p w14:paraId="265CB099" w14:textId="5A5653C4"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2.</w:t>
      </w:r>
      <w:r w:rsidRPr="00691C05">
        <w:rPr>
          <w:rFonts w:ascii="Times New Roman" w:hAnsi="Times New Roman" w:cs="Times New Roman"/>
          <w:sz w:val="24"/>
        </w:rPr>
        <w:tab/>
        <w:t xml:space="preserve">Muñoz, M. de L. </w:t>
      </w:r>
      <w:r w:rsidRPr="00691C05">
        <w:rPr>
          <w:rFonts w:ascii="Times New Roman" w:hAnsi="Times New Roman" w:cs="Times New Roman"/>
          <w:i/>
          <w:iCs/>
          <w:sz w:val="24"/>
        </w:rPr>
        <w:t>et al.</w:t>
      </w:r>
      <w:r w:rsidRPr="00691C05">
        <w:rPr>
          <w:rFonts w:ascii="Times New Roman" w:hAnsi="Times New Roman" w:cs="Times New Roman"/>
          <w:sz w:val="24"/>
        </w:rPr>
        <w:t xml:space="preserve"> Proteomi</w:t>
      </w:r>
      <w:r w:rsidR="005F581D" w:rsidRPr="00691C05">
        <w:rPr>
          <w:rFonts w:ascii="Times New Roman" w:hAnsi="Times New Roman" w:cs="Times New Roman"/>
          <w:sz w:val="24"/>
        </w:rPr>
        <w:t>c identif</w:t>
      </w:r>
      <w:r w:rsidRPr="00691C05">
        <w:rPr>
          <w:rFonts w:ascii="Times New Roman" w:hAnsi="Times New Roman" w:cs="Times New Roman"/>
          <w:sz w:val="24"/>
        </w:rPr>
        <w:t xml:space="preserve">ication of </w:t>
      </w:r>
      <w:r w:rsidR="00946143" w:rsidRPr="00691C05">
        <w:rPr>
          <w:rFonts w:ascii="Times New Roman" w:hAnsi="Times New Roman" w:cs="Times New Roman"/>
          <w:sz w:val="24"/>
        </w:rPr>
        <w:t>dengue virus binding prot</w:t>
      </w:r>
      <w:r w:rsidRPr="00691C05">
        <w:rPr>
          <w:rFonts w:ascii="Times New Roman" w:hAnsi="Times New Roman" w:cs="Times New Roman"/>
          <w:sz w:val="24"/>
        </w:rPr>
        <w:t xml:space="preserve">eins in </w:t>
      </w:r>
      <w:r w:rsidRPr="00A50876">
        <w:rPr>
          <w:rFonts w:ascii="Times New Roman" w:hAnsi="Times New Roman" w:cs="Times New Roman"/>
          <w:i/>
          <w:iCs/>
          <w:sz w:val="24"/>
        </w:rPr>
        <w:t>Aedes aegypti</w:t>
      </w:r>
      <w:r w:rsidRPr="00691C05">
        <w:rPr>
          <w:rFonts w:ascii="Times New Roman" w:hAnsi="Times New Roman" w:cs="Times New Roman"/>
          <w:sz w:val="24"/>
        </w:rPr>
        <w:t xml:space="preserve"> </w:t>
      </w:r>
      <w:r w:rsidR="00946143" w:rsidRPr="00691C05">
        <w:rPr>
          <w:rFonts w:ascii="Times New Roman" w:hAnsi="Times New Roman" w:cs="Times New Roman"/>
          <w:sz w:val="24"/>
        </w:rPr>
        <w:t>m</w:t>
      </w:r>
      <w:r w:rsidRPr="00691C05">
        <w:rPr>
          <w:rFonts w:ascii="Times New Roman" w:hAnsi="Times New Roman" w:cs="Times New Roman"/>
          <w:sz w:val="24"/>
        </w:rPr>
        <w:t xml:space="preserve">osquitoes and </w:t>
      </w:r>
      <w:r w:rsidRPr="00A50876">
        <w:rPr>
          <w:rFonts w:ascii="Times New Roman" w:hAnsi="Times New Roman" w:cs="Times New Roman"/>
          <w:i/>
          <w:iCs/>
          <w:sz w:val="24"/>
        </w:rPr>
        <w:t>Aedes albopictus</w:t>
      </w:r>
      <w:r w:rsidRPr="00691C05">
        <w:rPr>
          <w:rFonts w:ascii="Times New Roman" w:hAnsi="Times New Roman" w:cs="Times New Roman"/>
          <w:sz w:val="24"/>
        </w:rPr>
        <w:t xml:space="preserve"> Cells. </w:t>
      </w:r>
      <w:r w:rsidRPr="00691C05">
        <w:rPr>
          <w:rFonts w:ascii="Times New Roman" w:hAnsi="Times New Roman" w:cs="Times New Roman"/>
          <w:i/>
          <w:iCs/>
          <w:sz w:val="24"/>
        </w:rPr>
        <w:t>BioMed Research International</w:t>
      </w:r>
      <w:r w:rsidRPr="00691C05">
        <w:rPr>
          <w:rFonts w:ascii="Times New Roman" w:hAnsi="Times New Roman" w:cs="Times New Roman"/>
          <w:sz w:val="24"/>
        </w:rPr>
        <w:t xml:space="preserve"> </w:t>
      </w:r>
      <w:r w:rsidRPr="00A50876">
        <w:rPr>
          <w:rFonts w:ascii="Times New Roman" w:hAnsi="Times New Roman" w:cs="Times New Roman"/>
          <w:b/>
          <w:bCs/>
          <w:sz w:val="24"/>
        </w:rPr>
        <w:t>2013</w:t>
      </w:r>
      <w:r w:rsidRPr="00691C05">
        <w:rPr>
          <w:rFonts w:ascii="Times New Roman" w:hAnsi="Times New Roman" w:cs="Times New Roman"/>
          <w:sz w:val="24"/>
        </w:rPr>
        <w:t xml:space="preserve"> e875958 (2013).</w:t>
      </w:r>
    </w:p>
    <w:p w14:paraId="4CEF9361" w14:textId="77777777"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lastRenderedPageBreak/>
        <w:t>3.</w:t>
      </w:r>
      <w:r w:rsidRPr="00691C05">
        <w:rPr>
          <w:rFonts w:ascii="Times New Roman" w:hAnsi="Times New Roman" w:cs="Times New Roman"/>
          <w:sz w:val="24"/>
        </w:rPr>
        <w:tab/>
        <w:t xml:space="preserve">Park, S.-S., Kim, S.-J., Choi, H., Chang, C. &amp; Kim, E. TR4 promotes fatty acid synthesis in 3T3-L1 adipocytes by activation of pyruvate carboxylase expression. </w:t>
      </w:r>
      <w:r w:rsidRPr="00691C05">
        <w:rPr>
          <w:rFonts w:ascii="Times New Roman" w:hAnsi="Times New Roman" w:cs="Times New Roman"/>
          <w:i/>
          <w:iCs/>
          <w:sz w:val="24"/>
        </w:rPr>
        <w:t>FEBS Lett.</w:t>
      </w:r>
      <w:r w:rsidRPr="00691C05">
        <w:rPr>
          <w:rFonts w:ascii="Times New Roman" w:hAnsi="Times New Roman" w:cs="Times New Roman"/>
          <w:sz w:val="24"/>
        </w:rPr>
        <w:t xml:space="preserve"> </w:t>
      </w:r>
      <w:r w:rsidRPr="00691C05">
        <w:rPr>
          <w:rFonts w:ascii="Times New Roman" w:hAnsi="Times New Roman" w:cs="Times New Roman"/>
          <w:b/>
          <w:bCs/>
          <w:sz w:val="24"/>
        </w:rPr>
        <w:t>588</w:t>
      </w:r>
      <w:r w:rsidRPr="00691C05">
        <w:rPr>
          <w:rFonts w:ascii="Times New Roman" w:hAnsi="Times New Roman" w:cs="Times New Roman"/>
          <w:sz w:val="24"/>
        </w:rPr>
        <w:t>, 3947–3953 (2014).</w:t>
      </w:r>
    </w:p>
    <w:p w14:paraId="1DF5DA1D" w14:textId="77777777"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4.</w:t>
      </w:r>
      <w:r w:rsidRPr="00691C05">
        <w:rPr>
          <w:rFonts w:ascii="Times New Roman" w:hAnsi="Times New Roman" w:cs="Times New Roman"/>
          <w:sz w:val="24"/>
        </w:rPr>
        <w:tab/>
        <w:t xml:space="preserve">Geoghegan, V. </w:t>
      </w:r>
      <w:r w:rsidRPr="00691C05">
        <w:rPr>
          <w:rFonts w:ascii="Times New Roman" w:hAnsi="Times New Roman" w:cs="Times New Roman"/>
          <w:i/>
          <w:iCs/>
          <w:sz w:val="24"/>
        </w:rPr>
        <w:t>et al.</w:t>
      </w:r>
      <w:r w:rsidRPr="00691C05">
        <w:rPr>
          <w:rFonts w:ascii="Times New Roman" w:hAnsi="Times New Roman" w:cs="Times New Roman"/>
          <w:sz w:val="24"/>
        </w:rPr>
        <w:t xml:space="preserve"> Perturbed cholesterol and vesicular trafficking associated with dengue blocking in Wolbachia -infected </w:t>
      </w:r>
      <w:r w:rsidRPr="00A50876">
        <w:rPr>
          <w:rFonts w:ascii="Times New Roman" w:hAnsi="Times New Roman" w:cs="Times New Roman"/>
          <w:i/>
          <w:iCs/>
          <w:sz w:val="24"/>
        </w:rPr>
        <w:t>Aedes aegypti</w:t>
      </w:r>
      <w:r w:rsidRPr="00691C05">
        <w:rPr>
          <w:rFonts w:ascii="Times New Roman" w:hAnsi="Times New Roman" w:cs="Times New Roman"/>
          <w:sz w:val="24"/>
        </w:rPr>
        <w:t xml:space="preserve"> cells. </w:t>
      </w:r>
      <w:r w:rsidRPr="00691C05">
        <w:rPr>
          <w:rFonts w:ascii="Times New Roman" w:hAnsi="Times New Roman" w:cs="Times New Roman"/>
          <w:i/>
          <w:iCs/>
          <w:sz w:val="24"/>
        </w:rPr>
        <w:t>Nat. Commun.</w:t>
      </w:r>
      <w:r w:rsidRPr="00691C05">
        <w:rPr>
          <w:rFonts w:ascii="Times New Roman" w:hAnsi="Times New Roman" w:cs="Times New Roman"/>
          <w:sz w:val="24"/>
        </w:rPr>
        <w:t xml:space="preserve"> </w:t>
      </w:r>
      <w:r w:rsidRPr="00691C05">
        <w:rPr>
          <w:rFonts w:ascii="Times New Roman" w:hAnsi="Times New Roman" w:cs="Times New Roman"/>
          <w:b/>
          <w:bCs/>
          <w:sz w:val="24"/>
        </w:rPr>
        <w:t>8</w:t>
      </w:r>
      <w:r w:rsidRPr="00691C05">
        <w:rPr>
          <w:rFonts w:ascii="Times New Roman" w:hAnsi="Times New Roman" w:cs="Times New Roman"/>
          <w:sz w:val="24"/>
        </w:rPr>
        <w:t>, 526 (2017).</w:t>
      </w:r>
    </w:p>
    <w:p w14:paraId="7BBD5742" w14:textId="0A20679C"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5.</w:t>
      </w:r>
      <w:r w:rsidRPr="00691C05">
        <w:rPr>
          <w:rFonts w:ascii="Times New Roman" w:hAnsi="Times New Roman" w:cs="Times New Roman"/>
          <w:sz w:val="24"/>
        </w:rPr>
        <w:tab/>
        <w:t>Martín-Acebes, M. A., Blázquez, A.-B., Jiménez de Oya, N., Escribano-Romero, E. &amp; Saiz, J.-C. West Nile</w:t>
      </w:r>
      <w:r w:rsidR="005F581D" w:rsidRPr="00691C05">
        <w:rPr>
          <w:rFonts w:ascii="Times New Roman" w:hAnsi="Times New Roman" w:cs="Times New Roman"/>
          <w:sz w:val="24"/>
        </w:rPr>
        <w:t xml:space="preserve"> virus replication requires fatty acid synthesis but is independent on phosphatidylinositol-4-phosphate l</w:t>
      </w:r>
      <w:r w:rsidRPr="00691C05">
        <w:rPr>
          <w:rFonts w:ascii="Times New Roman" w:hAnsi="Times New Roman" w:cs="Times New Roman"/>
          <w:sz w:val="24"/>
        </w:rPr>
        <w:t xml:space="preserve">ipids. </w:t>
      </w:r>
      <w:r w:rsidRPr="00691C05">
        <w:rPr>
          <w:rFonts w:ascii="Times New Roman" w:hAnsi="Times New Roman" w:cs="Times New Roman"/>
          <w:i/>
          <w:iCs/>
          <w:sz w:val="24"/>
        </w:rPr>
        <w:t>PLoS O</w:t>
      </w:r>
      <w:r w:rsidR="005F581D" w:rsidRPr="00691C05">
        <w:rPr>
          <w:rFonts w:ascii="Times New Roman" w:hAnsi="Times New Roman" w:cs="Times New Roman"/>
          <w:i/>
          <w:iCs/>
          <w:sz w:val="24"/>
        </w:rPr>
        <w:t>ne</w:t>
      </w:r>
      <w:r w:rsidRPr="00691C05">
        <w:rPr>
          <w:rFonts w:ascii="Times New Roman" w:hAnsi="Times New Roman" w:cs="Times New Roman"/>
          <w:sz w:val="24"/>
        </w:rPr>
        <w:t xml:space="preserve"> </w:t>
      </w:r>
      <w:r w:rsidRPr="00691C05">
        <w:rPr>
          <w:rFonts w:ascii="Times New Roman" w:hAnsi="Times New Roman" w:cs="Times New Roman"/>
          <w:b/>
          <w:bCs/>
          <w:sz w:val="24"/>
        </w:rPr>
        <w:t>6</w:t>
      </w:r>
      <w:r w:rsidRPr="00691C05">
        <w:rPr>
          <w:rFonts w:ascii="Times New Roman" w:hAnsi="Times New Roman" w:cs="Times New Roman"/>
          <w:sz w:val="24"/>
        </w:rPr>
        <w:t>, (2011).</w:t>
      </w:r>
    </w:p>
    <w:p w14:paraId="29C97F2E" w14:textId="0CDDACBE"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6.</w:t>
      </w:r>
      <w:r w:rsidRPr="00691C05">
        <w:rPr>
          <w:rFonts w:ascii="Times New Roman" w:hAnsi="Times New Roman" w:cs="Times New Roman"/>
          <w:sz w:val="24"/>
        </w:rPr>
        <w:tab/>
        <w:t xml:space="preserve">Vial, T. </w:t>
      </w:r>
      <w:r w:rsidRPr="00691C05">
        <w:rPr>
          <w:rFonts w:ascii="Times New Roman" w:hAnsi="Times New Roman" w:cs="Times New Roman"/>
          <w:i/>
          <w:iCs/>
          <w:sz w:val="24"/>
        </w:rPr>
        <w:t>et al.</w:t>
      </w:r>
      <w:r w:rsidRPr="00691C05">
        <w:rPr>
          <w:rFonts w:ascii="Times New Roman" w:hAnsi="Times New Roman" w:cs="Times New Roman"/>
          <w:sz w:val="24"/>
        </w:rPr>
        <w:t xml:space="preserve"> Dengue virus reduces AGPAT1 expression to alter phospholipids and enhance infection in Aedes aegypti. </w:t>
      </w:r>
      <w:r w:rsidRPr="00691C05">
        <w:rPr>
          <w:rFonts w:ascii="Times New Roman" w:hAnsi="Times New Roman" w:cs="Times New Roman"/>
          <w:i/>
          <w:iCs/>
          <w:sz w:val="24"/>
        </w:rPr>
        <w:t>PL</w:t>
      </w:r>
      <w:r w:rsidR="005F581D" w:rsidRPr="00691C05">
        <w:rPr>
          <w:rFonts w:ascii="Times New Roman" w:hAnsi="Times New Roman" w:cs="Times New Roman"/>
          <w:i/>
          <w:iCs/>
          <w:sz w:val="24"/>
        </w:rPr>
        <w:t>o</w:t>
      </w:r>
      <w:r w:rsidRPr="00691C05">
        <w:rPr>
          <w:rFonts w:ascii="Times New Roman" w:hAnsi="Times New Roman" w:cs="Times New Roman"/>
          <w:i/>
          <w:iCs/>
          <w:sz w:val="24"/>
        </w:rPr>
        <w:t>S Pathog.</w:t>
      </w:r>
      <w:r w:rsidRPr="00691C05">
        <w:rPr>
          <w:rFonts w:ascii="Times New Roman" w:hAnsi="Times New Roman" w:cs="Times New Roman"/>
          <w:sz w:val="24"/>
        </w:rPr>
        <w:t xml:space="preserve"> </w:t>
      </w:r>
      <w:r w:rsidRPr="00691C05">
        <w:rPr>
          <w:rFonts w:ascii="Times New Roman" w:hAnsi="Times New Roman" w:cs="Times New Roman"/>
          <w:b/>
          <w:bCs/>
          <w:sz w:val="24"/>
        </w:rPr>
        <w:t>15</w:t>
      </w:r>
      <w:r w:rsidRPr="00691C05">
        <w:rPr>
          <w:rFonts w:ascii="Times New Roman" w:hAnsi="Times New Roman" w:cs="Times New Roman"/>
          <w:sz w:val="24"/>
        </w:rPr>
        <w:t>, e1008199 (2019).</w:t>
      </w:r>
    </w:p>
    <w:p w14:paraId="3220D975" w14:textId="3BBFECD6" w:rsidR="00691C05" w:rsidRPr="001B4F81" w:rsidRDefault="00691C05" w:rsidP="00691C05">
      <w:pPr>
        <w:pStyle w:val="Bibliography"/>
        <w:rPr>
          <w:rFonts w:ascii="Times New Roman" w:hAnsi="Times New Roman" w:cs="Times New Roman"/>
          <w:sz w:val="24"/>
          <w:lang w:val="fr-FR"/>
        </w:rPr>
      </w:pPr>
      <w:r w:rsidRPr="00691C05">
        <w:rPr>
          <w:rFonts w:ascii="Times New Roman" w:hAnsi="Times New Roman" w:cs="Times New Roman"/>
          <w:sz w:val="24"/>
        </w:rPr>
        <w:t>7.</w:t>
      </w:r>
      <w:r w:rsidRPr="00691C05">
        <w:rPr>
          <w:rFonts w:ascii="Times New Roman" w:hAnsi="Times New Roman" w:cs="Times New Roman"/>
          <w:sz w:val="24"/>
        </w:rPr>
        <w:tab/>
        <w:t xml:space="preserve">Lee, L. K. </w:t>
      </w:r>
      <w:r w:rsidRPr="00691C05">
        <w:rPr>
          <w:rFonts w:ascii="Times New Roman" w:hAnsi="Times New Roman" w:cs="Times New Roman"/>
          <w:i/>
          <w:iCs/>
          <w:sz w:val="24"/>
        </w:rPr>
        <w:t>et al.</w:t>
      </w:r>
      <w:r w:rsidRPr="00691C05">
        <w:rPr>
          <w:rFonts w:ascii="Times New Roman" w:hAnsi="Times New Roman" w:cs="Times New Roman"/>
          <w:sz w:val="24"/>
        </w:rPr>
        <w:t xml:space="preserve"> Clinica</w:t>
      </w:r>
      <w:r w:rsidR="005F581D" w:rsidRPr="00691C05">
        <w:rPr>
          <w:rFonts w:ascii="Times New Roman" w:hAnsi="Times New Roman" w:cs="Times New Roman"/>
          <w:sz w:val="24"/>
        </w:rPr>
        <w:t>l relevance and discriminatory value of elevated liver aminotransferase levels for dengue se</w:t>
      </w:r>
      <w:r w:rsidRPr="00691C05">
        <w:rPr>
          <w:rFonts w:ascii="Times New Roman" w:hAnsi="Times New Roman" w:cs="Times New Roman"/>
          <w:sz w:val="24"/>
        </w:rPr>
        <w:t xml:space="preserve">verity. </w:t>
      </w:r>
      <w:r w:rsidRPr="001B4F81">
        <w:rPr>
          <w:rFonts w:ascii="Times New Roman" w:hAnsi="Times New Roman" w:cs="Times New Roman"/>
          <w:i/>
          <w:iCs/>
          <w:sz w:val="24"/>
          <w:lang w:val="fr-FR"/>
        </w:rPr>
        <w:t>PLoS Negl. Trop. Dis.</w:t>
      </w:r>
      <w:r w:rsidRPr="001B4F81">
        <w:rPr>
          <w:rFonts w:ascii="Times New Roman" w:hAnsi="Times New Roman" w:cs="Times New Roman"/>
          <w:sz w:val="24"/>
          <w:lang w:val="fr-FR"/>
        </w:rPr>
        <w:t xml:space="preserve"> </w:t>
      </w:r>
      <w:r w:rsidRPr="001B4F81">
        <w:rPr>
          <w:rFonts w:ascii="Times New Roman" w:hAnsi="Times New Roman" w:cs="Times New Roman"/>
          <w:b/>
          <w:bCs/>
          <w:sz w:val="24"/>
          <w:lang w:val="fr-FR"/>
        </w:rPr>
        <w:t>6</w:t>
      </w:r>
      <w:r w:rsidRPr="001B4F81">
        <w:rPr>
          <w:rFonts w:ascii="Times New Roman" w:hAnsi="Times New Roman" w:cs="Times New Roman"/>
          <w:sz w:val="24"/>
          <w:lang w:val="fr-FR"/>
        </w:rPr>
        <w:t>, e1676 (2012).</w:t>
      </w:r>
    </w:p>
    <w:p w14:paraId="31433DDD" w14:textId="610A79C1" w:rsidR="00691C05" w:rsidRPr="00691C05" w:rsidRDefault="00691C05" w:rsidP="00691C05">
      <w:pPr>
        <w:pStyle w:val="Bibliography"/>
        <w:rPr>
          <w:rFonts w:ascii="Times New Roman" w:hAnsi="Times New Roman" w:cs="Times New Roman"/>
          <w:sz w:val="24"/>
        </w:rPr>
      </w:pPr>
      <w:r w:rsidRPr="001B4F81">
        <w:rPr>
          <w:rFonts w:ascii="Times New Roman" w:hAnsi="Times New Roman" w:cs="Times New Roman"/>
          <w:sz w:val="24"/>
          <w:lang w:val="fr-FR"/>
        </w:rPr>
        <w:t>8.</w:t>
      </w:r>
      <w:r w:rsidRPr="001B4F81">
        <w:rPr>
          <w:rFonts w:ascii="Times New Roman" w:hAnsi="Times New Roman" w:cs="Times New Roman"/>
          <w:sz w:val="24"/>
          <w:lang w:val="fr-FR"/>
        </w:rPr>
        <w:tab/>
        <w:t xml:space="preserve">Stolf, B. S. </w:t>
      </w:r>
      <w:r w:rsidRPr="001B4F81">
        <w:rPr>
          <w:rFonts w:ascii="Times New Roman" w:hAnsi="Times New Roman" w:cs="Times New Roman"/>
          <w:i/>
          <w:iCs/>
          <w:sz w:val="24"/>
          <w:lang w:val="fr-FR"/>
        </w:rPr>
        <w:t>et al.</w:t>
      </w:r>
      <w:r w:rsidRPr="001B4F81">
        <w:rPr>
          <w:rFonts w:ascii="Times New Roman" w:hAnsi="Times New Roman" w:cs="Times New Roman"/>
          <w:sz w:val="24"/>
          <w:lang w:val="fr-FR"/>
        </w:rPr>
        <w:t xml:space="preserve"> </w:t>
      </w:r>
      <w:r w:rsidRPr="00691C05">
        <w:rPr>
          <w:rFonts w:ascii="Times New Roman" w:hAnsi="Times New Roman" w:cs="Times New Roman"/>
          <w:sz w:val="24"/>
        </w:rPr>
        <w:t xml:space="preserve">Protein </w:t>
      </w:r>
      <w:r w:rsidR="005F581D" w:rsidRPr="00691C05">
        <w:rPr>
          <w:rFonts w:ascii="Times New Roman" w:hAnsi="Times New Roman" w:cs="Times New Roman"/>
          <w:sz w:val="24"/>
        </w:rPr>
        <w:t>disulfide isomerase and host-pathogen interacti</w:t>
      </w:r>
      <w:r w:rsidRPr="00691C05">
        <w:rPr>
          <w:rFonts w:ascii="Times New Roman" w:hAnsi="Times New Roman" w:cs="Times New Roman"/>
          <w:sz w:val="24"/>
        </w:rPr>
        <w:t xml:space="preserve">on. </w:t>
      </w:r>
      <w:r w:rsidRPr="00691C05">
        <w:rPr>
          <w:rFonts w:ascii="Times New Roman" w:hAnsi="Times New Roman" w:cs="Times New Roman"/>
          <w:i/>
          <w:iCs/>
          <w:sz w:val="24"/>
        </w:rPr>
        <w:t>Sci. World J.</w:t>
      </w:r>
      <w:r w:rsidRPr="00691C05">
        <w:rPr>
          <w:rFonts w:ascii="Times New Roman" w:hAnsi="Times New Roman" w:cs="Times New Roman"/>
          <w:sz w:val="24"/>
        </w:rPr>
        <w:t xml:space="preserve"> </w:t>
      </w:r>
      <w:r w:rsidRPr="00691C05">
        <w:rPr>
          <w:rFonts w:ascii="Times New Roman" w:hAnsi="Times New Roman" w:cs="Times New Roman"/>
          <w:b/>
          <w:bCs/>
          <w:sz w:val="24"/>
        </w:rPr>
        <w:t>11</w:t>
      </w:r>
      <w:r w:rsidRPr="00691C05">
        <w:rPr>
          <w:rFonts w:ascii="Times New Roman" w:hAnsi="Times New Roman" w:cs="Times New Roman"/>
          <w:sz w:val="24"/>
        </w:rPr>
        <w:t>, 1749–1761 (2011).</w:t>
      </w:r>
    </w:p>
    <w:p w14:paraId="7BA91163" w14:textId="7CCCDBE3"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9.</w:t>
      </w:r>
      <w:r w:rsidRPr="00691C05">
        <w:rPr>
          <w:rFonts w:ascii="Times New Roman" w:hAnsi="Times New Roman" w:cs="Times New Roman"/>
          <w:sz w:val="24"/>
        </w:rPr>
        <w:tab/>
        <w:t xml:space="preserve">Rawarak, N., Suttitheptumrong, A., Reamtong, O., Boonnak, K. &amp; Pattanakitsakul, S. Protein </w:t>
      </w:r>
      <w:r w:rsidR="005F581D" w:rsidRPr="00691C05">
        <w:rPr>
          <w:rFonts w:ascii="Times New Roman" w:hAnsi="Times New Roman" w:cs="Times New Roman"/>
          <w:sz w:val="24"/>
        </w:rPr>
        <w:t>disulfide isomerase inhibitor suppresses viral replication and production during antibody-dependent enhancement of dengue virus infection in human monocytic cel</w:t>
      </w:r>
      <w:r w:rsidRPr="00691C05">
        <w:rPr>
          <w:rFonts w:ascii="Times New Roman" w:hAnsi="Times New Roman" w:cs="Times New Roman"/>
          <w:sz w:val="24"/>
        </w:rPr>
        <w:t xml:space="preserve">ls. </w:t>
      </w:r>
      <w:r w:rsidRPr="00691C05">
        <w:rPr>
          <w:rFonts w:ascii="Times New Roman" w:hAnsi="Times New Roman" w:cs="Times New Roman"/>
          <w:i/>
          <w:iCs/>
          <w:sz w:val="24"/>
        </w:rPr>
        <w:t>Viruses</w:t>
      </w:r>
      <w:r w:rsidRPr="00691C05">
        <w:rPr>
          <w:rFonts w:ascii="Times New Roman" w:hAnsi="Times New Roman" w:cs="Times New Roman"/>
          <w:sz w:val="24"/>
        </w:rPr>
        <w:t xml:space="preserve"> </w:t>
      </w:r>
      <w:r w:rsidRPr="00691C05">
        <w:rPr>
          <w:rFonts w:ascii="Times New Roman" w:hAnsi="Times New Roman" w:cs="Times New Roman"/>
          <w:b/>
          <w:bCs/>
          <w:sz w:val="24"/>
        </w:rPr>
        <w:t>11</w:t>
      </w:r>
      <w:r w:rsidRPr="00691C05">
        <w:rPr>
          <w:rFonts w:ascii="Times New Roman" w:hAnsi="Times New Roman" w:cs="Times New Roman"/>
          <w:sz w:val="24"/>
        </w:rPr>
        <w:t>, 155 (2019).</w:t>
      </w:r>
    </w:p>
    <w:p w14:paraId="200CF575" w14:textId="52F87C60"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10.</w:t>
      </w:r>
      <w:r w:rsidRPr="00691C05">
        <w:rPr>
          <w:rFonts w:ascii="Times New Roman" w:hAnsi="Times New Roman" w:cs="Times New Roman"/>
          <w:sz w:val="24"/>
        </w:rPr>
        <w:tab/>
        <w:t xml:space="preserve">Radyuk, S. N., Klichko, V. I., Spinola, B., Sohal, R. S. &amp; Orr, W. C. The peroxiredoxin gene family in </w:t>
      </w:r>
      <w:r w:rsidR="005F581D" w:rsidRPr="00A50876">
        <w:rPr>
          <w:rFonts w:ascii="Times New Roman" w:hAnsi="Times New Roman" w:cs="Times New Roman"/>
          <w:i/>
          <w:iCs/>
          <w:sz w:val="24"/>
        </w:rPr>
        <w:t>D</w:t>
      </w:r>
      <w:r w:rsidRPr="00A50876">
        <w:rPr>
          <w:rFonts w:ascii="Times New Roman" w:hAnsi="Times New Roman" w:cs="Times New Roman"/>
          <w:i/>
          <w:iCs/>
          <w:sz w:val="24"/>
        </w:rPr>
        <w:t>rosophila melanogaster</w:t>
      </w:r>
      <w:r w:rsidRPr="00691C05">
        <w:rPr>
          <w:rFonts w:ascii="Times New Roman" w:hAnsi="Times New Roman" w:cs="Times New Roman"/>
          <w:sz w:val="24"/>
        </w:rPr>
        <w:t xml:space="preserve">. </w:t>
      </w:r>
      <w:r w:rsidRPr="00691C05">
        <w:rPr>
          <w:rFonts w:ascii="Times New Roman" w:hAnsi="Times New Roman" w:cs="Times New Roman"/>
          <w:i/>
          <w:iCs/>
          <w:sz w:val="24"/>
        </w:rPr>
        <w:t>Free Radic. Biol. Med.</w:t>
      </w:r>
      <w:r w:rsidRPr="00691C05">
        <w:rPr>
          <w:rFonts w:ascii="Times New Roman" w:hAnsi="Times New Roman" w:cs="Times New Roman"/>
          <w:sz w:val="24"/>
        </w:rPr>
        <w:t xml:space="preserve"> </w:t>
      </w:r>
      <w:r w:rsidRPr="00691C05">
        <w:rPr>
          <w:rFonts w:ascii="Times New Roman" w:hAnsi="Times New Roman" w:cs="Times New Roman"/>
          <w:b/>
          <w:bCs/>
          <w:sz w:val="24"/>
        </w:rPr>
        <w:t>31</w:t>
      </w:r>
      <w:r w:rsidRPr="00691C05">
        <w:rPr>
          <w:rFonts w:ascii="Times New Roman" w:hAnsi="Times New Roman" w:cs="Times New Roman"/>
          <w:sz w:val="24"/>
        </w:rPr>
        <w:t>, 1090–1100 (2001).</w:t>
      </w:r>
    </w:p>
    <w:p w14:paraId="2C3151F6" w14:textId="77777777"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11.</w:t>
      </w:r>
      <w:r w:rsidRPr="00691C05">
        <w:rPr>
          <w:rFonts w:ascii="Times New Roman" w:hAnsi="Times New Roman" w:cs="Times New Roman"/>
          <w:sz w:val="24"/>
        </w:rPr>
        <w:tab/>
        <w:t xml:space="preserve">Kozak, M. Point mutations define a sequence flanking the AUG initiator codon that modulates translation by eukaryotic ribosomes. </w:t>
      </w:r>
      <w:r w:rsidRPr="00691C05">
        <w:rPr>
          <w:rFonts w:ascii="Times New Roman" w:hAnsi="Times New Roman" w:cs="Times New Roman"/>
          <w:i/>
          <w:iCs/>
          <w:sz w:val="24"/>
        </w:rPr>
        <w:t>Cell</w:t>
      </w:r>
      <w:r w:rsidRPr="00691C05">
        <w:rPr>
          <w:rFonts w:ascii="Times New Roman" w:hAnsi="Times New Roman" w:cs="Times New Roman"/>
          <w:sz w:val="24"/>
        </w:rPr>
        <w:t xml:space="preserve"> </w:t>
      </w:r>
      <w:r w:rsidRPr="00691C05">
        <w:rPr>
          <w:rFonts w:ascii="Times New Roman" w:hAnsi="Times New Roman" w:cs="Times New Roman"/>
          <w:b/>
          <w:bCs/>
          <w:sz w:val="24"/>
        </w:rPr>
        <w:t>44</w:t>
      </w:r>
      <w:r w:rsidRPr="00691C05">
        <w:rPr>
          <w:rFonts w:ascii="Times New Roman" w:hAnsi="Times New Roman" w:cs="Times New Roman"/>
          <w:sz w:val="24"/>
        </w:rPr>
        <w:t>, 283–292 (1986).</w:t>
      </w:r>
    </w:p>
    <w:p w14:paraId="7B2216A4" w14:textId="1B8EE6AC"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12.</w:t>
      </w:r>
      <w:r w:rsidRPr="00691C05">
        <w:rPr>
          <w:rFonts w:ascii="Times New Roman" w:hAnsi="Times New Roman" w:cs="Times New Roman"/>
          <w:sz w:val="24"/>
        </w:rPr>
        <w:tab/>
      </w:r>
      <w:r w:rsidR="00A50876">
        <w:rPr>
          <w:rFonts w:ascii="Times New Roman" w:hAnsi="Times New Roman" w:cs="Times New Roman"/>
          <w:sz w:val="24"/>
          <w:szCs w:val="24"/>
        </w:rPr>
        <w:t xml:space="preserve">Kozak, M. </w:t>
      </w:r>
      <w:r w:rsidRPr="00691C05">
        <w:rPr>
          <w:rFonts w:ascii="Times New Roman" w:hAnsi="Times New Roman" w:cs="Times New Roman"/>
          <w:sz w:val="24"/>
        </w:rPr>
        <w:t>Possible role of flanking nucleotides in recognition of the AUG initiator codon by eukaryotic ribosomes.</w:t>
      </w:r>
      <w:r w:rsidR="00A50876" w:rsidRPr="00A50876">
        <w:rPr>
          <w:rFonts w:ascii="Times New Roman" w:hAnsi="Times New Roman" w:cs="Times New Roman"/>
          <w:i/>
          <w:iCs/>
          <w:sz w:val="24"/>
          <w:szCs w:val="24"/>
        </w:rPr>
        <w:t xml:space="preserve"> </w:t>
      </w:r>
      <w:r w:rsidR="00A50876" w:rsidRPr="00E87D0E">
        <w:rPr>
          <w:rFonts w:ascii="Times New Roman" w:hAnsi="Times New Roman" w:cs="Times New Roman"/>
          <w:i/>
          <w:iCs/>
          <w:sz w:val="24"/>
          <w:szCs w:val="24"/>
        </w:rPr>
        <w:t>Nucleic Acids Res</w:t>
      </w:r>
      <w:r w:rsidR="00A50876">
        <w:rPr>
          <w:rFonts w:ascii="Times New Roman" w:hAnsi="Times New Roman" w:cs="Times New Roman"/>
          <w:sz w:val="24"/>
          <w:szCs w:val="24"/>
        </w:rPr>
        <w:t xml:space="preserve"> </w:t>
      </w:r>
      <w:r w:rsidR="00A50876" w:rsidRPr="00E87D0E">
        <w:rPr>
          <w:rFonts w:ascii="Times New Roman" w:hAnsi="Times New Roman" w:cs="Times New Roman"/>
          <w:b/>
          <w:bCs/>
          <w:sz w:val="24"/>
          <w:szCs w:val="24"/>
        </w:rPr>
        <w:t>9</w:t>
      </w:r>
      <w:r w:rsidR="00A50876">
        <w:rPr>
          <w:rFonts w:ascii="Times New Roman" w:hAnsi="Times New Roman" w:cs="Times New Roman"/>
          <w:sz w:val="24"/>
          <w:szCs w:val="24"/>
        </w:rPr>
        <w:t>, 5233-5252 (1981).</w:t>
      </w:r>
      <w:r w:rsidR="00A50876" w:rsidRPr="003C0C9E">
        <w:rPr>
          <w:rFonts w:ascii="Times New Roman" w:hAnsi="Times New Roman" w:cs="Times New Roman"/>
          <w:sz w:val="24"/>
          <w:szCs w:val="24"/>
        </w:rPr>
        <w:t xml:space="preserve"> </w:t>
      </w:r>
      <w:r w:rsidRPr="00691C05">
        <w:rPr>
          <w:rFonts w:ascii="Times New Roman" w:hAnsi="Times New Roman" w:cs="Times New Roman"/>
          <w:sz w:val="24"/>
        </w:rPr>
        <w:t xml:space="preserve"> </w:t>
      </w:r>
    </w:p>
    <w:p w14:paraId="65CB8E55" w14:textId="49F5EFA0" w:rsidR="00691C05" w:rsidRPr="00691C05" w:rsidRDefault="00691C05" w:rsidP="00691C05">
      <w:pPr>
        <w:pStyle w:val="Bibliography"/>
        <w:rPr>
          <w:rFonts w:ascii="Times New Roman" w:hAnsi="Times New Roman" w:cs="Times New Roman"/>
          <w:sz w:val="24"/>
        </w:rPr>
      </w:pPr>
      <w:r w:rsidRPr="00EE5681">
        <w:rPr>
          <w:rFonts w:ascii="Times New Roman" w:hAnsi="Times New Roman" w:cs="Times New Roman"/>
          <w:sz w:val="24"/>
        </w:rPr>
        <w:lastRenderedPageBreak/>
        <w:t>13.</w:t>
      </w:r>
      <w:r w:rsidRPr="00EE5681">
        <w:rPr>
          <w:rFonts w:ascii="Times New Roman" w:hAnsi="Times New Roman" w:cs="Times New Roman"/>
          <w:sz w:val="24"/>
        </w:rPr>
        <w:tab/>
        <w:t xml:space="preserve">Ribeiro, J. M. </w:t>
      </w:r>
      <w:r w:rsidRPr="00EE5681">
        <w:rPr>
          <w:rFonts w:ascii="Times New Roman" w:hAnsi="Times New Roman" w:cs="Times New Roman"/>
          <w:i/>
          <w:iCs/>
          <w:sz w:val="24"/>
        </w:rPr>
        <w:t>et al.</w:t>
      </w:r>
      <w:r w:rsidRPr="00EE5681">
        <w:rPr>
          <w:rFonts w:ascii="Times New Roman" w:hAnsi="Times New Roman" w:cs="Times New Roman"/>
          <w:sz w:val="24"/>
        </w:rPr>
        <w:t xml:space="preserve"> </w:t>
      </w:r>
      <w:r w:rsidRPr="00691C05">
        <w:rPr>
          <w:rFonts w:ascii="Times New Roman" w:hAnsi="Times New Roman" w:cs="Times New Roman"/>
          <w:sz w:val="24"/>
        </w:rPr>
        <w:t xml:space="preserve">An annotated catalogue of salivary gland transcripts in the adult female mosquito, </w:t>
      </w:r>
      <w:r w:rsidR="005F581D" w:rsidRPr="00A50876">
        <w:rPr>
          <w:rFonts w:ascii="Times New Roman" w:hAnsi="Times New Roman" w:cs="Times New Roman"/>
          <w:i/>
          <w:iCs/>
          <w:sz w:val="24"/>
        </w:rPr>
        <w:t>Ae</w:t>
      </w:r>
      <w:r w:rsidRPr="00A50876">
        <w:rPr>
          <w:rFonts w:ascii="Times New Roman" w:hAnsi="Times New Roman" w:cs="Times New Roman"/>
          <w:i/>
          <w:iCs/>
          <w:sz w:val="24"/>
        </w:rPr>
        <w:t xml:space="preserve">des </w:t>
      </w:r>
      <w:r w:rsidR="005F581D" w:rsidRPr="00A50876">
        <w:rPr>
          <w:rFonts w:ascii="Times New Roman" w:hAnsi="Times New Roman" w:cs="Times New Roman"/>
          <w:i/>
          <w:iCs/>
          <w:sz w:val="24"/>
        </w:rPr>
        <w:t>ae</w:t>
      </w:r>
      <w:r w:rsidRPr="00A50876">
        <w:rPr>
          <w:rFonts w:ascii="Times New Roman" w:hAnsi="Times New Roman" w:cs="Times New Roman"/>
          <w:i/>
          <w:iCs/>
          <w:sz w:val="24"/>
        </w:rPr>
        <w:t>gypti</w:t>
      </w:r>
      <w:r w:rsidRPr="00691C05">
        <w:rPr>
          <w:rFonts w:ascii="Times New Roman" w:hAnsi="Times New Roman" w:cs="Times New Roman"/>
          <w:sz w:val="24"/>
        </w:rPr>
        <w:t xml:space="preserve">. </w:t>
      </w:r>
      <w:r w:rsidRPr="00691C05">
        <w:rPr>
          <w:rFonts w:ascii="Times New Roman" w:hAnsi="Times New Roman" w:cs="Times New Roman"/>
          <w:i/>
          <w:iCs/>
          <w:sz w:val="24"/>
        </w:rPr>
        <w:t>BMC Genomics</w:t>
      </w:r>
      <w:r w:rsidRPr="00691C05">
        <w:rPr>
          <w:rFonts w:ascii="Times New Roman" w:hAnsi="Times New Roman" w:cs="Times New Roman"/>
          <w:sz w:val="24"/>
        </w:rPr>
        <w:t xml:space="preserve"> </w:t>
      </w:r>
      <w:r w:rsidRPr="00691C05">
        <w:rPr>
          <w:rFonts w:ascii="Times New Roman" w:hAnsi="Times New Roman" w:cs="Times New Roman"/>
          <w:b/>
          <w:bCs/>
          <w:sz w:val="24"/>
        </w:rPr>
        <w:t>8</w:t>
      </w:r>
      <w:r w:rsidRPr="00691C05">
        <w:rPr>
          <w:rFonts w:ascii="Times New Roman" w:hAnsi="Times New Roman" w:cs="Times New Roman"/>
          <w:sz w:val="24"/>
        </w:rPr>
        <w:t>, 6 (2007).</w:t>
      </w:r>
    </w:p>
    <w:p w14:paraId="4D203D5A" w14:textId="77777777"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14.</w:t>
      </w:r>
      <w:r w:rsidRPr="00691C05">
        <w:rPr>
          <w:rFonts w:ascii="Times New Roman" w:hAnsi="Times New Roman" w:cs="Times New Roman"/>
          <w:sz w:val="24"/>
        </w:rPr>
        <w:tab/>
        <w:t xml:space="preserve">Breathnach, R. &amp; Chambon, P. Organization and expression of eucaryotic split genes coding for proteins. </w:t>
      </w:r>
      <w:r w:rsidRPr="00691C05">
        <w:rPr>
          <w:rFonts w:ascii="Times New Roman" w:hAnsi="Times New Roman" w:cs="Times New Roman"/>
          <w:i/>
          <w:iCs/>
          <w:sz w:val="24"/>
        </w:rPr>
        <w:t>Annu. Rev. Biochem.</w:t>
      </w:r>
      <w:r w:rsidRPr="00691C05">
        <w:rPr>
          <w:rFonts w:ascii="Times New Roman" w:hAnsi="Times New Roman" w:cs="Times New Roman"/>
          <w:sz w:val="24"/>
        </w:rPr>
        <w:t xml:space="preserve"> </w:t>
      </w:r>
      <w:r w:rsidRPr="00691C05">
        <w:rPr>
          <w:rFonts w:ascii="Times New Roman" w:hAnsi="Times New Roman" w:cs="Times New Roman"/>
          <w:b/>
          <w:bCs/>
          <w:sz w:val="24"/>
        </w:rPr>
        <w:t>50</w:t>
      </w:r>
      <w:r w:rsidRPr="00691C05">
        <w:rPr>
          <w:rFonts w:ascii="Times New Roman" w:hAnsi="Times New Roman" w:cs="Times New Roman"/>
          <w:sz w:val="24"/>
        </w:rPr>
        <w:t>, 349–383 (1981).</w:t>
      </w:r>
    </w:p>
    <w:p w14:paraId="68DE83CE" w14:textId="7AF69EDE"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15.</w:t>
      </w:r>
      <w:r w:rsidRPr="00691C05">
        <w:rPr>
          <w:rFonts w:ascii="Times New Roman" w:hAnsi="Times New Roman" w:cs="Times New Roman"/>
          <w:sz w:val="24"/>
        </w:rPr>
        <w:tab/>
      </w:r>
      <w:hyperlink r:id="rId8" w:history="1">
        <w:r w:rsidR="00A50876" w:rsidRPr="00A50876">
          <w:rPr>
            <w:rStyle w:val="Hyperlink"/>
            <w:rFonts w:ascii="Times New Roman" w:hAnsi="Times New Roman" w:cs="Times New Roman"/>
            <w:color w:val="000000" w:themeColor="text1"/>
            <w:sz w:val="24"/>
            <w:u w:val="none"/>
            <w:lang w:val="en-SG"/>
          </w:rPr>
          <w:t>Breathnach</w:t>
        </w:r>
      </w:hyperlink>
      <w:r w:rsidR="00A50876" w:rsidRPr="00A50876">
        <w:rPr>
          <w:rFonts w:ascii="Times New Roman" w:hAnsi="Times New Roman" w:cs="Times New Roman"/>
          <w:color w:val="000000" w:themeColor="text1"/>
          <w:sz w:val="24"/>
          <w:lang w:val="en-SG"/>
        </w:rPr>
        <w:t xml:space="preserve"> R, </w:t>
      </w:r>
      <w:hyperlink r:id="rId9" w:history="1">
        <w:r w:rsidR="00A50876" w:rsidRPr="00A50876">
          <w:rPr>
            <w:rStyle w:val="Hyperlink"/>
            <w:rFonts w:ascii="Times New Roman" w:hAnsi="Times New Roman" w:cs="Times New Roman"/>
            <w:color w:val="000000" w:themeColor="text1"/>
            <w:sz w:val="24"/>
            <w:u w:val="none"/>
            <w:lang w:val="en-SG"/>
          </w:rPr>
          <w:t xml:space="preserve"> Benoist</w:t>
        </w:r>
      </w:hyperlink>
      <w:r w:rsidR="00A50876" w:rsidRPr="00A50876">
        <w:rPr>
          <w:rFonts w:ascii="Times New Roman" w:hAnsi="Times New Roman" w:cs="Times New Roman"/>
          <w:color w:val="000000" w:themeColor="text1"/>
          <w:sz w:val="24"/>
          <w:lang w:val="en-SG"/>
        </w:rPr>
        <w:t xml:space="preserve"> C, </w:t>
      </w:r>
      <w:hyperlink r:id="rId10" w:history="1">
        <w:r w:rsidR="00A50876" w:rsidRPr="00A50876">
          <w:rPr>
            <w:rStyle w:val="Hyperlink"/>
            <w:rFonts w:ascii="Times New Roman" w:hAnsi="Times New Roman" w:cs="Times New Roman"/>
            <w:color w:val="000000" w:themeColor="text1"/>
            <w:sz w:val="24"/>
            <w:u w:val="none"/>
            <w:lang w:val="en-SG"/>
          </w:rPr>
          <w:t>O'Hare</w:t>
        </w:r>
      </w:hyperlink>
      <w:r w:rsidR="00A50876" w:rsidRPr="00A50876">
        <w:rPr>
          <w:rFonts w:ascii="Times New Roman" w:hAnsi="Times New Roman" w:cs="Times New Roman"/>
          <w:color w:val="000000" w:themeColor="text1"/>
          <w:sz w:val="24"/>
          <w:lang w:val="en-SG"/>
        </w:rPr>
        <w:t xml:space="preserve"> K, </w:t>
      </w:r>
      <w:hyperlink r:id="rId11" w:history="1">
        <w:r w:rsidR="00A50876" w:rsidRPr="00A50876">
          <w:rPr>
            <w:rStyle w:val="Hyperlink"/>
            <w:rFonts w:ascii="Times New Roman" w:hAnsi="Times New Roman" w:cs="Times New Roman"/>
            <w:color w:val="000000" w:themeColor="text1"/>
            <w:sz w:val="24"/>
            <w:u w:val="none"/>
            <w:lang w:val="en-SG"/>
          </w:rPr>
          <w:t xml:space="preserve"> Gannon</w:t>
        </w:r>
      </w:hyperlink>
      <w:r w:rsidR="00A50876" w:rsidRPr="00A50876">
        <w:rPr>
          <w:rFonts w:ascii="Times New Roman" w:hAnsi="Times New Roman" w:cs="Times New Roman"/>
          <w:color w:val="000000" w:themeColor="text1"/>
          <w:sz w:val="24"/>
          <w:lang w:val="en-SG"/>
        </w:rPr>
        <w:t xml:space="preserve"> F, </w:t>
      </w:r>
      <w:hyperlink r:id="rId12" w:history="1">
        <w:r w:rsidR="00A50876" w:rsidRPr="00A50876">
          <w:rPr>
            <w:rStyle w:val="Hyperlink"/>
            <w:rFonts w:ascii="Times New Roman" w:hAnsi="Times New Roman" w:cs="Times New Roman"/>
            <w:color w:val="000000" w:themeColor="text1"/>
            <w:sz w:val="24"/>
            <w:u w:val="none"/>
            <w:lang w:val="en-SG"/>
          </w:rPr>
          <w:t>Chambon</w:t>
        </w:r>
      </w:hyperlink>
      <w:r w:rsidR="00A50876" w:rsidRPr="00A50876">
        <w:rPr>
          <w:rFonts w:ascii="Times New Roman" w:hAnsi="Times New Roman" w:cs="Times New Roman"/>
          <w:color w:val="000000" w:themeColor="text1"/>
          <w:sz w:val="24"/>
          <w:lang w:val="en-SG"/>
        </w:rPr>
        <w:t xml:space="preserve"> P. </w:t>
      </w:r>
      <w:r w:rsidRPr="00A50876">
        <w:rPr>
          <w:rFonts w:ascii="Times New Roman" w:hAnsi="Times New Roman" w:cs="Times New Roman"/>
          <w:color w:val="000000" w:themeColor="text1"/>
          <w:sz w:val="24"/>
        </w:rPr>
        <w:t>Oval</w:t>
      </w:r>
      <w:r w:rsidRPr="00691C05">
        <w:rPr>
          <w:rFonts w:ascii="Times New Roman" w:hAnsi="Times New Roman" w:cs="Times New Roman"/>
          <w:sz w:val="24"/>
        </w:rPr>
        <w:t>bumin gene: evidence for a leader sequence in mRNA and DNA sequences at the exon-intron boundaries.</w:t>
      </w:r>
      <w:r w:rsidR="00A50876">
        <w:rPr>
          <w:rFonts w:ascii="Times New Roman" w:hAnsi="Times New Roman" w:cs="Times New Roman"/>
          <w:sz w:val="24"/>
        </w:rPr>
        <w:t xml:space="preserve"> </w:t>
      </w:r>
      <w:r w:rsidR="00A50876" w:rsidRPr="00A50876">
        <w:rPr>
          <w:rFonts w:ascii="Times New Roman" w:hAnsi="Times New Roman" w:cs="Times New Roman"/>
          <w:i/>
          <w:iCs/>
          <w:sz w:val="24"/>
          <w:lang w:val="en-SG"/>
        </w:rPr>
        <w:t>Proc Natl Acad Sci</w:t>
      </w:r>
      <w:r w:rsidR="00A50876" w:rsidRPr="00A50876">
        <w:rPr>
          <w:rFonts w:ascii="Times New Roman" w:hAnsi="Times New Roman" w:cs="Times New Roman"/>
          <w:sz w:val="24"/>
          <w:lang w:val="en-SG"/>
        </w:rPr>
        <w:t xml:space="preserve"> </w:t>
      </w:r>
      <w:r w:rsidR="00A50876" w:rsidRPr="00A50876">
        <w:rPr>
          <w:rFonts w:ascii="Times New Roman" w:hAnsi="Times New Roman" w:cs="Times New Roman"/>
          <w:b/>
          <w:bCs/>
          <w:sz w:val="24"/>
          <w:lang w:val="en-SG"/>
        </w:rPr>
        <w:t>75</w:t>
      </w:r>
      <w:r w:rsidR="00A50876" w:rsidRPr="00A50876">
        <w:rPr>
          <w:rFonts w:ascii="Times New Roman" w:hAnsi="Times New Roman" w:cs="Times New Roman"/>
          <w:sz w:val="24"/>
          <w:lang w:val="en-SG"/>
        </w:rPr>
        <w:t>, 4853-7 (1978).</w:t>
      </w:r>
    </w:p>
    <w:p w14:paraId="3B735512" w14:textId="77777777"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16.</w:t>
      </w:r>
      <w:r w:rsidRPr="00691C05">
        <w:rPr>
          <w:rFonts w:ascii="Times New Roman" w:hAnsi="Times New Roman" w:cs="Times New Roman"/>
          <w:sz w:val="24"/>
        </w:rPr>
        <w:tab/>
        <w:t xml:space="preserve">Coolidge, C. J., Seely, R. J. &amp; Patton, J. G. Functional analysis of the polypyrimidine tract in pre-mRNA splicing. </w:t>
      </w:r>
      <w:r w:rsidRPr="00691C05">
        <w:rPr>
          <w:rFonts w:ascii="Times New Roman" w:hAnsi="Times New Roman" w:cs="Times New Roman"/>
          <w:i/>
          <w:iCs/>
          <w:sz w:val="24"/>
        </w:rPr>
        <w:t>Nucleic Acids Res.</w:t>
      </w:r>
      <w:r w:rsidRPr="00691C05">
        <w:rPr>
          <w:rFonts w:ascii="Times New Roman" w:hAnsi="Times New Roman" w:cs="Times New Roman"/>
          <w:sz w:val="24"/>
        </w:rPr>
        <w:t xml:space="preserve"> </w:t>
      </w:r>
      <w:r w:rsidRPr="00691C05">
        <w:rPr>
          <w:rFonts w:ascii="Times New Roman" w:hAnsi="Times New Roman" w:cs="Times New Roman"/>
          <w:b/>
          <w:bCs/>
          <w:sz w:val="24"/>
        </w:rPr>
        <w:t>25</w:t>
      </w:r>
      <w:r w:rsidRPr="00691C05">
        <w:rPr>
          <w:rFonts w:ascii="Times New Roman" w:hAnsi="Times New Roman" w:cs="Times New Roman"/>
          <w:sz w:val="24"/>
        </w:rPr>
        <w:t>, 888–896 (1997).</w:t>
      </w:r>
    </w:p>
    <w:p w14:paraId="52936835" w14:textId="790E6C41"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17.</w:t>
      </w:r>
      <w:r w:rsidRPr="00691C05">
        <w:rPr>
          <w:rFonts w:ascii="Times New Roman" w:hAnsi="Times New Roman" w:cs="Times New Roman"/>
          <w:sz w:val="24"/>
        </w:rPr>
        <w:tab/>
        <w:t xml:space="preserve">Dhawan, R. </w:t>
      </w:r>
      <w:r w:rsidRPr="00691C05">
        <w:rPr>
          <w:rFonts w:ascii="Times New Roman" w:hAnsi="Times New Roman" w:cs="Times New Roman"/>
          <w:i/>
          <w:iCs/>
          <w:sz w:val="24"/>
        </w:rPr>
        <w:t>et al.</w:t>
      </w:r>
      <w:r w:rsidRPr="00691C05">
        <w:rPr>
          <w:rFonts w:ascii="Times New Roman" w:hAnsi="Times New Roman" w:cs="Times New Roman"/>
          <w:sz w:val="24"/>
        </w:rPr>
        <w:t xml:space="preserve"> Mosquito</w:t>
      </w:r>
      <w:r w:rsidR="005F581D" w:rsidRPr="00691C05">
        <w:rPr>
          <w:rFonts w:ascii="Times New Roman" w:hAnsi="Times New Roman" w:cs="Times New Roman"/>
          <w:sz w:val="24"/>
        </w:rPr>
        <w:t>-borne diseases and omics: salivary gland proteom</w:t>
      </w:r>
      <w:r w:rsidRPr="00691C05">
        <w:rPr>
          <w:rFonts w:ascii="Times New Roman" w:hAnsi="Times New Roman" w:cs="Times New Roman"/>
          <w:sz w:val="24"/>
        </w:rPr>
        <w:t xml:space="preserve">e of the Female </w:t>
      </w:r>
      <w:r w:rsidRPr="00691C05">
        <w:rPr>
          <w:rFonts w:ascii="Times New Roman" w:hAnsi="Times New Roman" w:cs="Times New Roman"/>
          <w:i/>
          <w:iCs/>
          <w:sz w:val="24"/>
        </w:rPr>
        <w:t>Aedes aegypti</w:t>
      </w:r>
      <w:r w:rsidRPr="00691C05">
        <w:rPr>
          <w:rFonts w:ascii="Times New Roman" w:hAnsi="Times New Roman" w:cs="Times New Roman"/>
          <w:sz w:val="24"/>
        </w:rPr>
        <w:t xml:space="preserve"> </w:t>
      </w:r>
      <w:r w:rsidR="005F581D" w:rsidRPr="00691C05">
        <w:rPr>
          <w:rFonts w:ascii="Times New Roman" w:hAnsi="Times New Roman" w:cs="Times New Roman"/>
          <w:sz w:val="24"/>
        </w:rPr>
        <w:t>mo</w:t>
      </w:r>
      <w:r w:rsidRPr="00691C05">
        <w:rPr>
          <w:rFonts w:ascii="Times New Roman" w:hAnsi="Times New Roman" w:cs="Times New Roman"/>
          <w:sz w:val="24"/>
        </w:rPr>
        <w:t xml:space="preserve">squito. </w:t>
      </w:r>
      <w:r w:rsidRPr="00691C05">
        <w:rPr>
          <w:rFonts w:ascii="Times New Roman" w:hAnsi="Times New Roman" w:cs="Times New Roman"/>
          <w:i/>
          <w:iCs/>
          <w:sz w:val="24"/>
        </w:rPr>
        <w:t>O</w:t>
      </w:r>
      <w:r w:rsidR="005F581D" w:rsidRPr="00691C05">
        <w:rPr>
          <w:rFonts w:ascii="Times New Roman" w:hAnsi="Times New Roman" w:cs="Times New Roman"/>
          <w:i/>
          <w:iCs/>
          <w:sz w:val="24"/>
        </w:rPr>
        <w:t>mics</w:t>
      </w:r>
      <w:r w:rsidRPr="00691C05">
        <w:rPr>
          <w:rFonts w:ascii="Times New Roman" w:hAnsi="Times New Roman" w:cs="Times New Roman"/>
          <w:i/>
          <w:iCs/>
          <w:sz w:val="24"/>
        </w:rPr>
        <w:t xml:space="preserve"> J. Integr. Biol.</w:t>
      </w:r>
      <w:r w:rsidRPr="00691C05">
        <w:rPr>
          <w:rFonts w:ascii="Times New Roman" w:hAnsi="Times New Roman" w:cs="Times New Roman"/>
          <w:sz w:val="24"/>
        </w:rPr>
        <w:t xml:space="preserve"> </w:t>
      </w:r>
      <w:r w:rsidRPr="00691C05">
        <w:rPr>
          <w:rFonts w:ascii="Times New Roman" w:hAnsi="Times New Roman" w:cs="Times New Roman"/>
          <w:b/>
          <w:bCs/>
          <w:sz w:val="24"/>
        </w:rPr>
        <w:t>21</w:t>
      </w:r>
      <w:r w:rsidRPr="00691C05">
        <w:rPr>
          <w:rFonts w:ascii="Times New Roman" w:hAnsi="Times New Roman" w:cs="Times New Roman"/>
          <w:sz w:val="24"/>
        </w:rPr>
        <w:t>, 45–54 (2017).</w:t>
      </w:r>
    </w:p>
    <w:p w14:paraId="7C119CD5" w14:textId="77777777"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18.</w:t>
      </w:r>
      <w:r w:rsidRPr="00691C05">
        <w:rPr>
          <w:rFonts w:ascii="Times New Roman" w:hAnsi="Times New Roman" w:cs="Times New Roman"/>
          <w:sz w:val="24"/>
        </w:rPr>
        <w:tab/>
        <w:t xml:space="preserve">Sun, P. </w:t>
      </w:r>
      <w:r w:rsidRPr="00691C05">
        <w:rPr>
          <w:rFonts w:ascii="Times New Roman" w:hAnsi="Times New Roman" w:cs="Times New Roman"/>
          <w:i/>
          <w:iCs/>
          <w:sz w:val="24"/>
        </w:rPr>
        <w:t>et al.</w:t>
      </w:r>
      <w:r w:rsidRPr="00691C05">
        <w:rPr>
          <w:rFonts w:ascii="Times New Roman" w:hAnsi="Times New Roman" w:cs="Times New Roman"/>
          <w:sz w:val="24"/>
        </w:rPr>
        <w:t xml:space="preserve"> A mosquito salivary protein promotes flavivirus transmission by activation of autophagy. </w:t>
      </w:r>
      <w:r w:rsidRPr="00691C05">
        <w:rPr>
          <w:rFonts w:ascii="Times New Roman" w:hAnsi="Times New Roman" w:cs="Times New Roman"/>
          <w:i/>
          <w:iCs/>
          <w:sz w:val="24"/>
        </w:rPr>
        <w:t>Nat. Commun.</w:t>
      </w:r>
      <w:r w:rsidRPr="00691C05">
        <w:rPr>
          <w:rFonts w:ascii="Times New Roman" w:hAnsi="Times New Roman" w:cs="Times New Roman"/>
          <w:sz w:val="24"/>
        </w:rPr>
        <w:t xml:space="preserve"> </w:t>
      </w:r>
      <w:r w:rsidRPr="00691C05">
        <w:rPr>
          <w:rFonts w:ascii="Times New Roman" w:hAnsi="Times New Roman" w:cs="Times New Roman"/>
          <w:b/>
          <w:bCs/>
          <w:sz w:val="24"/>
        </w:rPr>
        <w:t>11</w:t>
      </w:r>
      <w:r w:rsidRPr="00691C05">
        <w:rPr>
          <w:rFonts w:ascii="Times New Roman" w:hAnsi="Times New Roman" w:cs="Times New Roman"/>
          <w:sz w:val="24"/>
        </w:rPr>
        <w:t>, 260 (2020).</w:t>
      </w:r>
    </w:p>
    <w:p w14:paraId="4ABA8094" w14:textId="77777777"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19.</w:t>
      </w:r>
      <w:r w:rsidRPr="00691C05">
        <w:rPr>
          <w:rFonts w:ascii="Times New Roman" w:hAnsi="Times New Roman" w:cs="Times New Roman"/>
          <w:sz w:val="24"/>
        </w:rPr>
        <w:tab/>
        <w:t xml:space="preserve">Raquin, V. </w:t>
      </w:r>
      <w:r w:rsidRPr="00691C05">
        <w:rPr>
          <w:rFonts w:ascii="Times New Roman" w:hAnsi="Times New Roman" w:cs="Times New Roman"/>
          <w:i/>
          <w:iCs/>
          <w:sz w:val="24"/>
        </w:rPr>
        <w:t>et al.</w:t>
      </w:r>
      <w:r w:rsidRPr="00691C05">
        <w:rPr>
          <w:rFonts w:ascii="Times New Roman" w:hAnsi="Times New Roman" w:cs="Times New Roman"/>
          <w:sz w:val="24"/>
        </w:rPr>
        <w:t xml:space="preserve"> Individual co-variation between viral RNA load and gene expression reveals novel host factors during early dengue virus infection of the </w:t>
      </w:r>
      <w:r w:rsidRPr="00A50876">
        <w:rPr>
          <w:rFonts w:ascii="Times New Roman" w:hAnsi="Times New Roman" w:cs="Times New Roman"/>
          <w:i/>
          <w:iCs/>
          <w:sz w:val="24"/>
        </w:rPr>
        <w:t xml:space="preserve">Aedes aegypti </w:t>
      </w:r>
      <w:r w:rsidRPr="00691C05">
        <w:rPr>
          <w:rFonts w:ascii="Times New Roman" w:hAnsi="Times New Roman" w:cs="Times New Roman"/>
          <w:sz w:val="24"/>
        </w:rPr>
        <w:t xml:space="preserve">midgut. </w:t>
      </w:r>
      <w:r w:rsidRPr="00691C05">
        <w:rPr>
          <w:rFonts w:ascii="Times New Roman" w:hAnsi="Times New Roman" w:cs="Times New Roman"/>
          <w:i/>
          <w:iCs/>
          <w:sz w:val="24"/>
        </w:rPr>
        <w:t>PLoS Negl. Trop. Dis.</w:t>
      </w:r>
      <w:r w:rsidRPr="00691C05">
        <w:rPr>
          <w:rFonts w:ascii="Times New Roman" w:hAnsi="Times New Roman" w:cs="Times New Roman"/>
          <w:sz w:val="24"/>
        </w:rPr>
        <w:t xml:space="preserve"> </w:t>
      </w:r>
      <w:r w:rsidRPr="00691C05">
        <w:rPr>
          <w:rFonts w:ascii="Times New Roman" w:hAnsi="Times New Roman" w:cs="Times New Roman"/>
          <w:b/>
          <w:bCs/>
          <w:sz w:val="24"/>
        </w:rPr>
        <w:t>11</w:t>
      </w:r>
      <w:r w:rsidRPr="00691C05">
        <w:rPr>
          <w:rFonts w:ascii="Times New Roman" w:hAnsi="Times New Roman" w:cs="Times New Roman"/>
          <w:sz w:val="24"/>
        </w:rPr>
        <w:t>, e0006152 (2017).</w:t>
      </w:r>
    </w:p>
    <w:p w14:paraId="6FE38880" w14:textId="77777777"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20.</w:t>
      </w:r>
      <w:r w:rsidRPr="00691C05">
        <w:rPr>
          <w:rFonts w:ascii="Times New Roman" w:hAnsi="Times New Roman" w:cs="Times New Roman"/>
          <w:sz w:val="24"/>
        </w:rPr>
        <w:tab/>
        <w:t xml:space="preserve">Matthews, B. J., McBride, C. S., DeGennaro, M., Despo, O. &amp; Vosshall, L. B. The neurotranscriptome of the </w:t>
      </w:r>
      <w:r w:rsidRPr="00A50876">
        <w:rPr>
          <w:rFonts w:ascii="Times New Roman" w:hAnsi="Times New Roman" w:cs="Times New Roman"/>
          <w:i/>
          <w:iCs/>
          <w:sz w:val="24"/>
        </w:rPr>
        <w:t>Aedes aegypti</w:t>
      </w:r>
      <w:r w:rsidRPr="00691C05">
        <w:rPr>
          <w:rFonts w:ascii="Times New Roman" w:hAnsi="Times New Roman" w:cs="Times New Roman"/>
          <w:sz w:val="24"/>
        </w:rPr>
        <w:t xml:space="preserve"> mosquito. </w:t>
      </w:r>
      <w:r w:rsidRPr="00691C05">
        <w:rPr>
          <w:rFonts w:ascii="Times New Roman" w:hAnsi="Times New Roman" w:cs="Times New Roman"/>
          <w:i/>
          <w:iCs/>
          <w:sz w:val="24"/>
        </w:rPr>
        <w:t>BMC Genomics</w:t>
      </w:r>
      <w:r w:rsidRPr="00691C05">
        <w:rPr>
          <w:rFonts w:ascii="Times New Roman" w:hAnsi="Times New Roman" w:cs="Times New Roman"/>
          <w:sz w:val="24"/>
        </w:rPr>
        <w:t xml:space="preserve"> </w:t>
      </w:r>
      <w:r w:rsidRPr="00691C05">
        <w:rPr>
          <w:rFonts w:ascii="Times New Roman" w:hAnsi="Times New Roman" w:cs="Times New Roman"/>
          <w:b/>
          <w:bCs/>
          <w:sz w:val="24"/>
        </w:rPr>
        <w:t>17</w:t>
      </w:r>
      <w:r w:rsidRPr="00691C05">
        <w:rPr>
          <w:rFonts w:ascii="Times New Roman" w:hAnsi="Times New Roman" w:cs="Times New Roman"/>
          <w:sz w:val="24"/>
        </w:rPr>
        <w:t>, 32 (2016).</w:t>
      </w:r>
    </w:p>
    <w:p w14:paraId="06F8956F" w14:textId="361ACFF3"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21.</w:t>
      </w:r>
      <w:r w:rsidRPr="00691C05">
        <w:rPr>
          <w:rFonts w:ascii="Times New Roman" w:hAnsi="Times New Roman" w:cs="Times New Roman"/>
          <w:sz w:val="24"/>
        </w:rPr>
        <w:tab/>
        <w:t xml:space="preserve">Angleró-Rodríguez, Y. I. </w:t>
      </w:r>
      <w:r w:rsidRPr="00691C05">
        <w:rPr>
          <w:rFonts w:ascii="Times New Roman" w:hAnsi="Times New Roman" w:cs="Times New Roman"/>
          <w:i/>
          <w:iCs/>
          <w:sz w:val="24"/>
        </w:rPr>
        <w:t>et al.</w:t>
      </w:r>
      <w:r w:rsidRPr="00691C05">
        <w:rPr>
          <w:rFonts w:ascii="Times New Roman" w:hAnsi="Times New Roman" w:cs="Times New Roman"/>
          <w:sz w:val="24"/>
        </w:rPr>
        <w:t xml:space="preserve"> </w:t>
      </w:r>
      <w:r w:rsidRPr="00A50876">
        <w:rPr>
          <w:rFonts w:ascii="Times New Roman" w:hAnsi="Times New Roman" w:cs="Times New Roman"/>
          <w:i/>
          <w:iCs/>
          <w:sz w:val="24"/>
        </w:rPr>
        <w:t>Aedes aegypti</w:t>
      </w:r>
      <w:r w:rsidRPr="00691C05">
        <w:rPr>
          <w:rFonts w:ascii="Times New Roman" w:hAnsi="Times New Roman" w:cs="Times New Roman"/>
          <w:sz w:val="24"/>
        </w:rPr>
        <w:t xml:space="preserve"> </w:t>
      </w:r>
      <w:r w:rsidR="005F581D" w:rsidRPr="00691C05">
        <w:rPr>
          <w:rFonts w:ascii="Times New Roman" w:hAnsi="Times New Roman" w:cs="Times New Roman"/>
          <w:sz w:val="24"/>
        </w:rPr>
        <w:t>molecular re</w:t>
      </w:r>
      <w:r w:rsidRPr="00691C05">
        <w:rPr>
          <w:rFonts w:ascii="Times New Roman" w:hAnsi="Times New Roman" w:cs="Times New Roman"/>
          <w:sz w:val="24"/>
        </w:rPr>
        <w:t xml:space="preserve">sponses to Zika </w:t>
      </w:r>
      <w:r w:rsidR="005F581D" w:rsidRPr="00691C05">
        <w:rPr>
          <w:rFonts w:ascii="Times New Roman" w:hAnsi="Times New Roman" w:cs="Times New Roman"/>
          <w:sz w:val="24"/>
        </w:rPr>
        <w:t>virus: modulation of infection by the t</w:t>
      </w:r>
      <w:r w:rsidRPr="00691C05">
        <w:rPr>
          <w:rFonts w:ascii="Times New Roman" w:hAnsi="Times New Roman" w:cs="Times New Roman"/>
          <w:sz w:val="24"/>
        </w:rPr>
        <w:t xml:space="preserve">oll and </w:t>
      </w:r>
      <w:r w:rsidR="005F581D" w:rsidRPr="00691C05">
        <w:rPr>
          <w:rFonts w:ascii="Times New Roman" w:hAnsi="Times New Roman" w:cs="Times New Roman"/>
          <w:sz w:val="24"/>
        </w:rPr>
        <w:t>JAK/STAT</w:t>
      </w:r>
      <w:r w:rsidRPr="00691C05">
        <w:rPr>
          <w:rFonts w:ascii="Times New Roman" w:hAnsi="Times New Roman" w:cs="Times New Roman"/>
          <w:sz w:val="24"/>
        </w:rPr>
        <w:t xml:space="preserve"> </w:t>
      </w:r>
      <w:r w:rsidR="005F581D" w:rsidRPr="00691C05">
        <w:rPr>
          <w:rFonts w:ascii="Times New Roman" w:hAnsi="Times New Roman" w:cs="Times New Roman"/>
          <w:sz w:val="24"/>
        </w:rPr>
        <w:t>immune pathways and virus host fact</w:t>
      </w:r>
      <w:r w:rsidRPr="00691C05">
        <w:rPr>
          <w:rFonts w:ascii="Times New Roman" w:hAnsi="Times New Roman" w:cs="Times New Roman"/>
          <w:sz w:val="24"/>
        </w:rPr>
        <w:t xml:space="preserve">ors. </w:t>
      </w:r>
      <w:r w:rsidRPr="00691C05">
        <w:rPr>
          <w:rFonts w:ascii="Times New Roman" w:hAnsi="Times New Roman" w:cs="Times New Roman"/>
          <w:i/>
          <w:iCs/>
          <w:sz w:val="24"/>
        </w:rPr>
        <w:t>Front. Microbiol.</w:t>
      </w:r>
      <w:r w:rsidRPr="00691C05">
        <w:rPr>
          <w:rFonts w:ascii="Times New Roman" w:hAnsi="Times New Roman" w:cs="Times New Roman"/>
          <w:sz w:val="24"/>
        </w:rPr>
        <w:t xml:space="preserve"> </w:t>
      </w:r>
      <w:r w:rsidRPr="00691C05">
        <w:rPr>
          <w:rFonts w:ascii="Times New Roman" w:hAnsi="Times New Roman" w:cs="Times New Roman"/>
          <w:b/>
          <w:bCs/>
          <w:sz w:val="24"/>
        </w:rPr>
        <w:t>8</w:t>
      </w:r>
      <w:r w:rsidRPr="00691C05">
        <w:rPr>
          <w:rFonts w:ascii="Times New Roman" w:hAnsi="Times New Roman" w:cs="Times New Roman"/>
          <w:sz w:val="24"/>
        </w:rPr>
        <w:t>, (2017).</w:t>
      </w:r>
    </w:p>
    <w:p w14:paraId="09896B6A" w14:textId="77777777"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t>22.</w:t>
      </w:r>
      <w:r w:rsidRPr="00691C05">
        <w:rPr>
          <w:rFonts w:ascii="Times New Roman" w:hAnsi="Times New Roman" w:cs="Times New Roman"/>
          <w:sz w:val="24"/>
        </w:rPr>
        <w:tab/>
        <w:t xml:space="preserve">Dong, S., Behura, S. K. &amp; Franz, A. W. E. The midgut transcriptome of </w:t>
      </w:r>
      <w:r w:rsidRPr="00A50876">
        <w:rPr>
          <w:rFonts w:ascii="Times New Roman" w:hAnsi="Times New Roman" w:cs="Times New Roman"/>
          <w:i/>
          <w:iCs/>
          <w:sz w:val="24"/>
        </w:rPr>
        <w:t xml:space="preserve">Aedes aegypti </w:t>
      </w:r>
      <w:r w:rsidRPr="00691C05">
        <w:rPr>
          <w:rFonts w:ascii="Times New Roman" w:hAnsi="Times New Roman" w:cs="Times New Roman"/>
          <w:sz w:val="24"/>
        </w:rPr>
        <w:t xml:space="preserve">fed with saline or protein meals containing chikungunya virus reveals genes potentially involved in viral midgut escape. </w:t>
      </w:r>
      <w:r w:rsidRPr="00691C05">
        <w:rPr>
          <w:rFonts w:ascii="Times New Roman" w:hAnsi="Times New Roman" w:cs="Times New Roman"/>
          <w:i/>
          <w:iCs/>
          <w:sz w:val="24"/>
        </w:rPr>
        <w:t>BMC Genomics</w:t>
      </w:r>
      <w:r w:rsidRPr="00691C05">
        <w:rPr>
          <w:rFonts w:ascii="Times New Roman" w:hAnsi="Times New Roman" w:cs="Times New Roman"/>
          <w:sz w:val="24"/>
        </w:rPr>
        <w:t xml:space="preserve"> </w:t>
      </w:r>
      <w:r w:rsidRPr="00691C05">
        <w:rPr>
          <w:rFonts w:ascii="Times New Roman" w:hAnsi="Times New Roman" w:cs="Times New Roman"/>
          <w:b/>
          <w:bCs/>
          <w:sz w:val="24"/>
        </w:rPr>
        <w:t>18</w:t>
      </w:r>
      <w:r w:rsidRPr="00691C05">
        <w:rPr>
          <w:rFonts w:ascii="Times New Roman" w:hAnsi="Times New Roman" w:cs="Times New Roman"/>
          <w:sz w:val="24"/>
        </w:rPr>
        <w:t>, (2017).</w:t>
      </w:r>
    </w:p>
    <w:p w14:paraId="77EA7BCD" w14:textId="77777777" w:rsidR="00691C05" w:rsidRPr="00691C05" w:rsidRDefault="00691C05" w:rsidP="00691C05">
      <w:pPr>
        <w:pStyle w:val="Bibliography"/>
        <w:rPr>
          <w:rFonts w:ascii="Times New Roman" w:hAnsi="Times New Roman" w:cs="Times New Roman"/>
          <w:sz w:val="24"/>
        </w:rPr>
      </w:pPr>
      <w:r w:rsidRPr="00691C05">
        <w:rPr>
          <w:rFonts w:ascii="Times New Roman" w:hAnsi="Times New Roman" w:cs="Times New Roman"/>
          <w:sz w:val="24"/>
        </w:rPr>
        <w:lastRenderedPageBreak/>
        <w:t>23.</w:t>
      </w:r>
      <w:r w:rsidRPr="00691C05">
        <w:rPr>
          <w:rFonts w:ascii="Times New Roman" w:hAnsi="Times New Roman" w:cs="Times New Roman"/>
          <w:sz w:val="24"/>
        </w:rPr>
        <w:tab/>
        <w:t xml:space="preserve">Palatini, U. </w:t>
      </w:r>
      <w:r w:rsidRPr="00691C05">
        <w:rPr>
          <w:rFonts w:ascii="Times New Roman" w:hAnsi="Times New Roman" w:cs="Times New Roman"/>
          <w:i/>
          <w:iCs/>
          <w:sz w:val="24"/>
        </w:rPr>
        <w:t>et al.</w:t>
      </w:r>
      <w:r w:rsidRPr="00691C05">
        <w:rPr>
          <w:rFonts w:ascii="Times New Roman" w:hAnsi="Times New Roman" w:cs="Times New Roman"/>
          <w:sz w:val="24"/>
        </w:rPr>
        <w:t xml:space="preserve"> Improved reference genome of the arboviral vector </w:t>
      </w:r>
      <w:r w:rsidRPr="00A50876">
        <w:rPr>
          <w:rFonts w:ascii="Times New Roman" w:hAnsi="Times New Roman" w:cs="Times New Roman"/>
          <w:i/>
          <w:iCs/>
          <w:sz w:val="24"/>
        </w:rPr>
        <w:t>Aedes albopictus</w:t>
      </w:r>
      <w:r w:rsidRPr="00691C05">
        <w:rPr>
          <w:rFonts w:ascii="Times New Roman" w:hAnsi="Times New Roman" w:cs="Times New Roman"/>
          <w:sz w:val="24"/>
        </w:rPr>
        <w:t xml:space="preserve">. </w:t>
      </w:r>
      <w:r w:rsidRPr="00691C05">
        <w:rPr>
          <w:rFonts w:ascii="Times New Roman" w:hAnsi="Times New Roman" w:cs="Times New Roman"/>
          <w:i/>
          <w:iCs/>
          <w:sz w:val="24"/>
        </w:rPr>
        <w:t>Genome Biol.</w:t>
      </w:r>
      <w:r w:rsidRPr="00691C05">
        <w:rPr>
          <w:rFonts w:ascii="Times New Roman" w:hAnsi="Times New Roman" w:cs="Times New Roman"/>
          <w:sz w:val="24"/>
        </w:rPr>
        <w:t xml:space="preserve"> </w:t>
      </w:r>
      <w:r w:rsidRPr="00691C05">
        <w:rPr>
          <w:rFonts w:ascii="Times New Roman" w:hAnsi="Times New Roman" w:cs="Times New Roman"/>
          <w:b/>
          <w:bCs/>
          <w:sz w:val="24"/>
        </w:rPr>
        <w:t>21</w:t>
      </w:r>
      <w:r w:rsidRPr="00691C05">
        <w:rPr>
          <w:rFonts w:ascii="Times New Roman" w:hAnsi="Times New Roman" w:cs="Times New Roman"/>
          <w:sz w:val="24"/>
        </w:rPr>
        <w:t>, 215 (2020).</w:t>
      </w:r>
    </w:p>
    <w:p w14:paraId="06C8284F" w14:textId="40FDC6EB" w:rsidR="00F350E2" w:rsidRPr="00324ACE" w:rsidRDefault="00F350E2" w:rsidP="003C0C9E">
      <w:pPr>
        <w:spacing w:line="480" w:lineRule="auto"/>
        <w:ind w:firstLine="720"/>
        <w:jc w:val="both"/>
      </w:pPr>
      <w:r w:rsidRPr="003C0C9E">
        <w:fldChar w:fldCharType="end"/>
      </w:r>
    </w:p>
    <w:sectPr w:rsidR="00F350E2" w:rsidRPr="00324ACE">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E6A7A" w14:textId="77777777" w:rsidR="00487A40" w:rsidRDefault="00487A40" w:rsidP="00946143">
      <w:r>
        <w:separator/>
      </w:r>
    </w:p>
  </w:endnote>
  <w:endnote w:type="continuationSeparator" w:id="0">
    <w:p w14:paraId="7F1CA89F" w14:textId="77777777" w:rsidR="00487A40" w:rsidRDefault="00487A40" w:rsidP="00946143">
      <w:r>
        <w:continuationSeparator/>
      </w:r>
    </w:p>
  </w:endnote>
  <w:endnote w:type="continuationNotice" w:id="1">
    <w:p w14:paraId="3E972B71" w14:textId="77777777" w:rsidR="00487A40" w:rsidRDefault="00487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7A732" w14:textId="77777777" w:rsidR="00385B4E" w:rsidRDefault="00385B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D10CE" w14:textId="77777777" w:rsidR="00487A40" w:rsidRDefault="00487A40" w:rsidP="00946143">
      <w:r>
        <w:separator/>
      </w:r>
    </w:p>
  </w:footnote>
  <w:footnote w:type="continuationSeparator" w:id="0">
    <w:p w14:paraId="0354AD40" w14:textId="77777777" w:rsidR="00487A40" w:rsidRDefault="00487A40" w:rsidP="00946143">
      <w:r>
        <w:continuationSeparator/>
      </w:r>
    </w:p>
  </w:footnote>
  <w:footnote w:type="continuationNotice" w:id="1">
    <w:p w14:paraId="72FFC46F" w14:textId="77777777" w:rsidR="00487A40" w:rsidRDefault="00487A4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CBC95" w14:textId="77777777" w:rsidR="00385B4E" w:rsidRDefault="00385B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8773FE"/>
    <w:multiLevelType w:val="hybridMultilevel"/>
    <w:tmpl w:val="1092031A"/>
    <w:lvl w:ilvl="0" w:tplc="C5284240">
      <w:start w:val="3"/>
      <w:numFmt w:val="bullet"/>
      <w:lvlText w:val=""/>
      <w:lvlJc w:val="left"/>
      <w:pPr>
        <w:ind w:left="720" w:hanging="360"/>
      </w:pPr>
      <w:rPr>
        <w:rFonts w:ascii="Wingdings" w:eastAsiaTheme="minorHAnsi" w:hAnsi="Wingdings"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D5A"/>
    <w:rsid w:val="0003794B"/>
    <w:rsid w:val="00046301"/>
    <w:rsid w:val="00055D0F"/>
    <w:rsid w:val="00073DC8"/>
    <w:rsid w:val="00086CE3"/>
    <w:rsid w:val="00092A25"/>
    <w:rsid w:val="000963B9"/>
    <w:rsid w:val="00096EDD"/>
    <w:rsid w:val="000D3425"/>
    <w:rsid w:val="000E12FB"/>
    <w:rsid w:val="000F3A82"/>
    <w:rsid w:val="00120DEB"/>
    <w:rsid w:val="00165931"/>
    <w:rsid w:val="00191A31"/>
    <w:rsid w:val="001B4F81"/>
    <w:rsid w:val="001C157F"/>
    <w:rsid w:val="001D64AF"/>
    <w:rsid w:val="001D7354"/>
    <w:rsid w:val="002217B7"/>
    <w:rsid w:val="00274656"/>
    <w:rsid w:val="00276ACF"/>
    <w:rsid w:val="0028062A"/>
    <w:rsid w:val="00281696"/>
    <w:rsid w:val="002919D8"/>
    <w:rsid w:val="002A16A8"/>
    <w:rsid w:val="002B03C7"/>
    <w:rsid w:val="002F0540"/>
    <w:rsid w:val="002F7AE8"/>
    <w:rsid w:val="00324ACE"/>
    <w:rsid w:val="00350939"/>
    <w:rsid w:val="00367817"/>
    <w:rsid w:val="00385B4E"/>
    <w:rsid w:val="00396641"/>
    <w:rsid w:val="003C0C9E"/>
    <w:rsid w:val="004039FB"/>
    <w:rsid w:val="004148FF"/>
    <w:rsid w:val="00416491"/>
    <w:rsid w:val="00427C45"/>
    <w:rsid w:val="00441A20"/>
    <w:rsid w:val="00442166"/>
    <w:rsid w:val="0044373A"/>
    <w:rsid w:val="00443D08"/>
    <w:rsid w:val="004646E4"/>
    <w:rsid w:val="00487A40"/>
    <w:rsid w:val="004B3026"/>
    <w:rsid w:val="004C013B"/>
    <w:rsid w:val="004C5D74"/>
    <w:rsid w:val="004F5FB4"/>
    <w:rsid w:val="00506D3C"/>
    <w:rsid w:val="00507160"/>
    <w:rsid w:val="00515D63"/>
    <w:rsid w:val="00525419"/>
    <w:rsid w:val="00556496"/>
    <w:rsid w:val="00572EAB"/>
    <w:rsid w:val="005831ED"/>
    <w:rsid w:val="005A18CB"/>
    <w:rsid w:val="005F581D"/>
    <w:rsid w:val="006101F9"/>
    <w:rsid w:val="006229C1"/>
    <w:rsid w:val="00650A58"/>
    <w:rsid w:val="006578C9"/>
    <w:rsid w:val="0067292D"/>
    <w:rsid w:val="006764FA"/>
    <w:rsid w:val="00687A9D"/>
    <w:rsid w:val="00691C05"/>
    <w:rsid w:val="006C6324"/>
    <w:rsid w:val="006E1CBC"/>
    <w:rsid w:val="006E31B6"/>
    <w:rsid w:val="006F5AF5"/>
    <w:rsid w:val="0071005E"/>
    <w:rsid w:val="00763F9E"/>
    <w:rsid w:val="00764CD1"/>
    <w:rsid w:val="007653C6"/>
    <w:rsid w:val="007B2489"/>
    <w:rsid w:val="007B3268"/>
    <w:rsid w:val="007B72B9"/>
    <w:rsid w:val="007C2BC3"/>
    <w:rsid w:val="00806F58"/>
    <w:rsid w:val="00822E40"/>
    <w:rsid w:val="00867A6E"/>
    <w:rsid w:val="00890D2A"/>
    <w:rsid w:val="0089168E"/>
    <w:rsid w:val="008A29ED"/>
    <w:rsid w:val="008B574C"/>
    <w:rsid w:val="008D186B"/>
    <w:rsid w:val="008E2FF1"/>
    <w:rsid w:val="008E56FC"/>
    <w:rsid w:val="008F7B9D"/>
    <w:rsid w:val="00913FDC"/>
    <w:rsid w:val="00946143"/>
    <w:rsid w:val="00950218"/>
    <w:rsid w:val="0095588B"/>
    <w:rsid w:val="00977B3E"/>
    <w:rsid w:val="0098354A"/>
    <w:rsid w:val="009935E1"/>
    <w:rsid w:val="00996297"/>
    <w:rsid w:val="00997352"/>
    <w:rsid w:val="009E5D0C"/>
    <w:rsid w:val="009F76D0"/>
    <w:rsid w:val="00A50876"/>
    <w:rsid w:val="00A626FA"/>
    <w:rsid w:val="00A67442"/>
    <w:rsid w:val="00AB1838"/>
    <w:rsid w:val="00AB46F2"/>
    <w:rsid w:val="00AD720C"/>
    <w:rsid w:val="00AE3D63"/>
    <w:rsid w:val="00B001D0"/>
    <w:rsid w:val="00B028FB"/>
    <w:rsid w:val="00B03E6A"/>
    <w:rsid w:val="00B0585D"/>
    <w:rsid w:val="00B34C4D"/>
    <w:rsid w:val="00B36471"/>
    <w:rsid w:val="00BB2BAB"/>
    <w:rsid w:val="00BB67F1"/>
    <w:rsid w:val="00BF3A88"/>
    <w:rsid w:val="00C15AA5"/>
    <w:rsid w:val="00C15CA9"/>
    <w:rsid w:val="00C35D5A"/>
    <w:rsid w:val="00C3603F"/>
    <w:rsid w:val="00C4262D"/>
    <w:rsid w:val="00C54D69"/>
    <w:rsid w:val="00C663CB"/>
    <w:rsid w:val="00C80C6E"/>
    <w:rsid w:val="00CA3086"/>
    <w:rsid w:val="00CC287F"/>
    <w:rsid w:val="00D04C10"/>
    <w:rsid w:val="00D22EC3"/>
    <w:rsid w:val="00D4292C"/>
    <w:rsid w:val="00D767B9"/>
    <w:rsid w:val="00D81914"/>
    <w:rsid w:val="00D93D2C"/>
    <w:rsid w:val="00E0710C"/>
    <w:rsid w:val="00E07944"/>
    <w:rsid w:val="00E10D41"/>
    <w:rsid w:val="00E129D6"/>
    <w:rsid w:val="00E16762"/>
    <w:rsid w:val="00E2046F"/>
    <w:rsid w:val="00E36AB0"/>
    <w:rsid w:val="00E72089"/>
    <w:rsid w:val="00E74EEA"/>
    <w:rsid w:val="00E93012"/>
    <w:rsid w:val="00E9311F"/>
    <w:rsid w:val="00EA0A9A"/>
    <w:rsid w:val="00EA5E27"/>
    <w:rsid w:val="00EB717E"/>
    <w:rsid w:val="00EC1D2F"/>
    <w:rsid w:val="00ED2E55"/>
    <w:rsid w:val="00EE5681"/>
    <w:rsid w:val="00EE596E"/>
    <w:rsid w:val="00F25370"/>
    <w:rsid w:val="00F350E2"/>
    <w:rsid w:val="00F442A8"/>
    <w:rsid w:val="00F74AA7"/>
    <w:rsid w:val="00F966A7"/>
    <w:rsid w:val="00FA066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AC513"/>
  <w15:chartTrackingRefBased/>
  <w15:docId w15:val="{9C2FE1F9-FFF6-4411-A0F2-3D091B64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6FA"/>
    <w:pPr>
      <w:spacing w:after="0" w:line="240" w:lineRule="auto"/>
    </w:pPr>
    <w:rPr>
      <w:rFonts w:ascii="Times New Roman" w:eastAsia="Times New Roman" w:hAnsi="Times New Roman" w:cs="Times New Roman"/>
      <w:sz w:val="24"/>
      <w:szCs w:val="24"/>
      <w:lan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F3A82"/>
    <w:rPr>
      <w:sz w:val="16"/>
      <w:szCs w:val="16"/>
    </w:rPr>
  </w:style>
  <w:style w:type="paragraph" w:styleId="CommentText">
    <w:name w:val="annotation text"/>
    <w:basedOn w:val="Normal"/>
    <w:link w:val="CommentTextChar"/>
    <w:uiPriority w:val="99"/>
    <w:unhideWhenUsed/>
    <w:rsid w:val="000F3A82"/>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0F3A82"/>
    <w:rPr>
      <w:sz w:val="20"/>
      <w:szCs w:val="20"/>
      <w:lang w:val="en-US"/>
    </w:rPr>
  </w:style>
  <w:style w:type="table" w:styleId="TableGrid">
    <w:name w:val="Table Grid"/>
    <w:basedOn w:val="TableNormal"/>
    <w:uiPriority w:val="39"/>
    <w:rsid w:val="000F3A8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350E2"/>
    <w:pPr>
      <w:tabs>
        <w:tab w:val="left" w:pos="384"/>
      </w:tabs>
      <w:spacing w:line="480" w:lineRule="auto"/>
      <w:ind w:left="384" w:hanging="384"/>
    </w:pPr>
    <w:rPr>
      <w:rFonts w:asciiTheme="minorHAnsi" w:eastAsiaTheme="minorHAnsi" w:hAnsiTheme="minorHAnsi" w:cstheme="minorBidi"/>
      <w:sz w:val="22"/>
      <w:szCs w:val="22"/>
      <w:lang w:val="en-US" w:eastAsia="en-US"/>
    </w:rPr>
  </w:style>
  <w:style w:type="paragraph" w:styleId="BalloonText">
    <w:name w:val="Balloon Text"/>
    <w:basedOn w:val="Normal"/>
    <w:link w:val="BalloonTextChar"/>
    <w:uiPriority w:val="99"/>
    <w:semiHidden/>
    <w:unhideWhenUsed/>
    <w:rsid w:val="00EB717E"/>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EB717E"/>
    <w:rPr>
      <w:rFonts w:ascii="Segoe UI" w:hAnsi="Segoe UI" w:cs="Segoe UI"/>
      <w:sz w:val="18"/>
      <w:szCs w:val="18"/>
      <w:lang w:val="en-US"/>
    </w:rPr>
  </w:style>
  <w:style w:type="paragraph" w:styleId="ListParagraph">
    <w:name w:val="List Paragraph"/>
    <w:basedOn w:val="Normal"/>
    <w:uiPriority w:val="34"/>
    <w:qFormat/>
    <w:rsid w:val="00515D63"/>
    <w:pPr>
      <w:spacing w:after="200" w:line="276" w:lineRule="auto"/>
      <w:ind w:left="720"/>
      <w:contextualSpacing/>
    </w:pPr>
    <w:rPr>
      <w:rFonts w:asciiTheme="minorHAnsi" w:eastAsiaTheme="minorHAnsi" w:hAnsiTheme="minorHAnsi" w:cstheme="minorBidi"/>
      <w:sz w:val="22"/>
      <w:szCs w:val="22"/>
      <w:lang w:val="en-US" w:eastAsia="en-US"/>
    </w:rPr>
  </w:style>
  <w:style w:type="paragraph" w:styleId="HTMLPreformatted">
    <w:name w:val="HTML Preformatted"/>
    <w:basedOn w:val="Normal"/>
    <w:link w:val="HTMLPreformattedChar"/>
    <w:uiPriority w:val="99"/>
    <w:unhideWhenUsed/>
    <w:rsid w:val="00C1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15CA9"/>
    <w:rPr>
      <w:rFonts w:ascii="Courier New" w:eastAsia="Times New Roman" w:hAnsi="Courier New" w:cs="Courier New"/>
      <w:sz w:val="20"/>
      <w:szCs w:val="20"/>
      <w:lang w:eastAsia="en-SG"/>
    </w:rPr>
  </w:style>
  <w:style w:type="paragraph" w:styleId="CommentSubject">
    <w:name w:val="annotation subject"/>
    <w:basedOn w:val="CommentText"/>
    <w:next w:val="CommentText"/>
    <w:link w:val="CommentSubjectChar"/>
    <w:uiPriority w:val="99"/>
    <w:semiHidden/>
    <w:unhideWhenUsed/>
    <w:rsid w:val="00191A31"/>
    <w:rPr>
      <w:b/>
      <w:bCs/>
    </w:rPr>
  </w:style>
  <w:style w:type="character" w:customStyle="1" w:styleId="CommentSubjectChar">
    <w:name w:val="Comment Subject Char"/>
    <w:basedOn w:val="CommentTextChar"/>
    <w:link w:val="CommentSubject"/>
    <w:uiPriority w:val="99"/>
    <w:semiHidden/>
    <w:rsid w:val="00191A31"/>
    <w:rPr>
      <w:b/>
      <w:bCs/>
      <w:sz w:val="20"/>
      <w:szCs w:val="20"/>
      <w:lang w:val="en-US"/>
    </w:rPr>
  </w:style>
  <w:style w:type="character" w:styleId="Hyperlink">
    <w:name w:val="Hyperlink"/>
    <w:basedOn w:val="DefaultParagraphFont"/>
    <w:uiPriority w:val="99"/>
    <w:unhideWhenUsed/>
    <w:rsid w:val="00A626FA"/>
    <w:rPr>
      <w:color w:val="0000FF"/>
      <w:u w:val="single"/>
    </w:rPr>
  </w:style>
  <w:style w:type="character" w:customStyle="1" w:styleId="doi">
    <w:name w:val="doi"/>
    <w:basedOn w:val="DefaultParagraphFont"/>
    <w:rsid w:val="00A626FA"/>
  </w:style>
  <w:style w:type="character" w:customStyle="1" w:styleId="UnresolvedMention1">
    <w:name w:val="Unresolved Mention1"/>
    <w:basedOn w:val="DefaultParagraphFont"/>
    <w:uiPriority w:val="99"/>
    <w:semiHidden/>
    <w:unhideWhenUsed/>
    <w:rsid w:val="00165931"/>
    <w:rPr>
      <w:color w:val="605E5C"/>
      <w:shd w:val="clear" w:color="auto" w:fill="E1DFDD"/>
    </w:rPr>
  </w:style>
  <w:style w:type="paragraph" w:styleId="NormalWeb">
    <w:name w:val="Normal (Web)"/>
    <w:basedOn w:val="Normal"/>
    <w:uiPriority w:val="99"/>
    <w:semiHidden/>
    <w:unhideWhenUsed/>
    <w:rsid w:val="004C013B"/>
    <w:pPr>
      <w:spacing w:before="100" w:beforeAutospacing="1" w:after="100" w:afterAutospacing="1"/>
    </w:pPr>
  </w:style>
  <w:style w:type="paragraph" w:styleId="Header">
    <w:name w:val="header"/>
    <w:basedOn w:val="Normal"/>
    <w:link w:val="HeaderChar"/>
    <w:uiPriority w:val="99"/>
    <w:unhideWhenUsed/>
    <w:rsid w:val="00946143"/>
    <w:pPr>
      <w:tabs>
        <w:tab w:val="center" w:pos="4513"/>
        <w:tab w:val="right" w:pos="9026"/>
      </w:tabs>
    </w:pPr>
  </w:style>
  <w:style w:type="character" w:customStyle="1" w:styleId="HeaderChar">
    <w:name w:val="Header Char"/>
    <w:basedOn w:val="DefaultParagraphFont"/>
    <w:link w:val="Header"/>
    <w:uiPriority w:val="99"/>
    <w:rsid w:val="00946143"/>
    <w:rPr>
      <w:rFonts w:ascii="Times New Roman" w:eastAsia="Times New Roman" w:hAnsi="Times New Roman" w:cs="Times New Roman"/>
      <w:sz w:val="24"/>
      <w:szCs w:val="24"/>
      <w:lang w:eastAsia="en-SG"/>
    </w:rPr>
  </w:style>
  <w:style w:type="paragraph" w:styleId="Footer">
    <w:name w:val="footer"/>
    <w:basedOn w:val="Normal"/>
    <w:link w:val="FooterChar"/>
    <w:uiPriority w:val="99"/>
    <w:unhideWhenUsed/>
    <w:rsid w:val="00946143"/>
    <w:pPr>
      <w:tabs>
        <w:tab w:val="center" w:pos="4513"/>
        <w:tab w:val="right" w:pos="9026"/>
      </w:tabs>
    </w:pPr>
  </w:style>
  <w:style w:type="character" w:customStyle="1" w:styleId="FooterChar">
    <w:name w:val="Footer Char"/>
    <w:basedOn w:val="DefaultParagraphFont"/>
    <w:link w:val="Footer"/>
    <w:uiPriority w:val="99"/>
    <w:rsid w:val="00946143"/>
    <w:rPr>
      <w:rFonts w:ascii="Times New Roman" w:eastAsia="Times New Roman" w:hAnsi="Times New Roman" w:cs="Times New Roman"/>
      <w:sz w:val="24"/>
      <w:szCs w:val="24"/>
      <w:lang w:eastAsia="en-SG"/>
    </w:rPr>
  </w:style>
  <w:style w:type="character" w:customStyle="1" w:styleId="UnresolvedMention">
    <w:name w:val="Unresolved Mention"/>
    <w:basedOn w:val="DefaultParagraphFont"/>
    <w:uiPriority w:val="99"/>
    <w:semiHidden/>
    <w:unhideWhenUsed/>
    <w:rsid w:val="00A50876"/>
    <w:rPr>
      <w:color w:val="605E5C"/>
      <w:shd w:val="clear" w:color="auto" w:fill="E1DFDD"/>
    </w:rPr>
  </w:style>
  <w:style w:type="character" w:customStyle="1" w:styleId="UnresolvedMention2">
    <w:name w:val="Unresolved Mention2"/>
    <w:basedOn w:val="DefaultParagraphFont"/>
    <w:uiPriority w:val="99"/>
    <w:semiHidden/>
    <w:unhideWhenUsed/>
    <w:rsid w:val="00385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23370">
      <w:bodyDiv w:val="1"/>
      <w:marLeft w:val="0"/>
      <w:marRight w:val="0"/>
      <w:marTop w:val="0"/>
      <w:marBottom w:val="0"/>
      <w:divBdr>
        <w:top w:val="none" w:sz="0" w:space="0" w:color="auto"/>
        <w:left w:val="none" w:sz="0" w:space="0" w:color="auto"/>
        <w:bottom w:val="none" w:sz="0" w:space="0" w:color="auto"/>
        <w:right w:val="none" w:sz="0" w:space="0" w:color="auto"/>
      </w:divBdr>
      <w:divsChild>
        <w:div w:id="716777872">
          <w:marLeft w:val="0"/>
          <w:marRight w:val="0"/>
          <w:marTop w:val="0"/>
          <w:marBottom w:val="0"/>
          <w:divBdr>
            <w:top w:val="none" w:sz="0" w:space="0" w:color="auto"/>
            <w:left w:val="none" w:sz="0" w:space="0" w:color="auto"/>
            <w:bottom w:val="none" w:sz="0" w:space="0" w:color="auto"/>
            <w:right w:val="none" w:sz="0" w:space="0" w:color="auto"/>
          </w:divBdr>
          <w:divsChild>
            <w:div w:id="2140877419">
              <w:marLeft w:val="0"/>
              <w:marRight w:val="0"/>
              <w:marTop w:val="0"/>
              <w:marBottom w:val="0"/>
              <w:divBdr>
                <w:top w:val="none" w:sz="0" w:space="0" w:color="auto"/>
                <w:left w:val="none" w:sz="0" w:space="0" w:color="auto"/>
                <w:bottom w:val="none" w:sz="0" w:space="0" w:color="auto"/>
                <w:right w:val="none" w:sz="0" w:space="0" w:color="auto"/>
              </w:divBdr>
            </w:div>
            <w:div w:id="115803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80737">
      <w:bodyDiv w:val="1"/>
      <w:marLeft w:val="0"/>
      <w:marRight w:val="0"/>
      <w:marTop w:val="0"/>
      <w:marBottom w:val="0"/>
      <w:divBdr>
        <w:top w:val="none" w:sz="0" w:space="0" w:color="auto"/>
        <w:left w:val="none" w:sz="0" w:space="0" w:color="auto"/>
        <w:bottom w:val="none" w:sz="0" w:space="0" w:color="auto"/>
        <w:right w:val="none" w:sz="0" w:space="0" w:color="auto"/>
      </w:divBdr>
    </w:div>
    <w:div w:id="214088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libproxy1.nus.edu.sg/?term=Breathnach+R&amp;cauthor_id=28339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med-ncbi-nlm-nih-gov.libproxy1.nus.edu.sg/?term=Chambon+P&amp;cauthor_id=28339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libproxy1.nus.edu.sg/?term=Gannon+F&amp;cauthor_id=28339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ubmed-ncbi-nlm-nih-gov.libproxy1.nus.edu.sg/?term=O%27Hare+K&amp;cauthor_id=283395" TargetMode="External"/><Relationship Id="rId4" Type="http://schemas.openxmlformats.org/officeDocument/2006/relationships/settings" Target="settings.xml"/><Relationship Id="rId9" Type="http://schemas.openxmlformats.org/officeDocument/2006/relationships/hyperlink" Target="https://pubmed-ncbi-nlm-nih-gov.libproxy1.nus.edu.sg/?term=Benoist+C&amp;cauthor_id=28339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3D4BF-675E-4F36-B584-1A486B9A7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10853</Words>
  <Characters>61867</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Avisha</dc:creator>
  <cp:keywords/>
  <dc:description/>
  <cp:lastModifiedBy>Julien POMPON</cp:lastModifiedBy>
  <cp:revision>3</cp:revision>
  <dcterms:created xsi:type="dcterms:W3CDTF">2021-10-04T13:54:00Z</dcterms:created>
  <dcterms:modified xsi:type="dcterms:W3CDTF">2021-10-04T13:55:00Z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id="FYTU30nT"/&gt;&lt;style id="http://www.zotero.org/styles/nature" hasBibliography="1" bibliographyStyleHasBeenSet="1"/&gt;&lt;prefs&gt;&lt;pref name="fieldType" value="Field"/&gt;&lt;pref name="automaticJournalAbbrevia</vt:lpwstr>
  </property>
  <property fmtid="{D5CDD505-2E9C-101B-9397-08002B2CF9AE}" pid="3" name="ZOTERO_PREF_2">
    <vt:lpwstr>tions" value="true"/&gt;&lt;/prefs&gt;&lt;/data&gt;</vt:lpwstr>
  </property>
</Properties>
</file>