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rPr>
          <w:rFonts w:ascii="Times New Roman" w:hAnsi="Times New Roman"/>
          <w:bCs/>
          <w:color w:val="auto"/>
          <w:kern w:val="0"/>
          <w:sz w:val="24"/>
        </w:rPr>
      </w:pPr>
      <w:r>
        <w:rPr>
          <w:rFonts w:ascii="Times New Roman" w:hAnsi="Times New Roman"/>
          <w:b/>
          <w:bCs/>
          <w:color w:val="auto"/>
          <w:kern w:val="0"/>
          <w:sz w:val="24"/>
        </w:rPr>
        <w:t>Supplementary Table</w:t>
      </w:r>
      <w:r>
        <w:rPr>
          <w:rFonts w:hint="eastAsia" w:ascii="Times New Roman" w:hAnsi="Times New Roman"/>
          <w:b/>
          <w:bCs/>
          <w:color w:val="auto"/>
          <w:kern w:val="0"/>
          <w:sz w:val="24"/>
          <w:lang w:val="en-US" w:eastAsia="zh-CN"/>
        </w:rPr>
        <w:t>s.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</w:t>
      </w:r>
    </w:p>
    <w:p>
      <w:pPr>
        <w:widowControl/>
        <w:adjustRightInd w:val="0"/>
        <w:snapToGrid w:val="0"/>
        <w:spacing w:line="360" w:lineRule="auto"/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Table 1. T</w:t>
      </w:r>
      <w:r>
        <w:rPr>
          <w:rFonts w:hint="eastAsia" w:ascii="Times New Roman" w:hAnsi="Times New Roman"/>
          <w:b w:val="0"/>
          <w:bCs/>
          <w:color w:val="auto"/>
          <w:kern w:val="0"/>
          <w:sz w:val="24"/>
        </w:rPr>
        <w:t>oxin-antitoxin (TA)</w:t>
      </w:r>
      <w:r>
        <w:rPr>
          <w:rFonts w:hint="eastAsia" w:ascii="Times New Roman" w:hAnsi="Times New Roman"/>
          <w:b w:val="0"/>
          <w:bCs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components detected in LSM178 genome. </w:t>
      </w:r>
    </w:p>
    <w:p>
      <w:pPr>
        <w:widowControl/>
        <w:adjustRightInd w:val="0"/>
        <w:snapToGrid w:val="0"/>
        <w:spacing w:line="360" w:lineRule="auto"/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Table 2. </w:t>
      </w:r>
      <w:r>
        <w:rPr>
          <w:rFonts w:hint="eastAsia" w:ascii="Times New Roman" w:hAnsi="Times New Roman"/>
          <w:bCs/>
          <w:color w:val="auto"/>
          <w:kern w:val="0"/>
          <w:sz w:val="24"/>
          <w:u w:val="none"/>
          <w:lang w:val="en-US" w:eastAsia="zh-CN"/>
        </w:rPr>
        <w:t>V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irulence factors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found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in 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LSM178 and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other 52 </w:t>
      </w:r>
      <w:r>
        <w:rPr>
          <w:rFonts w:hint="eastAsia" w:ascii="Times New Roman" w:hAnsi="Times New Roman"/>
          <w:bCs/>
          <w:i/>
          <w:iCs/>
          <w:color w:val="auto"/>
          <w:kern w:val="0"/>
          <w:sz w:val="24"/>
          <w:lang w:eastAsia="zh-CN"/>
        </w:rPr>
        <w:t>S. suis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.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</w:t>
      </w:r>
    </w:p>
    <w:p>
      <w:pPr>
        <w:widowControl/>
        <w:adjustRightInd w:val="0"/>
        <w:snapToGrid w:val="0"/>
        <w:spacing w:line="360" w:lineRule="auto"/>
        <w:rPr>
          <w:rFonts w:hint="default" w:ascii="Times New Roman" w:hAnsi="Times New Roman"/>
          <w:bCs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Table 3. Details of the 52 </w:t>
      </w:r>
      <w:r>
        <w:rPr>
          <w:rFonts w:hint="eastAsia" w:ascii="Times New Roman" w:hAnsi="Times New Roman"/>
          <w:bCs/>
          <w:i/>
          <w:iCs/>
          <w:color w:val="auto"/>
          <w:kern w:val="0"/>
          <w:sz w:val="24"/>
          <w:lang w:val="en-US" w:eastAsia="zh-CN"/>
        </w:rPr>
        <w:t>S. suis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and LSM178.</w:t>
      </w:r>
    </w:p>
    <w:p>
      <w:pPr>
        <w:widowControl/>
        <w:adjustRightInd w:val="0"/>
        <w:snapToGrid w:val="0"/>
        <w:spacing w:line="360" w:lineRule="auto"/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</w:pPr>
    </w:p>
    <w:p>
      <w:pPr>
        <w:widowControl/>
        <w:adjustRightInd w:val="0"/>
        <w:snapToGrid w:val="0"/>
        <w:spacing w:line="360" w:lineRule="auto"/>
        <w:rPr>
          <w:rFonts w:hint="default" w:ascii="Times New Roman" w:hAnsi="Times New Roman" w:eastAsia="宋体"/>
          <w:bCs/>
          <w:color w:val="auto"/>
          <w:kern w:val="0"/>
          <w:sz w:val="24"/>
          <w:lang w:val="en-US" w:eastAsia="zh-CN"/>
        </w:rPr>
      </w:pPr>
      <w:r>
        <w:rPr>
          <w:rFonts w:ascii="Times New Roman" w:hAnsi="Times New Roman"/>
          <w:b/>
          <w:bCs/>
          <w:color w:val="auto"/>
          <w:kern w:val="0"/>
          <w:sz w:val="24"/>
        </w:rPr>
        <w:t>Supplementary Figure 1</w:t>
      </w:r>
      <w:r>
        <w:rPr>
          <w:rFonts w:hint="eastAsia" w:ascii="Times New Roman" w:hAnsi="Times New Roman"/>
          <w:b/>
          <w:bCs/>
          <w:color w:val="auto"/>
          <w:kern w:val="0"/>
          <w:sz w:val="24"/>
          <w:lang w:val="en-US" w:eastAsia="zh-CN"/>
        </w:rPr>
        <w:t xml:space="preserve">.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Survival rate of zebrafish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infected with LSM178, SC19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and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P1/7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in two additional </w:t>
      </w:r>
      <w:r>
        <w:rPr>
          <w:rFonts w:hint="eastAsia" w:ascii="Times New Roman" w:hAnsi="Times New Roman"/>
          <w:color w:val="auto"/>
          <w:sz w:val="24"/>
          <w:highlight w:val="none"/>
          <w:lang w:val="en-US" w:eastAsia="zh-CN"/>
        </w:rPr>
        <w:t>i</w:t>
      </w:r>
      <w:r>
        <w:rPr>
          <w:rFonts w:hint="eastAsia" w:ascii="Times New Roman" w:hAnsi="Times New Roman"/>
          <w:color w:val="auto"/>
          <w:sz w:val="24"/>
          <w:highlight w:val="none"/>
        </w:rPr>
        <w:t>ndependent determinations</w:t>
      </w:r>
      <w:r>
        <w:rPr>
          <w:rFonts w:ascii="Times New Roman" w:hAnsi="Times New Roman"/>
          <w:bCs/>
          <w:color w:val="auto"/>
          <w:kern w:val="0"/>
          <w:sz w:val="24"/>
        </w:rPr>
        <w:t>.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Z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ebrafish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injected with PBS were used as the control</w:t>
      </w:r>
      <w:r>
        <w:rPr>
          <w:rFonts w:ascii="Times New Roman" w:hAnsi="Times New Roman"/>
          <w:bCs/>
          <w:color w:val="auto"/>
          <w:kern w:val="0"/>
          <w:sz w:val="24"/>
        </w:rPr>
        <w:t>.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</w:t>
      </w:r>
      <w:r>
        <w:rPr>
          <w:rFonts w:ascii="Times New Roman" w:hAnsi="Times New Roman"/>
          <w:bCs/>
          <w:color w:val="auto"/>
          <w:kern w:val="0"/>
          <w:sz w:val="24"/>
        </w:rPr>
        <w:t>Each group contained 10 zebrafish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.</w:t>
      </w:r>
    </w:p>
    <w:p>
      <w:pPr>
        <w:widowControl/>
        <w:adjustRightInd w:val="0"/>
        <w:snapToGrid w:val="0"/>
        <w:spacing w:line="360" w:lineRule="auto"/>
        <w:outlineLvl w:val="2"/>
        <w:rPr>
          <w:rFonts w:hint="default" w:ascii="Times New Roman" w:hAnsi="Times New Roman" w:eastAsia="宋体"/>
          <w:bCs/>
          <w:color w:val="auto"/>
          <w:kern w:val="0"/>
          <w:sz w:val="24"/>
          <w:lang w:val="en-US" w:eastAsia="zh-CN"/>
        </w:rPr>
      </w:pPr>
      <w:r>
        <w:rPr>
          <w:rFonts w:ascii="Times New Roman" w:hAnsi="Times New Roman"/>
          <w:b/>
          <w:bCs/>
          <w:color w:val="auto"/>
          <w:kern w:val="0"/>
          <w:sz w:val="24"/>
        </w:rPr>
        <w:t xml:space="preserve">Supplementary Figure </w:t>
      </w:r>
      <w:r>
        <w:rPr>
          <w:rFonts w:hint="eastAsia" w:ascii="Times New Roman" w:hAnsi="Times New Roman"/>
          <w:b/>
          <w:bCs/>
          <w:color w:val="auto"/>
          <w:kern w:val="0"/>
          <w:sz w:val="24"/>
          <w:lang w:val="en-US" w:eastAsia="zh-CN"/>
        </w:rPr>
        <w:t>2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. 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Dendrogram of </w:t>
      </w:r>
      <w:r>
        <w:rPr>
          <w:rFonts w:ascii="Times New Roman" w:hAnsi="Times New Roman"/>
          <w:bCs/>
          <w:i/>
          <w:iCs/>
          <w:color w:val="auto"/>
          <w:kern w:val="0"/>
          <w:sz w:val="24"/>
        </w:rPr>
        <w:t>S</w:t>
      </w:r>
      <w:r>
        <w:rPr>
          <w:rFonts w:hint="eastAsia" w:ascii="Times New Roman" w:hAnsi="Times New Roman"/>
          <w:bCs/>
          <w:i/>
          <w:iCs/>
          <w:color w:val="auto"/>
          <w:kern w:val="0"/>
          <w:sz w:val="24"/>
        </w:rPr>
        <w:t>.</w:t>
      </w:r>
      <w:r>
        <w:rPr>
          <w:rFonts w:ascii="Times New Roman" w:hAnsi="Times New Roman"/>
          <w:bCs/>
          <w:i/>
          <w:iCs/>
          <w:color w:val="auto"/>
          <w:kern w:val="0"/>
          <w:sz w:val="24"/>
        </w:rPr>
        <w:t xml:space="preserve"> suis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isolates.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All deposited STs were used in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complexes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analysis. M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ain clonal complexes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including all STs from 52 </w:t>
      </w:r>
      <w:r>
        <w:rPr>
          <w:rFonts w:hint="eastAsia" w:ascii="Times New Roman" w:hAnsi="Times New Roman"/>
          <w:bCs/>
          <w:i/>
          <w:iCs/>
          <w:color w:val="auto"/>
          <w:kern w:val="0"/>
          <w:sz w:val="24"/>
          <w:lang w:val="en-US" w:eastAsia="zh-CN"/>
        </w:rPr>
        <w:t xml:space="preserve">S. suis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were illustrated. ST1005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was shown with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red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.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The image</w:t>
      </w:r>
      <w:r>
        <w:rPr>
          <w:rFonts w:hint="eastAsia" w:ascii="Times New Roman" w:hAnsi="Times New Roman"/>
          <w:bCs/>
          <w:strike w:val="0"/>
          <w:dstrike w:val="0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bCs/>
          <w:strike w:val="0"/>
          <w:dstrike w:val="0"/>
          <w:color w:val="auto"/>
          <w:kern w:val="0"/>
          <w:sz w:val="24"/>
        </w:rPr>
        <w:t>wa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s generated </w:t>
      </w:r>
      <w:r>
        <w:rPr>
          <w:rFonts w:ascii="Times New Roman" w:hAnsi="Times New Roman"/>
          <w:bCs/>
          <w:color w:val="auto"/>
          <w:kern w:val="0"/>
          <w:sz w:val="24"/>
        </w:rPr>
        <w:t>by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goeBURST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v1.2.1.</w:t>
      </w:r>
    </w:p>
    <w:p>
      <w:pPr>
        <w:widowControl/>
        <w:adjustRightInd w:val="0"/>
        <w:snapToGrid w:val="0"/>
        <w:spacing w:line="360" w:lineRule="auto"/>
        <w:outlineLvl w:val="2"/>
        <w:rPr>
          <w:rFonts w:hint="eastAsia" w:ascii="Times New Roman" w:hAnsi="Times New Roman"/>
          <w:bCs/>
          <w:color w:val="auto"/>
          <w:kern w:val="0"/>
          <w:sz w:val="24"/>
        </w:rPr>
      </w:pPr>
      <w:r>
        <w:rPr>
          <w:rFonts w:ascii="Times New Roman" w:hAnsi="Times New Roman"/>
          <w:b/>
          <w:bCs/>
          <w:color w:val="auto"/>
          <w:kern w:val="0"/>
          <w:sz w:val="24"/>
        </w:rPr>
        <w:t xml:space="preserve">Supplementary Figure </w:t>
      </w:r>
      <w:r>
        <w:rPr>
          <w:rFonts w:hint="eastAsia" w:ascii="Times New Roman" w:hAnsi="Times New Roman"/>
          <w:b/>
          <w:bCs/>
          <w:color w:val="auto"/>
          <w:kern w:val="0"/>
          <w:sz w:val="24"/>
          <w:lang w:val="en-US" w:eastAsia="zh-CN"/>
        </w:rPr>
        <w:t>3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.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C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omparison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of the biofilm formation ability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of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LSM178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, SC19 and P1/7</w:t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</w:rPr>
        <w:t>P</w:t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  <w:lang w:val="en-US" w:eastAsia="zh-CN"/>
        </w:rPr>
        <w:t xml:space="preserve"> &lt; </w:t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</w:rPr>
        <w:t xml:space="preserve">0.05 </w:t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</w:rPr>
        <w:softHyphen/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</w:rPr>
        <w:t>*, P</w:t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  <w:lang w:val="en-US" w:eastAsia="zh-CN"/>
        </w:rPr>
        <w:t xml:space="preserve"> &lt; </w:t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</w:rPr>
        <w:t xml:space="preserve">0.01 </w:t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</w:rPr>
        <w:softHyphen/>
      </w:r>
      <w:r>
        <w:rPr>
          <w:rFonts w:hint="eastAsia" w:ascii="Times New Roman" w:hAnsi="Times New Roman"/>
          <w:bCs/>
          <w:color w:val="auto"/>
          <w:kern w:val="0"/>
          <w:sz w:val="24"/>
          <w:highlight w:val="none"/>
        </w:rPr>
        <w:t>*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*.</w:t>
      </w:r>
    </w:p>
    <w:p>
      <w:pPr>
        <w:widowControl/>
        <w:adjustRightInd w:val="0"/>
        <w:snapToGrid w:val="0"/>
        <w:spacing w:line="360" w:lineRule="auto"/>
        <w:outlineLvl w:val="2"/>
        <w:rPr>
          <w:rFonts w:ascii="Times New Roman" w:hAnsi="Times New Roman"/>
          <w:bCs/>
          <w:color w:val="auto"/>
          <w:kern w:val="0"/>
          <w:sz w:val="24"/>
          <w:highlight w:val="none"/>
        </w:rPr>
      </w:pPr>
      <w:r>
        <w:rPr>
          <w:rFonts w:ascii="Times New Roman" w:hAnsi="Times New Roman"/>
          <w:b/>
          <w:bCs/>
          <w:color w:val="auto"/>
          <w:kern w:val="0"/>
          <w:sz w:val="24"/>
        </w:rPr>
        <w:t xml:space="preserve">Supplementary Figure </w:t>
      </w:r>
      <w:r>
        <w:rPr>
          <w:rFonts w:hint="eastAsia" w:ascii="Times New Roman" w:hAnsi="Times New Roman"/>
          <w:b/>
          <w:bCs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.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Alignment of the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PBPs of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LSM178 with th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ose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of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A7 and R61.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A-E represented </w:t>
      </w:r>
      <w:r>
        <w:rPr>
          <w:rFonts w:ascii="Times New Roman" w:hAnsi="Times New Roman"/>
          <w:bCs/>
          <w:color w:val="auto"/>
          <w:kern w:val="0"/>
          <w:sz w:val="24"/>
        </w:rPr>
        <w:t>PBP1b (00760), PBP1a (02025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), 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PBP1a 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(</w:t>
      </w:r>
      <w:r>
        <w:rPr>
          <w:rFonts w:ascii="Times New Roman" w:hAnsi="Times New Roman"/>
          <w:bCs/>
          <w:color w:val="auto"/>
          <w:kern w:val="0"/>
          <w:sz w:val="24"/>
        </w:rPr>
        <w:t>09665), PBP2b (03000) and PBP2x (08260)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 respectively.</w:t>
      </w:r>
    </w:p>
    <w:p>
      <w:pPr>
        <w:widowControl/>
        <w:adjustRightInd w:val="0"/>
        <w:snapToGrid w:val="0"/>
        <w:spacing w:line="360" w:lineRule="auto"/>
        <w:outlineLvl w:val="2"/>
        <w:rPr>
          <w:rFonts w:ascii="Times New Roman" w:hAnsi="Times New Roman"/>
          <w:bCs/>
          <w:color w:val="auto"/>
          <w:kern w:val="0"/>
          <w:sz w:val="24"/>
          <w:highlight w:val="none"/>
        </w:rPr>
      </w:pPr>
      <w:r>
        <w:rPr>
          <w:rFonts w:ascii="Times New Roman" w:hAnsi="Times New Roman"/>
          <w:b/>
          <w:bCs/>
          <w:strike w:val="0"/>
          <w:color w:val="auto"/>
          <w:kern w:val="0"/>
          <w:sz w:val="24"/>
          <w:highlight w:val="none"/>
        </w:rPr>
        <w:t xml:space="preserve">Supplementary Figure </w:t>
      </w:r>
      <w:r>
        <w:rPr>
          <w:rFonts w:hint="eastAsia" w:ascii="Times New Roman" w:hAnsi="Times New Roman"/>
          <w:b/>
          <w:bCs/>
          <w:strike w:val="0"/>
          <w:color w:val="auto"/>
          <w:kern w:val="0"/>
          <w:sz w:val="24"/>
          <w:highlight w:val="none"/>
          <w:lang w:val="en-US" w:eastAsia="zh-CN"/>
        </w:rPr>
        <w:t>5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>.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ascii="Times New Roman" w:hAnsi="Times New Roman"/>
          <w:bCs/>
          <w:color w:val="auto"/>
          <w:kern w:val="0"/>
          <w:sz w:val="24"/>
        </w:rPr>
        <w:t>Alignment of GyrA and ParC f</w:t>
      </w:r>
      <w:bookmarkStart w:id="0" w:name="_GoBack"/>
      <w:bookmarkEnd w:id="0"/>
      <w:r>
        <w:rPr>
          <w:rFonts w:ascii="Times New Roman" w:hAnsi="Times New Roman"/>
          <w:bCs/>
          <w:color w:val="auto"/>
          <w:kern w:val="0"/>
          <w:sz w:val="24"/>
        </w:rPr>
        <w:t>rom the LSM178 with th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ose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</w:t>
      </w:r>
      <w:r>
        <w:rPr>
          <w:rFonts w:ascii="Times New Roman" w:hAnsi="Times New Roman"/>
          <w:bCs/>
          <w:color w:val="auto"/>
          <w:kern w:val="0"/>
          <w:sz w:val="24"/>
          <w:highlight w:val="none"/>
        </w:rPr>
        <w:t>from quinolone-sensitive strains (A7, BM407, P1/7 and SC84).</w:t>
      </w:r>
    </w:p>
    <w:p>
      <w:pPr>
        <w:widowControl/>
        <w:adjustRightInd w:val="0"/>
        <w:snapToGrid w:val="0"/>
        <w:spacing w:line="360" w:lineRule="auto"/>
        <w:outlineLvl w:val="2"/>
        <w:rPr>
          <w:rFonts w:hint="default" w:ascii="Times New Roman" w:hAnsi="Times New Roman" w:eastAsia="宋体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ascii="Times New Roman" w:hAnsi="Times New Roman"/>
          <w:b/>
          <w:bCs/>
          <w:strike w:val="0"/>
          <w:color w:val="auto"/>
          <w:kern w:val="0"/>
          <w:sz w:val="24"/>
          <w:highlight w:val="none"/>
        </w:rPr>
        <w:t xml:space="preserve">Supplementary Figure </w:t>
      </w:r>
      <w:r>
        <w:rPr>
          <w:rFonts w:hint="eastAsia" w:ascii="Times New Roman" w:hAnsi="Times New Roman"/>
          <w:b/>
          <w:bCs/>
          <w:strike w:val="0"/>
          <w:color w:val="auto"/>
          <w:kern w:val="0"/>
          <w:sz w:val="24"/>
          <w:highlight w:val="none"/>
          <w:lang w:val="en-US" w:eastAsia="zh-CN"/>
        </w:rPr>
        <w:t>6</w:t>
      </w:r>
      <w:r>
        <w:rPr>
          <w:rFonts w:hint="eastAsia" w:ascii="Times New Roman" w:hAnsi="Times New Roman"/>
          <w:b w:val="0"/>
          <w:bCs w:val="0"/>
          <w:strike w:val="0"/>
          <w:color w:val="auto"/>
          <w:kern w:val="0"/>
          <w:sz w:val="24"/>
          <w:highlight w:val="none"/>
          <w:lang w:val="en-US" w:eastAsia="zh-CN"/>
        </w:rPr>
        <w:t xml:space="preserve">. 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Alignment of </w:t>
      </w:r>
      <w:r>
        <w:rPr>
          <w:rFonts w:hint="eastAsia" w:ascii="Times New Roman" w:hAnsi="Times New Roman" w:eastAsia="宋体" w:cs="Times New Roman"/>
          <w:bCs/>
          <w:i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/>
        </w:rPr>
        <w:t>ANT(6)-Ia</w:t>
      </w:r>
      <w:r>
        <w:rPr>
          <w:rFonts w:hint="eastAsia" w:ascii="Times New Roman" w:hAnsi="Times New Roman" w:cs="Times New Roman"/>
          <w:bCs/>
          <w:i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/>
        </w:rPr>
        <w:t xml:space="preserve"> from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LSM178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with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th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at</w:t>
      </w:r>
      <w:r>
        <w:rPr>
          <w:rFonts w:ascii="Times New Roman" w:hAnsi="Times New Roman"/>
          <w:bCs/>
          <w:color w:val="auto"/>
          <w:kern w:val="0"/>
          <w:sz w:val="24"/>
        </w:rPr>
        <w:t xml:space="preserve"> </w:t>
      </w:r>
      <w:r>
        <w:rPr>
          <w:rFonts w:ascii="Times New Roman" w:hAnsi="Times New Roman"/>
          <w:bCs/>
          <w:color w:val="auto"/>
          <w:kern w:val="0"/>
          <w:sz w:val="24"/>
          <w:highlight w:val="none"/>
        </w:rPr>
        <w:t xml:space="preserve">from </w:t>
      </w:r>
      <w:r>
        <w:rPr>
          <w:rFonts w:hint="eastAsia" w:ascii="Times New Roman" w:hAnsi="Times New Roman" w:eastAsia="宋体" w:cs="Times New Roman"/>
          <w:bCs/>
          <w:i/>
          <w:iCs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/>
        </w:rPr>
        <w:t>Staphylococcus aur</w:t>
      </w:r>
      <w:r>
        <w:rPr>
          <w:rFonts w:hint="eastAsia" w:ascii="Times New Roman" w:hAnsi="Times New Roman" w:eastAsia="宋体" w:cs="Times New Roman"/>
          <w:bCs/>
          <w:i/>
          <w:iCs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eus</w:t>
      </w:r>
      <w:r>
        <w:rPr>
          <w:rFonts w:hint="eastAsia" w:ascii="Times New Roman" w:hAnsi="Times New Roman" w:cs="Times New Roman"/>
          <w:bCs/>
          <w:i/>
          <w:iCs/>
          <w:caps w:val="0"/>
          <w:color w:val="auto"/>
          <w:spacing w:val="0"/>
          <w:kern w:val="0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Cs/>
          <w:i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/>
        </w:rPr>
        <w:t>(UniProtKB - P12055 (AADK_STAAU))</w:t>
      </w:r>
      <w:r>
        <w:rPr>
          <w:rFonts w:hint="eastAsia" w:ascii="Times New Roman" w:hAnsi="Times New Roman" w:cs="Times New Roman"/>
          <w:bCs/>
          <w:i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Cs/>
          <w:i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/>
        </w:rPr>
        <w:t xml:space="preserve"> </w:t>
      </w:r>
    </w:p>
    <w:p>
      <w:pPr>
        <w:widowControl/>
        <w:adjustRightInd w:val="0"/>
        <w:snapToGrid w:val="0"/>
        <w:spacing w:line="360" w:lineRule="auto"/>
        <w:outlineLvl w:val="2"/>
        <w:rPr>
          <w:rFonts w:hint="eastAsia" w:ascii="Times New Roman" w:hAnsi="Times New Roman" w:eastAsia="宋体"/>
          <w:bCs/>
          <w:strike w:val="0"/>
          <w:color w:val="auto"/>
          <w:kern w:val="0"/>
          <w:sz w:val="24"/>
          <w:highlight w:val="none"/>
          <w:lang w:val="en-US" w:eastAsia="zh-CN"/>
        </w:rPr>
      </w:pPr>
      <w:r>
        <w:rPr>
          <w:rFonts w:ascii="Times New Roman" w:hAnsi="Times New Roman"/>
          <w:b/>
          <w:bCs/>
          <w:strike w:val="0"/>
          <w:color w:val="auto"/>
          <w:kern w:val="0"/>
          <w:sz w:val="24"/>
          <w:highlight w:val="none"/>
        </w:rPr>
        <w:t xml:space="preserve">Supplementary Figure </w:t>
      </w:r>
      <w:r>
        <w:rPr>
          <w:rFonts w:hint="eastAsia" w:ascii="Times New Roman" w:hAnsi="Times New Roman"/>
          <w:b/>
          <w:bCs/>
          <w:strike w:val="0"/>
          <w:color w:val="auto"/>
          <w:kern w:val="0"/>
          <w:sz w:val="24"/>
          <w:highlight w:val="none"/>
          <w:lang w:val="en-US" w:eastAsia="zh-CN"/>
        </w:rPr>
        <w:t>7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>.</w:t>
      </w:r>
      <w:r>
        <w:rPr>
          <w:rFonts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 (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>A</w:t>
      </w:r>
      <w:r>
        <w:rPr>
          <w:rFonts w:ascii="Times New Roman" w:hAnsi="Times New Roman"/>
          <w:bCs/>
          <w:strike w:val="0"/>
          <w:color w:val="auto"/>
          <w:kern w:val="0"/>
          <w:sz w:val="24"/>
          <w:highlight w:val="none"/>
        </w:rPr>
        <w:t>)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 </w:t>
      </w:r>
      <w:r>
        <w:rPr>
          <w:rFonts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Venn diagram of 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the extracted </w:t>
      </w:r>
      <w:r>
        <w:rPr>
          <w:rFonts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genes 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>of</w:t>
      </w:r>
      <w:r>
        <w:rPr>
          <w:rFonts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T15 in relative to each strain from 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>LSM178 clade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>.</w:t>
      </w:r>
      <w:r>
        <w:rPr>
          <w:rFonts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 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>The overlap was named core avirulence genes. (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>B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) The location of </w:t>
      </w:r>
      <w:r>
        <w:rPr>
          <w:rFonts w:ascii="Times New Roman" w:hAnsi="Times New Roman"/>
          <w:bCs/>
          <w:strike w:val="0"/>
          <w:color w:val="auto"/>
          <w:kern w:val="0"/>
          <w:sz w:val="24"/>
          <w:highlight w:val="none"/>
        </w:rPr>
        <w:t>GIs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>blue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 xml:space="preserve">) and 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>core avirulence genes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>black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>)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</w:rPr>
        <w:t xml:space="preserve"> in T15 g</w:t>
      </w:r>
      <w:r>
        <w:rPr>
          <w:rFonts w:ascii="Times New Roman" w:hAnsi="Times New Roman"/>
          <w:bCs/>
          <w:strike w:val="0"/>
          <w:color w:val="auto"/>
          <w:kern w:val="0"/>
          <w:sz w:val="24"/>
          <w:highlight w:val="none"/>
        </w:rPr>
        <w:t>enome.</w:t>
      </w:r>
      <w:r>
        <w:rPr>
          <w:rFonts w:hint="eastAsia" w:ascii="Times New Roman" w:hAnsi="Times New Roman"/>
          <w:bCs/>
          <w:strike w:val="0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The images</w:t>
      </w:r>
      <w:r>
        <w:rPr>
          <w:rFonts w:hint="eastAsia" w:ascii="Times New Roman" w:hAnsi="Times New Roman"/>
          <w:bCs/>
          <w:strike w:val="0"/>
          <w:dstrike w:val="0"/>
          <w:color w:val="auto"/>
          <w:kern w:val="0"/>
          <w:sz w:val="24"/>
          <w:lang w:val="en-US" w:eastAsia="zh-CN"/>
        </w:rPr>
        <w:t xml:space="preserve"> of A was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 xml:space="preserve"> generated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Cs/>
          <w:color w:val="auto"/>
          <w:kern w:val="0"/>
          <w:sz w:val="24"/>
          <w:lang w:val="en-US" w:eastAsia="zh-CN"/>
        </w:rPr>
        <w:t xml:space="preserve">using RStudio v4.0.5. 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>The image</w:t>
      </w:r>
      <w:r>
        <w:rPr>
          <w:rFonts w:hint="eastAsia" w:ascii="Times New Roman" w:hAnsi="Times New Roman"/>
          <w:bCs/>
          <w:strike w:val="0"/>
          <w:dstrike w:val="0"/>
          <w:color w:val="auto"/>
          <w:kern w:val="0"/>
          <w:sz w:val="24"/>
          <w:lang w:val="en-US" w:eastAsia="zh-CN"/>
        </w:rPr>
        <w:t xml:space="preserve"> of B </w:t>
      </w:r>
      <w:r>
        <w:rPr>
          <w:rFonts w:hint="eastAsia" w:ascii="Times New Roman" w:hAnsi="Times New Roman"/>
          <w:bCs/>
          <w:strike w:val="0"/>
          <w:dstrike w:val="0"/>
          <w:color w:val="auto"/>
          <w:kern w:val="0"/>
          <w:sz w:val="24"/>
        </w:rPr>
        <w:t>wa</w:t>
      </w:r>
      <w:r>
        <w:rPr>
          <w:rFonts w:hint="eastAsia" w:ascii="Times New Roman" w:hAnsi="Times New Roman"/>
          <w:bCs/>
          <w:color w:val="auto"/>
          <w:kern w:val="0"/>
          <w:sz w:val="24"/>
        </w:rPr>
        <w:t>s generated</w:t>
      </w:r>
      <w:r>
        <w:rPr>
          <w:rFonts w:hint="eastAsia" w:ascii="Times New Roman" w:hAnsi="Times New Roman"/>
          <w:bCs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Cs/>
          <w:color w:val="auto"/>
          <w:kern w:val="0"/>
          <w:sz w:val="24"/>
          <w:lang w:val="en-US" w:eastAsia="zh-CN"/>
        </w:rPr>
        <w:t>using circos v0.69.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F2825"/>
    <w:rsid w:val="069241DE"/>
    <w:rsid w:val="13171007"/>
    <w:rsid w:val="13F346C7"/>
    <w:rsid w:val="13F645E3"/>
    <w:rsid w:val="17263780"/>
    <w:rsid w:val="18971497"/>
    <w:rsid w:val="1F96677C"/>
    <w:rsid w:val="224C2072"/>
    <w:rsid w:val="29662911"/>
    <w:rsid w:val="30AA0164"/>
    <w:rsid w:val="3904695C"/>
    <w:rsid w:val="3C2A1914"/>
    <w:rsid w:val="40020AEE"/>
    <w:rsid w:val="44EF2825"/>
    <w:rsid w:val="47596A99"/>
    <w:rsid w:val="4CD05935"/>
    <w:rsid w:val="4CE161E1"/>
    <w:rsid w:val="536C7419"/>
    <w:rsid w:val="55822F11"/>
    <w:rsid w:val="593449E3"/>
    <w:rsid w:val="5AB84324"/>
    <w:rsid w:val="5BC07759"/>
    <w:rsid w:val="636A1386"/>
    <w:rsid w:val="6CBE67C6"/>
    <w:rsid w:val="6E7305C1"/>
    <w:rsid w:val="72962B6A"/>
    <w:rsid w:val="72AF13C0"/>
    <w:rsid w:val="77146D9D"/>
    <w:rsid w:val="78BD59D3"/>
    <w:rsid w:val="7A68332F"/>
    <w:rsid w:val="7A98164C"/>
    <w:rsid w:val="7EBF69DC"/>
    <w:rsid w:val="7FEE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2021-05-31T13:29:00Z</dcterms:created>
  <dc:creator>F.S.M</dc:creator>
  <cp:lastModifiedBy>F.S.M</cp:lastModifiedBy>
  <dcterms:modified xsi:type="dcterms:W3CDTF">2021-11-12T11:23:58Z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B49C90D8B7B344D6AACBEE0768BDEA65</vt:lpwstr>
  </property>
</Properties>
</file>