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75DE5" w14:textId="0AAF945F" w:rsidR="006254C5" w:rsidRPr="00CD4EA6" w:rsidRDefault="006254C5" w:rsidP="006254C5">
      <w:pPr>
        <w:spacing w:after="0" w:line="240" w:lineRule="auto"/>
        <w:rPr>
          <w:rFonts w:ascii="Arial" w:hAnsi="Arial" w:cs="Arial"/>
          <w:b/>
          <w:lang w:val="en-GB"/>
        </w:rPr>
      </w:pPr>
      <w:r w:rsidRPr="00CD4EA6">
        <w:rPr>
          <w:rFonts w:ascii="Arial" w:hAnsi="Arial" w:cs="Arial"/>
          <w:b/>
          <w:lang w:val="en-GB"/>
        </w:rPr>
        <w:t>Supplemental</w:t>
      </w:r>
      <w:r w:rsidR="00CB5A5A" w:rsidRPr="00CD4EA6">
        <w:rPr>
          <w:rFonts w:ascii="Arial" w:hAnsi="Arial" w:cs="Arial"/>
          <w:b/>
          <w:lang w:val="en-GB"/>
        </w:rPr>
        <w:t xml:space="preserve"> Material </w:t>
      </w:r>
    </w:p>
    <w:p w14:paraId="1769F6BB" w14:textId="77777777" w:rsidR="006254C5" w:rsidRPr="00CD4EA6" w:rsidRDefault="006254C5" w:rsidP="006254C5">
      <w:pPr>
        <w:spacing w:after="0" w:line="240" w:lineRule="auto"/>
        <w:rPr>
          <w:rFonts w:ascii="Arial" w:hAnsi="Arial" w:cs="Arial"/>
          <w:b/>
          <w:lang w:val="en-GB"/>
        </w:rPr>
      </w:pPr>
    </w:p>
    <w:p w14:paraId="572B23EC" w14:textId="77777777" w:rsidR="006254C5" w:rsidRPr="00CD4EA6" w:rsidRDefault="006254C5" w:rsidP="006254C5">
      <w:pPr>
        <w:spacing w:after="0" w:line="240" w:lineRule="auto"/>
        <w:rPr>
          <w:rFonts w:ascii="Arial" w:hAnsi="Arial" w:cs="Arial"/>
          <w:b/>
          <w:lang w:val="en-GB"/>
        </w:rPr>
      </w:pPr>
    </w:p>
    <w:p w14:paraId="2D0DF338" w14:textId="77777777" w:rsidR="006254C5" w:rsidRPr="00CD4EA6" w:rsidRDefault="006254C5" w:rsidP="006254C5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r w:rsidRPr="00CD4EA6">
        <w:rPr>
          <w:rFonts w:ascii="Arial" w:hAnsi="Arial" w:cs="Arial"/>
          <w:b/>
          <w:lang w:val="en-US"/>
        </w:rPr>
        <w:t>Supplemental Data 1</w:t>
      </w:r>
    </w:p>
    <w:p w14:paraId="0B38870F" w14:textId="77777777" w:rsidR="006254C5" w:rsidRPr="00CD4EA6" w:rsidRDefault="006254C5" w:rsidP="006254C5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12A20A84" w14:textId="77777777" w:rsidR="006254C5" w:rsidRPr="00CD4EA6" w:rsidRDefault="006254C5" w:rsidP="006254C5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CD4EA6">
        <w:rPr>
          <w:rFonts w:ascii="Arial" w:hAnsi="Arial" w:cs="Arial"/>
          <w:lang w:val="en-US"/>
        </w:rPr>
        <w:t>Histograms were classified according to Auer.</w:t>
      </w:r>
      <w:r w:rsidRPr="00CD4EA6">
        <w:rPr>
          <w:rFonts w:ascii="Arial" w:hAnsi="Arial" w:cs="Arial"/>
          <w:lang w:val="en-US"/>
        </w:rPr>
        <w:fldChar w:fldCharType="begin"/>
      </w:r>
      <w:r w:rsidRPr="00CD4EA6">
        <w:rPr>
          <w:rFonts w:ascii="Arial" w:hAnsi="Arial" w:cs="Arial"/>
          <w:lang w:val="en-US"/>
        </w:rPr>
        <w:instrText xml:space="preserve"> ADDIN ZOTERO_ITEM CSL_CITATION {"citationID":"n75npPAl","properties":{"formattedCitation":"\\super 28\\nosupersub{}","plainCitation":"28","noteIndex":0},"citationItems":[{"id":"r9uvxnYk/mqyRRQpB","uris":["http://zotero.org/users/1536905/items/P8UCGUZZ"],"uri":["http://zotero.org/users/1536905/items/P8UCGUZZ"],"itemData":{"id":"uA7vANu7/hb4Sq2ex","type":"article-journal","title":"DNA Content an Survival in Mammary Carcinoma","container-title":"Analytical and Quantitative Cytology Journal","page":"161-165","volume":"2","issue":"2","author":[{"family":"Auer","given":"Gert U."},{"family":"Caspersson","given":"Torbjörn O."},{"family":"Wallgren","given":"Arne S."}],"issued":{"date-parts":[["1980"]]}}}],"schema":"https://github.com/citation-style-language/schema/raw/master/csl-citation.json"} </w:instrText>
      </w:r>
      <w:r w:rsidRPr="00CD4EA6">
        <w:rPr>
          <w:rFonts w:ascii="Arial" w:hAnsi="Arial" w:cs="Arial"/>
          <w:lang w:val="en-US"/>
        </w:rPr>
        <w:fldChar w:fldCharType="separate"/>
      </w:r>
      <w:r w:rsidRPr="00CD4EA6">
        <w:rPr>
          <w:rFonts w:ascii="Arial" w:hAnsi="Arial" w:cs="Arial"/>
          <w:szCs w:val="24"/>
          <w:vertAlign w:val="superscript"/>
        </w:rPr>
        <w:t>28</w:t>
      </w:r>
      <w:r w:rsidRPr="00CD4EA6">
        <w:rPr>
          <w:rFonts w:ascii="Arial" w:hAnsi="Arial" w:cs="Arial"/>
          <w:lang w:val="en-US"/>
        </w:rPr>
        <w:fldChar w:fldCharType="end"/>
      </w:r>
      <w:r w:rsidRPr="00CD4EA6">
        <w:rPr>
          <w:rFonts w:ascii="Arial" w:hAnsi="Arial" w:cs="Arial"/>
          <w:lang w:val="en-US"/>
        </w:rPr>
        <w:t xml:space="preserve"> Histograms with one single peak in the diploid or near diploid region (1,5-2,5c) were classified as Type I. Type II histograms were defined by a single peak in the tetraploid region (3,5-4,5c), or peaks in both diploid and tetraploid region. Type III histograms were characterized by DNA values ranging between diploid and tetraploid region with only a few cells exceeding DNA values of 5c (&lt;5%). Scattered DNA values with &gt;5% of the cells exceeding the 5c region were defined as Type IV histograms which represent aneuploid cell populations with decreased genomic stability. Thus, tumors showing a DNA distribution pattern corresponding to type I-III histograms were assessed as genomically stable, whereas those showing a DNA distribution pattern according to type IV histograms were classified as genomically instable.</w:t>
      </w:r>
    </w:p>
    <w:p w14:paraId="6D7A290A" w14:textId="77777777" w:rsidR="006254C5" w:rsidRPr="00CD4EA6" w:rsidRDefault="006254C5" w:rsidP="006254C5">
      <w:pPr>
        <w:spacing w:after="0" w:line="480" w:lineRule="auto"/>
        <w:jc w:val="both"/>
        <w:rPr>
          <w:rFonts w:ascii="Arial" w:hAnsi="Arial" w:cs="Arial"/>
          <w:lang w:val="en-US"/>
        </w:rPr>
      </w:pPr>
    </w:p>
    <w:p w14:paraId="02856297" w14:textId="77777777" w:rsidR="006254C5" w:rsidRPr="00CD4EA6" w:rsidRDefault="006254C5" w:rsidP="006254C5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  <w:r w:rsidRPr="00CD4EA6">
        <w:rPr>
          <w:rFonts w:ascii="Arial" w:hAnsi="Arial" w:cs="Arial"/>
          <w:b/>
          <w:lang w:val="en-US"/>
        </w:rPr>
        <w:t>Supplemental Data 2</w:t>
      </w:r>
    </w:p>
    <w:p w14:paraId="5223FB5E" w14:textId="77777777" w:rsidR="006254C5" w:rsidRPr="00CD4EA6" w:rsidRDefault="006254C5" w:rsidP="006254C5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</w:p>
    <w:p w14:paraId="76090130" w14:textId="35012048" w:rsidR="006254C5" w:rsidRPr="00CD4EA6" w:rsidRDefault="006254C5" w:rsidP="006254C5">
      <w:pPr>
        <w:spacing w:line="480" w:lineRule="auto"/>
        <w:jc w:val="both"/>
        <w:rPr>
          <w:rFonts w:ascii="Arial" w:hAnsi="Arial" w:cs="Arial"/>
          <w:lang w:val="en-GB"/>
        </w:rPr>
      </w:pPr>
      <w:r w:rsidRPr="00CD4EA6">
        <w:rPr>
          <w:rFonts w:ascii="Arial" w:hAnsi="Arial" w:cs="Arial"/>
          <w:lang w:val="en-US"/>
        </w:rPr>
        <w:t>TMA sections were deparaffinized by Xylol and rehydrated in a graded series of ethanol, followed by heating in retrieval buffer using a microwave oven. Subsequently, sections were blocked with 3% hydrogen peroxide in methanol, incubated in 0.1% Triton-X-100 in PBS, and treated with horse (</w:t>
      </w:r>
      <w:r w:rsidRPr="00CD4EA6">
        <w:rPr>
          <w:rFonts w:ascii="Arial" w:eastAsia="Times New Roman" w:hAnsi="Arial" w:cs="Arial"/>
          <w:kern w:val="16"/>
          <w:lang w:val="en-US"/>
        </w:rPr>
        <w:t>Vectastain</w:t>
      </w:r>
      <w:r w:rsidRPr="00CD4EA6">
        <w:rPr>
          <w:rFonts w:ascii="Arial" w:eastAsia="Times New Roman" w:hAnsi="Arial" w:cs="Arial"/>
          <w:kern w:val="16"/>
          <w:vertAlign w:val="superscript"/>
          <w:lang w:val="en-US"/>
        </w:rPr>
        <w:t xml:space="preserve">® </w:t>
      </w:r>
      <w:r w:rsidRPr="00CD4EA6">
        <w:rPr>
          <w:rFonts w:ascii="Arial" w:eastAsia="Times New Roman" w:hAnsi="Arial" w:cs="Arial"/>
          <w:kern w:val="16"/>
          <w:lang w:val="en-US"/>
        </w:rPr>
        <w:t xml:space="preserve">Elite ABC Kit Universal, VECTOR Laboratories Inc., Burlingame, Ca, USA) </w:t>
      </w:r>
      <w:r w:rsidRPr="00CD4EA6">
        <w:rPr>
          <w:rFonts w:ascii="Arial" w:hAnsi="Arial" w:cs="Arial"/>
          <w:lang w:val="en-US"/>
        </w:rPr>
        <w:t>or goat serum</w:t>
      </w:r>
      <w:r w:rsidRPr="00CD4EA6">
        <w:rPr>
          <w:rFonts w:ascii="Arial" w:hAnsi="Arial" w:cs="Arial"/>
          <w:color w:val="131413"/>
          <w:lang w:val="en-US"/>
        </w:rPr>
        <w:t xml:space="preserve"> (Dako Cytomation A/S, Glostrup, Denmark)</w:t>
      </w:r>
      <w:r w:rsidRPr="00CD4EA6">
        <w:rPr>
          <w:rFonts w:ascii="Arial" w:hAnsi="Arial" w:cs="Arial"/>
          <w:lang w:val="en-US"/>
        </w:rPr>
        <w:t xml:space="preserve"> in PBS (pH 7.4).  Primary antibodies against </w:t>
      </w:r>
      <w:r w:rsidRPr="00CD4EA6">
        <w:rPr>
          <w:rFonts w:ascii="Arial" w:eastAsia="Times New Roman" w:hAnsi="Arial" w:cs="Arial"/>
          <w:kern w:val="16"/>
          <w:lang w:val="en-US"/>
        </w:rPr>
        <w:t>anti-VIME (dilution 1:200, Sigma-Aldrich, St. Louis, USA, #V6389), monoclonal anti-TBB5 (dilution 1:600, Sigma-Aldrich, St. Louis, USA, #T4026), monoclonal anti-TPM4 (dilution 1:700, Abcam</w:t>
      </w:r>
      <w:r w:rsidRPr="00CD4EA6">
        <w:rPr>
          <w:rFonts w:ascii="Arial" w:eastAsia="Times New Roman" w:hAnsi="Arial" w:cs="Arial"/>
          <w:kern w:val="16"/>
          <w:vertAlign w:val="superscript"/>
          <w:lang w:val="en-US"/>
        </w:rPr>
        <w:t>®</w:t>
      </w:r>
      <w:r w:rsidRPr="00CD4EA6">
        <w:rPr>
          <w:rFonts w:ascii="Arial" w:eastAsia="Times New Roman" w:hAnsi="Arial" w:cs="Arial"/>
          <w:kern w:val="16"/>
          <w:lang w:val="en-US"/>
        </w:rPr>
        <w:t xml:space="preserve"> plc, Cambridge, UK, # ab58332), polyclonal anti-SPIN1 (dilution 1:300, Abcam</w:t>
      </w:r>
      <w:r w:rsidRPr="00CD4EA6">
        <w:rPr>
          <w:rFonts w:ascii="Arial" w:eastAsia="Times New Roman" w:hAnsi="Arial" w:cs="Arial"/>
          <w:kern w:val="16"/>
          <w:vertAlign w:val="superscript"/>
          <w:lang w:val="en-US"/>
        </w:rPr>
        <w:t>®</w:t>
      </w:r>
      <w:r w:rsidRPr="00CD4EA6">
        <w:rPr>
          <w:rFonts w:ascii="Arial" w:eastAsia="Times New Roman" w:hAnsi="Arial" w:cs="Arial"/>
          <w:kern w:val="16"/>
          <w:lang w:val="en-US"/>
        </w:rPr>
        <w:t xml:space="preserve"> plc, Cambridge, UK, # ab118784) and anti-SATB1 (dilution 1:50, kindly provided by R. Klooster, University of Leiden, Netherlands)</w:t>
      </w:r>
      <w:r w:rsidRPr="00CD4EA6">
        <w:rPr>
          <w:rFonts w:ascii="Arial" w:hAnsi="Arial" w:cs="Arial"/>
          <w:lang w:val="en-US"/>
        </w:rPr>
        <w:t xml:space="preserve"> diluted in antibody diluent (Antibody Diluent with Background Reducing Components, Dako Cytomation A/S, Glostrup, Denmark</w:t>
      </w:r>
      <w:r w:rsidRPr="00CD4EA6">
        <w:rPr>
          <w:rFonts w:ascii="Arial" w:eastAsia="Times New Roman" w:hAnsi="Arial" w:cs="Arial"/>
          <w:kern w:val="16"/>
          <w:lang w:val="en-US"/>
        </w:rPr>
        <w:t xml:space="preserve">) were incubated </w:t>
      </w:r>
      <w:r w:rsidRPr="00CD4EA6">
        <w:rPr>
          <w:rFonts w:ascii="Arial" w:hAnsi="Arial" w:cs="Arial"/>
          <w:lang w:val="en-US"/>
        </w:rPr>
        <w:t>overnight at 4°C</w:t>
      </w:r>
      <w:r w:rsidRPr="00CD4EA6">
        <w:rPr>
          <w:rFonts w:ascii="Arial" w:eastAsia="Times New Roman" w:hAnsi="Arial" w:cs="Arial"/>
          <w:kern w:val="16"/>
          <w:lang w:val="en-US"/>
        </w:rPr>
        <w:t>. Anti-SATB1 is a single</w:t>
      </w:r>
    </w:p>
    <w:p w14:paraId="0E4746D0" w14:textId="652E3415" w:rsidR="006254C5" w:rsidRPr="00CD4EA6" w:rsidRDefault="006254C5" w:rsidP="006254C5">
      <w:pPr>
        <w:rPr>
          <w:rFonts w:ascii="Arial" w:hAnsi="Arial" w:cs="Arial"/>
          <w:lang w:val="en-GB"/>
        </w:rPr>
        <w:sectPr w:rsidR="006254C5" w:rsidRPr="00CD4EA6" w:rsidSect="006254C5">
          <w:headerReference w:type="default" r:id="rId8"/>
          <w:footerReference w:type="default" r:id="rId9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3E75BB7" w14:textId="7D65FDD2" w:rsidR="005065A7" w:rsidRPr="00CD4EA6" w:rsidRDefault="005065A7" w:rsidP="005065A7">
      <w:pPr>
        <w:spacing w:after="0" w:line="480" w:lineRule="auto"/>
        <w:jc w:val="both"/>
        <w:rPr>
          <w:rFonts w:ascii="Arial" w:eastAsia="Times New Roman" w:hAnsi="Arial" w:cs="Arial"/>
          <w:kern w:val="16"/>
          <w:lang w:val="en-US"/>
        </w:rPr>
      </w:pPr>
      <w:bookmarkStart w:id="0" w:name="_Hlk48389818"/>
      <w:r w:rsidRPr="00CD4EA6">
        <w:rPr>
          <w:rFonts w:ascii="Arial" w:eastAsia="Times New Roman" w:hAnsi="Arial" w:cs="Arial"/>
          <w:kern w:val="16"/>
          <w:lang w:val="en-US"/>
        </w:rPr>
        <w:lastRenderedPageBreak/>
        <w:t>domain VHH-antibody fragment consisting of one single N-terminal domain without Fc part and offers the advantage of binding to small, hidden epitopes with excellent penetration of tissue.</w:t>
      </w:r>
      <w:r w:rsidR="00DA4A2A" w:rsidRPr="00CD4EA6">
        <w:rPr>
          <w:rFonts w:ascii="Arial" w:eastAsia="Times New Roman" w:hAnsi="Arial" w:cs="Arial"/>
          <w:kern w:val="16"/>
          <w:lang w:val="en-US"/>
        </w:rPr>
        <w:fldChar w:fldCharType="begin"/>
      </w:r>
      <w:r w:rsidR="00915C80" w:rsidRPr="00CD4EA6">
        <w:rPr>
          <w:rFonts w:ascii="Arial" w:eastAsia="Times New Roman" w:hAnsi="Arial" w:cs="Arial"/>
          <w:kern w:val="16"/>
          <w:lang w:val="en-US"/>
        </w:rPr>
        <w:instrText xml:space="preserve"> ADDIN ZOTERO_ITEM CSL_CITATION {"citationID":"o14qWoks","properties":{"formattedCitation":"\\super 49\\nosupersub{}","plainCitation":"49","noteIndex":0},"citationItems":[{"id":275,"uris":["http://zotero.org/users/local/rPHOtKoQ/items/HT9XI9MM"],"uri":["http://zotero.org/users/local/rPHOtKoQ/items/HT9XI9MM"],"itemData":{"id":275,"type":"article-journal","container-title":"Applied Microbiology and Biotechnology","DOI":"10.1007/s00253-007-1142-2","ISSN":"0175-7598, 1432-0614","issue":"1","language":"en","page":"13-22","source":"CrossRef","title":"Properties, production, and applications of camelid single-domain antibody fragments","volume":"77","author":[{"family":"Harmsen","given":"M. M."},{"family":"De Haard","given":"H. J."}],"issued":{"date-parts":[["2007",11]]}}}],"schema":"https://github.com/citation-style-language/schema/raw/master/csl-citation.json"} </w:instrText>
      </w:r>
      <w:r w:rsidR="00DA4A2A" w:rsidRPr="00CD4EA6">
        <w:rPr>
          <w:rFonts w:ascii="Arial" w:eastAsia="Times New Roman" w:hAnsi="Arial" w:cs="Arial"/>
          <w:kern w:val="16"/>
          <w:lang w:val="en-US"/>
        </w:rPr>
        <w:fldChar w:fldCharType="separate"/>
      </w:r>
      <w:r w:rsidR="00915C80" w:rsidRPr="00CD4EA6">
        <w:rPr>
          <w:rFonts w:ascii="Arial" w:hAnsi="Arial" w:cs="Arial"/>
          <w:szCs w:val="24"/>
          <w:vertAlign w:val="superscript"/>
        </w:rPr>
        <w:t>49</w:t>
      </w:r>
      <w:r w:rsidR="00DA4A2A" w:rsidRPr="00CD4EA6">
        <w:rPr>
          <w:rFonts w:ascii="Arial" w:eastAsia="Times New Roman" w:hAnsi="Arial" w:cs="Arial"/>
          <w:kern w:val="16"/>
          <w:lang w:val="en-US"/>
        </w:rPr>
        <w:fldChar w:fldCharType="end"/>
      </w:r>
      <w:r w:rsidR="00DA4A2A" w:rsidRPr="00CD4EA6">
        <w:rPr>
          <w:rFonts w:ascii="Arial" w:eastAsia="Times New Roman" w:hAnsi="Arial" w:cs="Arial"/>
          <w:kern w:val="16"/>
          <w:lang w:val="en-US"/>
        </w:rPr>
        <w:t xml:space="preserve"> </w:t>
      </w:r>
      <w:r w:rsidR="002E07E2" w:rsidRPr="00CD4EA6">
        <w:rPr>
          <w:rFonts w:ascii="Arial" w:eastAsia="Times New Roman" w:hAnsi="Arial" w:cs="Arial"/>
          <w:kern w:val="16"/>
          <w:lang w:val="en-US"/>
        </w:rPr>
        <w:t>The specificity of this VHH-antibody</w:t>
      </w:r>
      <w:r w:rsidR="00A75928" w:rsidRPr="00CD4EA6">
        <w:rPr>
          <w:rFonts w:ascii="Arial" w:eastAsia="Times New Roman" w:hAnsi="Arial" w:cs="Arial"/>
          <w:kern w:val="16"/>
          <w:lang w:val="en-US"/>
        </w:rPr>
        <w:t xml:space="preserve"> fragment</w:t>
      </w:r>
      <w:r w:rsidR="00A6694B" w:rsidRPr="00CD4EA6">
        <w:rPr>
          <w:rFonts w:ascii="Arial" w:eastAsia="Times New Roman" w:hAnsi="Arial" w:cs="Arial"/>
          <w:kern w:val="16"/>
          <w:lang w:val="en-US"/>
        </w:rPr>
        <w:t xml:space="preserve"> (clone 2D2)</w:t>
      </w:r>
      <w:r w:rsidR="002E07E2" w:rsidRPr="00CD4EA6">
        <w:rPr>
          <w:rFonts w:ascii="Arial" w:eastAsia="Times New Roman" w:hAnsi="Arial" w:cs="Arial"/>
          <w:kern w:val="16"/>
          <w:lang w:val="en-US"/>
        </w:rPr>
        <w:t xml:space="preserve"> was previously confirmed by ELISA, cell staining as well as Western Blot and </w:t>
      </w:r>
      <w:r w:rsidR="00A6694B" w:rsidRPr="00CD4EA6">
        <w:rPr>
          <w:rFonts w:ascii="Arial" w:eastAsia="Times New Roman" w:hAnsi="Arial" w:cs="Arial"/>
          <w:kern w:val="16"/>
          <w:lang w:val="en-US"/>
        </w:rPr>
        <w:t>i</w:t>
      </w:r>
      <w:r w:rsidR="002E07E2" w:rsidRPr="00CD4EA6">
        <w:rPr>
          <w:rFonts w:ascii="Arial" w:eastAsia="Times New Roman" w:hAnsi="Arial" w:cs="Arial"/>
          <w:kern w:val="16"/>
          <w:lang w:val="en-US"/>
        </w:rPr>
        <w:t>mmunopre</w:t>
      </w:r>
      <w:r w:rsidR="00A6694B" w:rsidRPr="00CD4EA6">
        <w:rPr>
          <w:rFonts w:ascii="Arial" w:eastAsia="Times New Roman" w:hAnsi="Arial" w:cs="Arial"/>
          <w:kern w:val="16"/>
          <w:lang w:val="en-US"/>
        </w:rPr>
        <w:t>cipitation</w:t>
      </w:r>
      <w:r w:rsidR="002E07E2" w:rsidRPr="00CD4EA6">
        <w:rPr>
          <w:rFonts w:ascii="Arial" w:eastAsia="Times New Roman" w:hAnsi="Arial" w:cs="Arial"/>
          <w:kern w:val="16"/>
          <w:lang w:val="en-US"/>
        </w:rPr>
        <w:t xml:space="preserve"> at </w:t>
      </w:r>
      <w:r w:rsidR="002E07E2" w:rsidRPr="00CD4EA6">
        <w:rPr>
          <w:rFonts w:ascii="Arial" w:eastAsia="Calibri" w:hAnsi="Arial" w:cs="Arial"/>
          <w:lang w:val="en-US"/>
        </w:rPr>
        <w:t xml:space="preserve">Leiden University Medical Center, Netherlands. </w:t>
      </w:r>
      <w:r w:rsidR="00A6694B" w:rsidRPr="00CD4EA6">
        <w:rPr>
          <w:rFonts w:ascii="Arial" w:eastAsia="Calibri" w:hAnsi="Arial" w:cs="Arial"/>
          <w:lang w:val="en-US"/>
        </w:rPr>
        <w:t>Furthermore, no cross-reactivity with recombinant SATB2 was observed.</w:t>
      </w:r>
    </w:p>
    <w:p w14:paraId="785C3EF1" w14:textId="3B4CF71D" w:rsidR="005065A7" w:rsidRPr="00CD4EA6" w:rsidRDefault="002D577C" w:rsidP="005065A7">
      <w:pPr>
        <w:spacing w:after="0" w:line="480" w:lineRule="auto"/>
        <w:jc w:val="both"/>
        <w:rPr>
          <w:rFonts w:ascii="Arial" w:eastAsia="Times New Roman" w:hAnsi="Arial" w:cs="Arial"/>
          <w:kern w:val="16"/>
          <w:lang w:val="en-US"/>
        </w:rPr>
      </w:pPr>
      <w:r w:rsidRPr="00CD4EA6">
        <w:rPr>
          <w:rFonts w:ascii="Arial" w:eastAsia="Times New Roman" w:hAnsi="Arial" w:cs="Arial"/>
          <w:kern w:val="16"/>
          <w:lang w:val="en-US"/>
        </w:rPr>
        <w:tab/>
      </w:r>
      <w:r w:rsidR="005065A7" w:rsidRPr="00CD4EA6">
        <w:rPr>
          <w:rFonts w:ascii="Arial" w:eastAsia="Times New Roman" w:hAnsi="Arial" w:cs="Arial"/>
          <w:kern w:val="16"/>
          <w:lang w:val="en-US"/>
        </w:rPr>
        <w:t>Subsequently, all TMA sections were incubated with biotin labelled secondary antibodies (Vectastain</w:t>
      </w:r>
      <w:r w:rsidR="005065A7" w:rsidRPr="00CD4EA6">
        <w:rPr>
          <w:rFonts w:ascii="Arial" w:eastAsia="Times New Roman" w:hAnsi="Arial" w:cs="Arial"/>
          <w:kern w:val="16"/>
          <w:vertAlign w:val="superscript"/>
          <w:lang w:val="en-US"/>
        </w:rPr>
        <w:t xml:space="preserve">® </w:t>
      </w:r>
      <w:r w:rsidR="005065A7" w:rsidRPr="00CD4EA6">
        <w:rPr>
          <w:rFonts w:ascii="Arial" w:eastAsia="Times New Roman" w:hAnsi="Arial" w:cs="Arial"/>
          <w:kern w:val="16"/>
          <w:lang w:val="en-US"/>
        </w:rPr>
        <w:t>Elite ABC Kit Universal, VECTOR Laboratories Inc., Burlingame, Ca, USA). For SATB1, incubation was carried out with Mouse-anti VSV secondary antibody (kindly provided by R. Klooster, University of Leiden, Netherlands) followed by a biotinylated tertiary antibody (biotinylated goat-anti-mouse, VECTOR Laboratories Inc., Burlingame, Ca, USA, # BA-9200). A combination of avidin-peroxidase-complex-solution and diaminobencidine (</w:t>
      </w:r>
      <w:bookmarkStart w:id="1" w:name="_Hlk527542395"/>
      <w:r w:rsidR="005065A7" w:rsidRPr="00CD4EA6">
        <w:rPr>
          <w:rFonts w:ascii="Arial" w:eastAsia="Times New Roman" w:hAnsi="Arial" w:cs="Arial"/>
          <w:kern w:val="16"/>
          <w:lang w:val="en-US"/>
        </w:rPr>
        <w:t>DAB</w:t>
      </w:r>
      <w:bookmarkEnd w:id="1"/>
      <w:r w:rsidR="005065A7" w:rsidRPr="00CD4EA6">
        <w:rPr>
          <w:rFonts w:ascii="Arial" w:eastAsia="Times New Roman" w:hAnsi="Arial" w:cs="Arial"/>
          <w:kern w:val="16"/>
          <w:lang w:val="en-US"/>
        </w:rPr>
        <w:t xml:space="preserve">, Liquid DAB + Substrate Chromogen System, Dako Cytomation A/S, Glostrup, Denmark) or </w:t>
      </w:r>
      <w:bookmarkStart w:id="2" w:name="_Hlk527542448"/>
      <w:r w:rsidR="005065A7" w:rsidRPr="00CD4EA6">
        <w:rPr>
          <w:rFonts w:ascii="Arial" w:eastAsia="Times New Roman" w:hAnsi="Arial" w:cs="Arial"/>
          <w:kern w:val="16"/>
          <w:lang w:val="en-US"/>
        </w:rPr>
        <w:t>aminoethylcarbazole (AEC</w:t>
      </w:r>
      <w:bookmarkEnd w:id="2"/>
      <w:r w:rsidR="005065A7" w:rsidRPr="00CD4EA6">
        <w:rPr>
          <w:rFonts w:ascii="Arial" w:eastAsia="Times New Roman" w:hAnsi="Arial" w:cs="Arial"/>
          <w:kern w:val="16"/>
          <w:lang w:val="en-US"/>
        </w:rPr>
        <w:t>, AEC substrate chromogen Ready-to-Use, Dako Cytomation A/S, Glostrup, Denmark) was used as chromogen. All TMA-sections were counterstained with Hematoxylin and coverslipped with Aquatex</w:t>
      </w:r>
      <w:r w:rsidR="005065A7" w:rsidRPr="00CD4EA6">
        <w:rPr>
          <w:rFonts w:ascii="Arial" w:eastAsia="Times New Roman" w:hAnsi="Arial" w:cs="Arial"/>
          <w:kern w:val="16"/>
          <w:vertAlign w:val="superscript"/>
          <w:lang w:val="en-US"/>
        </w:rPr>
        <w:t>©</w:t>
      </w:r>
      <w:r w:rsidR="005065A7" w:rsidRPr="00CD4EA6">
        <w:rPr>
          <w:rFonts w:ascii="Arial" w:eastAsia="Times New Roman" w:hAnsi="Arial" w:cs="Arial"/>
          <w:kern w:val="16"/>
          <w:lang w:val="en-US"/>
        </w:rPr>
        <w:t xml:space="preserve"> (Merck KGaA, Darmstadt). For further investigation the slides were scanned and digitized with a 3D Panoramic DESK</w:t>
      </w:r>
      <w:r w:rsidR="005065A7" w:rsidRPr="00CD4EA6">
        <w:rPr>
          <w:rFonts w:ascii="Arial" w:eastAsia="Times New Roman" w:hAnsi="Arial" w:cs="Arial"/>
          <w:kern w:val="16"/>
          <w:vertAlign w:val="superscript"/>
          <w:lang w:val="en-US"/>
        </w:rPr>
        <w:t>®</w:t>
      </w:r>
      <w:r w:rsidR="005065A7" w:rsidRPr="00CD4EA6">
        <w:rPr>
          <w:rFonts w:ascii="Arial" w:eastAsia="Times New Roman" w:hAnsi="Arial" w:cs="Arial"/>
          <w:kern w:val="16"/>
          <w:lang w:val="en-US"/>
        </w:rPr>
        <w:t xml:space="preserve"> Scanner (3DHISTECH Ltd. Budapest, Hungary).</w:t>
      </w:r>
    </w:p>
    <w:p w14:paraId="37A38AA6" w14:textId="2B30BEE4" w:rsidR="00D21156" w:rsidRPr="00CD4EA6" w:rsidRDefault="002D577C" w:rsidP="005065A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CD4EA6">
        <w:rPr>
          <w:rFonts w:ascii="Arial" w:hAnsi="Arial" w:cs="Arial"/>
          <w:lang w:val="en-US"/>
        </w:rPr>
        <w:tab/>
      </w:r>
      <w:r w:rsidR="00D21156" w:rsidRPr="00CD4EA6">
        <w:rPr>
          <w:rFonts w:ascii="Arial" w:hAnsi="Arial" w:cs="Arial"/>
          <w:lang w:val="en-US"/>
        </w:rPr>
        <w:t xml:space="preserve">After </w:t>
      </w:r>
      <w:r w:rsidR="00D21156" w:rsidRPr="00CD4EA6">
        <w:rPr>
          <w:rFonts w:ascii="Arial" w:eastAsia="Times New Roman" w:hAnsi="Arial" w:cs="Arial"/>
          <w:kern w:val="16"/>
          <w:lang w:val="en-US"/>
        </w:rPr>
        <w:t>immunohistochemical staining, scoring was performed semiquantitatively by one independent senior pathologist (A.G.) according to the immunoreactive Score (IRS)</w:t>
      </w:r>
      <w:r w:rsidR="00D21156" w:rsidRPr="00CD4EA6">
        <w:rPr>
          <w:rFonts w:ascii="Arial" w:eastAsia="Times New Roman" w:hAnsi="Arial" w:cs="Arial"/>
          <w:kern w:val="16"/>
          <w:lang w:val="en-US"/>
        </w:rPr>
        <w:fldChar w:fldCharType="begin"/>
      </w:r>
      <w:r w:rsidR="00915C80" w:rsidRPr="00CD4EA6">
        <w:rPr>
          <w:rFonts w:ascii="Arial" w:eastAsia="Times New Roman" w:hAnsi="Arial" w:cs="Arial"/>
          <w:kern w:val="16"/>
          <w:lang w:val="en-US"/>
        </w:rPr>
        <w:instrText xml:space="preserve"> ADDIN ZOTERO_ITEM CSL_CITATION {"citationID":"Ruj7KZfT","properties":{"formattedCitation":"\\super 50\\nosupersub{}","plainCitation":"50","noteIndex":0},"citationItems":[{"id":"r9uvxnYk/024wohhM","uris":["http://zotero.org/users/1536905/items/EFU2J7Q6"],"uri":["http://zotero.org/users/1536905/items/EFU2J7Q6"],"itemData":{"id":112,"type":"article-journal","title":"[Recommendation for uniform definition of an immunoreactive score (IRS) for immunohistochemical estrogen receptor detection (ER-ICA) in breast cancer tissue].","journalAbbreviation":"Pathologe","author":[{"family":"Remmele","given":"W"},{"family":"Stegner","given":"HE"}],"issued":{"date-parts":[["1987"]]}}}],"schema":"https://github.com/citation-style-language/schema/raw/master/csl-citation.json"} </w:instrText>
      </w:r>
      <w:r w:rsidR="00D21156" w:rsidRPr="00CD4EA6">
        <w:rPr>
          <w:rFonts w:ascii="Arial" w:eastAsia="Times New Roman" w:hAnsi="Arial" w:cs="Arial"/>
          <w:kern w:val="16"/>
          <w:lang w:val="en-US"/>
        </w:rPr>
        <w:fldChar w:fldCharType="separate"/>
      </w:r>
      <w:r w:rsidR="00915C80" w:rsidRPr="00CD4EA6">
        <w:rPr>
          <w:rFonts w:ascii="Arial" w:hAnsi="Arial" w:cs="Arial"/>
          <w:szCs w:val="24"/>
          <w:vertAlign w:val="superscript"/>
        </w:rPr>
        <w:t>50</w:t>
      </w:r>
      <w:r w:rsidR="00D21156" w:rsidRPr="00CD4EA6">
        <w:rPr>
          <w:rFonts w:ascii="Arial" w:eastAsia="Times New Roman" w:hAnsi="Arial" w:cs="Arial"/>
          <w:kern w:val="16"/>
          <w:lang w:val="en-US"/>
        </w:rPr>
        <w:fldChar w:fldCharType="end"/>
      </w:r>
      <w:r w:rsidR="00D21156" w:rsidRPr="00CD4EA6">
        <w:rPr>
          <w:rFonts w:ascii="Arial" w:eastAsia="Times New Roman" w:hAnsi="Arial" w:cs="Arial"/>
          <w:kern w:val="16"/>
          <w:lang w:val="en-US"/>
        </w:rPr>
        <w:t xml:space="preserve"> (Figure S2-</w:t>
      </w:r>
      <w:r w:rsidR="00AB7D40" w:rsidRPr="00CD4EA6">
        <w:rPr>
          <w:rFonts w:ascii="Arial" w:eastAsia="Times New Roman" w:hAnsi="Arial" w:cs="Arial"/>
          <w:kern w:val="16"/>
          <w:lang w:val="en-US"/>
        </w:rPr>
        <w:t>5</w:t>
      </w:r>
      <w:r w:rsidR="00D21156" w:rsidRPr="00CD4EA6">
        <w:rPr>
          <w:rFonts w:ascii="Arial" w:eastAsia="Times New Roman" w:hAnsi="Arial" w:cs="Arial"/>
          <w:kern w:val="16"/>
          <w:lang w:val="en-US"/>
        </w:rPr>
        <w:t>). For VIME, an alternative score regarding the percentage of positive tumor cells was used: Score 0 - negative staining of all tumor cells; Score 1 - up to 20% stained tumor cells; Score 2 - 21 to 50 % stained tumor cells; Score 3 - more than 50% stained tumor cells (Figure S</w:t>
      </w:r>
      <w:r w:rsidR="00AB7D40" w:rsidRPr="00CD4EA6">
        <w:rPr>
          <w:rFonts w:ascii="Arial" w:eastAsia="Times New Roman" w:hAnsi="Arial" w:cs="Arial"/>
          <w:kern w:val="16"/>
          <w:lang w:val="en-US"/>
        </w:rPr>
        <w:t>6</w:t>
      </w:r>
      <w:r w:rsidR="00D21156" w:rsidRPr="00CD4EA6">
        <w:rPr>
          <w:rFonts w:ascii="Arial" w:eastAsia="Times New Roman" w:hAnsi="Arial" w:cs="Arial"/>
          <w:kern w:val="16"/>
          <w:lang w:val="en-US"/>
        </w:rPr>
        <w:t>). A high expression was defined as IRS 6-12 for SATB1 and TPM4, and as IRS 9-12 for SPIN1 and TBB5. For VIME a tissue core was assessed for high expression when showing a Score of 1 - 3.</w:t>
      </w:r>
    </w:p>
    <w:p w14:paraId="3ADE3350" w14:textId="57DA1F24" w:rsidR="00587550" w:rsidRPr="00CD4EA6" w:rsidRDefault="00587550" w:rsidP="00587550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</w:p>
    <w:p w14:paraId="65E99B77" w14:textId="3E943255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</w:p>
    <w:p w14:paraId="565BCD61" w14:textId="1AE2EEA9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</w:p>
    <w:p w14:paraId="0EEA9CDE" w14:textId="5990B176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1EF4DA47" wp14:editId="3659C058">
            <wp:extent cx="5759450" cy="325056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F8FF6" w14:textId="77777777" w:rsidR="00B20BDF" w:rsidRPr="00CD4EA6" w:rsidRDefault="00587550" w:rsidP="00587550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r w:rsidRPr="00CD4EA6">
        <w:rPr>
          <w:rFonts w:ascii="Arial" w:hAnsi="Arial" w:cs="Arial"/>
          <w:b/>
          <w:lang w:val="en-GB"/>
        </w:rPr>
        <w:t>Figure S1</w:t>
      </w:r>
    </w:p>
    <w:p w14:paraId="747DB3EE" w14:textId="4403C299" w:rsidR="00587550" w:rsidRPr="00CD4EA6" w:rsidRDefault="00587550" w:rsidP="00587550">
      <w:pPr>
        <w:spacing w:after="0" w:line="480" w:lineRule="auto"/>
        <w:jc w:val="both"/>
        <w:rPr>
          <w:rFonts w:ascii="Arial" w:hAnsi="Arial" w:cs="Arial"/>
          <w:lang w:val="en-GB"/>
        </w:rPr>
      </w:pPr>
      <w:r w:rsidRPr="00CD4EA6">
        <w:rPr>
          <w:rFonts w:ascii="Arial" w:hAnsi="Arial" w:cs="Arial"/>
          <w:lang w:val="en-GB"/>
        </w:rPr>
        <w:t>DNA profiles from four different patients of</w:t>
      </w:r>
      <w:r w:rsidR="007B6DD7" w:rsidRPr="00CD4EA6">
        <w:rPr>
          <w:rFonts w:ascii="Arial" w:hAnsi="Arial" w:cs="Arial"/>
          <w:lang w:val="en-GB"/>
        </w:rPr>
        <w:t xml:space="preserve"> </w:t>
      </w:r>
      <w:r w:rsidRPr="00CD4EA6">
        <w:rPr>
          <w:rFonts w:ascii="Arial" w:hAnsi="Arial" w:cs="Arial"/>
          <w:lang w:val="en-GB"/>
        </w:rPr>
        <w:t xml:space="preserve">the study collective. Type I </w:t>
      </w:r>
      <w:r w:rsidR="007B6DD7" w:rsidRPr="00CD4EA6">
        <w:rPr>
          <w:rFonts w:ascii="Arial" w:hAnsi="Arial" w:cs="Arial"/>
          <w:lang w:val="en-GB"/>
        </w:rPr>
        <w:t xml:space="preserve">histogram </w:t>
      </w:r>
      <w:r w:rsidRPr="00CD4EA6">
        <w:rPr>
          <w:rFonts w:ascii="Arial" w:hAnsi="Arial" w:cs="Arial"/>
          <w:lang w:val="en-GB"/>
        </w:rPr>
        <w:t>with DNA values in the range of 2c (diploid). Type II with well-defined peaks in the range 2c and 4c</w:t>
      </w:r>
      <w:r w:rsidR="00484FD1" w:rsidRPr="00CD4EA6">
        <w:rPr>
          <w:rFonts w:ascii="Arial" w:hAnsi="Arial" w:cs="Arial"/>
          <w:lang w:val="en-GB"/>
        </w:rPr>
        <w:t xml:space="preserve"> (tetraploid)</w:t>
      </w:r>
      <w:r w:rsidRPr="00CD4EA6">
        <w:rPr>
          <w:rFonts w:ascii="Arial" w:hAnsi="Arial" w:cs="Arial"/>
          <w:lang w:val="en-GB"/>
        </w:rPr>
        <w:t xml:space="preserve">. Type III with slightly </w:t>
      </w:r>
      <w:r w:rsidR="00B20BDF" w:rsidRPr="00CD4EA6">
        <w:rPr>
          <w:rFonts w:ascii="Arial" w:hAnsi="Arial" w:cs="Arial"/>
          <w:lang w:val="en-GB"/>
        </w:rPr>
        <w:t>displaced peaks near 2c and 4c and &lt;5% of the tumor cells exceeding 5c</w:t>
      </w:r>
      <w:r w:rsidR="00484FD1" w:rsidRPr="00CD4EA6">
        <w:rPr>
          <w:rFonts w:ascii="Arial" w:hAnsi="Arial" w:cs="Arial"/>
          <w:lang w:val="en-GB"/>
        </w:rPr>
        <w:t xml:space="preserve"> (diploid proliferative)</w:t>
      </w:r>
      <w:r w:rsidR="00B20BDF" w:rsidRPr="00CD4EA6">
        <w:rPr>
          <w:rFonts w:ascii="Arial" w:hAnsi="Arial" w:cs="Arial"/>
          <w:lang w:val="en-GB"/>
        </w:rPr>
        <w:t>. Type IV histograms with scattered DNA values and &gt;5% of</w:t>
      </w:r>
      <w:r w:rsidR="007B6DD7" w:rsidRPr="00CD4EA6">
        <w:rPr>
          <w:rFonts w:ascii="Arial" w:hAnsi="Arial" w:cs="Arial"/>
          <w:lang w:val="en-GB"/>
        </w:rPr>
        <w:t xml:space="preserve"> </w:t>
      </w:r>
      <w:r w:rsidR="00B20BDF" w:rsidRPr="00CD4EA6">
        <w:rPr>
          <w:rFonts w:ascii="Arial" w:hAnsi="Arial" w:cs="Arial"/>
          <w:lang w:val="en-GB"/>
        </w:rPr>
        <w:t>the tumor cells exceeding 5c (</w:t>
      </w:r>
      <w:r w:rsidR="000047FB" w:rsidRPr="00CD4EA6">
        <w:rPr>
          <w:rFonts w:ascii="Arial" w:hAnsi="Arial" w:cs="Arial"/>
          <w:lang w:val="en-GB"/>
        </w:rPr>
        <w:t>genomic</w:t>
      </w:r>
      <w:r w:rsidR="009B13BE" w:rsidRPr="00CD4EA6">
        <w:rPr>
          <w:rFonts w:ascii="Arial" w:hAnsi="Arial" w:cs="Arial"/>
          <w:lang w:val="en-GB"/>
        </w:rPr>
        <w:t>ally</w:t>
      </w:r>
      <w:r w:rsidR="000047FB" w:rsidRPr="00CD4EA6">
        <w:rPr>
          <w:rFonts w:ascii="Arial" w:hAnsi="Arial" w:cs="Arial"/>
          <w:lang w:val="en-GB"/>
        </w:rPr>
        <w:t xml:space="preserve"> </w:t>
      </w:r>
      <w:r w:rsidR="009C18BE" w:rsidRPr="00CD4EA6">
        <w:rPr>
          <w:rFonts w:ascii="Arial" w:hAnsi="Arial" w:cs="Arial"/>
          <w:lang w:val="en-GB"/>
        </w:rPr>
        <w:t>instable</w:t>
      </w:r>
      <w:r w:rsidR="00B20BDF" w:rsidRPr="00CD4EA6">
        <w:rPr>
          <w:rFonts w:ascii="Arial" w:hAnsi="Arial" w:cs="Arial"/>
          <w:lang w:val="en-GB"/>
        </w:rPr>
        <w:t>).</w:t>
      </w:r>
    </w:p>
    <w:p w14:paraId="2CC703DE" w14:textId="155B2C47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14603A92" wp14:editId="766A8B4B">
            <wp:extent cx="5759450" cy="398716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3CE35" w14:textId="338860B3" w:rsidR="00301E97" w:rsidRPr="00CD4EA6" w:rsidRDefault="00301E97" w:rsidP="00301E97">
      <w:pPr>
        <w:spacing w:after="0" w:line="480" w:lineRule="auto"/>
        <w:rPr>
          <w:rFonts w:ascii="Arial" w:hAnsi="Arial" w:cs="Arial"/>
          <w:b/>
          <w:lang w:val="en-US"/>
        </w:rPr>
      </w:pPr>
      <w:r w:rsidRPr="00CD4EA6">
        <w:rPr>
          <w:rFonts w:ascii="Arial" w:hAnsi="Arial" w:cs="Arial"/>
          <w:b/>
          <w:lang w:val="en-US"/>
        </w:rPr>
        <w:t>Figure S2</w:t>
      </w:r>
    </w:p>
    <w:p w14:paraId="164AD087" w14:textId="77777777" w:rsidR="00301E97" w:rsidRPr="00CD4EA6" w:rsidRDefault="00301E97" w:rsidP="00301E97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CD4EA6">
        <w:rPr>
          <w:rFonts w:ascii="Arial" w:hAnsi="Arial" w:cs="Arial"/>
          <w:lang w:val="en-US"/>
        </w:rPr>
        <w:t xml:space="preserve">Immunhistochemical staining of SATB1 and semiquantitative scoring according to IRS. </w:t>
      </w:r>
      <w:r w:rsidRPr="00CD4EA6">
        <w:rPr>
          <w:rFonts w:ascii="Arial" w:hAnsi="Arial" w:cs="Arial"/>
          <w:b/>
          <w:lang w:val="en-US"/>
        </w:rPr>
        <w:t>(A)</w:t>
      </w:r>
      <w:r w:rsidRPr="00CD4EA6">
        <w:rPr>
          <w:rFonts w:ascii="Arial" w:hAnsi="Arial" w:cs="Arial"/>
          <w:lang w:val="en-US"/>
        </w:rPr>
        <w:t xml:space="preserve"> Score 0 (IRS: 0-2). </w:t>
      </w:r>
      <w:r w:rsidRPr="00CD4EA6">
        <w:rPr>
          <w:rFonts w:ascii="Arial" w:hAnsi="Arial" w:cs="Arial"/>
          <w:b/>
          <w:lang w:val="en-US"/>
        </w:rPr>
        <w:t>(B)</w:t>
      </w:r>
      <w:r w:rsidRPr="00CD4EA6">
        <w:rPr>
          <w:rFonts w:ascii="Arial" w:hAnsi="Arial" w:cs="Arial"/>
          <w:lang w:val="en-US"/>
        </w:rPr>
        <w:t xml:space="preserve"> Score 1 (IRS: 3-4). </w:t>
      </w:r>
      <w:r w:rsidRPr="00CD4EA6">
        <w:rPr>
          <w:rFonts w:ascii="Arial" w:hAnsi="Arial" w:cs="Arial"/>
          <w:b/>
          <w:lang w:val="en-US"/>
        </w:rPr>
        <w:t>(C)</w:t>
      </w:r>
      <w:r w:rsidRPr="00CD4EA6">
        <w:rPr>
          <w:rFonts w:ascii="Arial" w:hAnsi="Arial" w:cs="Arial"/>
          <w:lang w:val="en-US"/>
        </w:rPr>
        <w:t xml:space="preserve"> Score 2 (IRS: 6-8). </w:t>
      </w:r>
      <w:r w:rsidRPr="00CD4EA6">
        <w:rPr>
          <w:rFonts w:ascii="Arial" w:hAnsi="Arial" w:cs="Arial"/>
          <w:b/>
          <w:lang w:val="en-US"/>
        </w:rPr>
        <w:t>(D)</w:t>
      </w:r>
      <w:r w:rsidRPr="00CD4EA6">
        <w:rPr>
          <w:rFonts w:ascii="Arial" w:hAnsi="Arial" w:cs="Arial"/>
          <w:lang w:val="en-US"/>
        </w:rPr>
        <w:t xml:space="preserve"> Score 3 (IRS: 9-12). Brown: Diaminobencidine stained cells. Blue: Counterstaining with Hematoxylin. Magnification 40x.</w:t>
      </w:r>
    </w:p>
    <w:p w14:paraId="3CBB58A0" w14:textId="77777777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lang w:val="en-GB"/>
        </w:rPr>
      </w:pPr>
    </w:p>
    <w:p w14:paraId="62168713" w14:textId="6A73CBF3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77641CBD" wp14:editId="56AF7B57">
            <wp:extent cx="5714490" cy="3954780"/>
            <wp:effectExtent l="0" t="0" r="635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57" cy="39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B25A" w14:textId="77777777" w:rsidR="00301E97" w:rsidRPr="00CD4EA6" w:rsidRDefault="00301E97" w:rsidP="00587550">
      <w:pPr>
        <w:spacing w:after="0" w:line="480" w:lineRule="auto"/>
        <w:jc w:val="both"/>
        <w:rPr>
          <w:rFonts w:ascii="Arial" w:hAnsi="Arial" w:cs="Arial"/>
          <w:lang w:val="en-GB"/>
        </w:rPr>
      </w:pPr>
    </w:p>
    <w:p w14:paraId="4605FF2B" w14:textId="4C3E41C8" w:rsidR="00B20BDF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</w:pPr>
      <w:r w:rsidRPr="00CD4EA6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Figure S</w:t>
      </w:r>
      <w:r w:rsidR="00301E97" w:rsidRPr="00CD4EA6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3</w:t>
      </w:r>
    </w:p>
    <w:p w14:paraId="05070FE8" w14:textId="6F1ADDE6" w:rsidR="00587550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</w:pPr>
      <w:r w:rsidRPr="00CD4EA6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Immunhistochemical staining of SPIN1 and semiquantitative scoring according to IRS. 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(</w:t>
      </w:r>
      <w:r w:rsidRPr="00CD4EA6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A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)</w:t>
      </w:r>
      <w:r w:rsidRPr="00CD4EA6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Score 0 (IRS: 0-2). 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(</w:t>
      </w:r>
      <w:r w:rsidRPr="00CD4EA6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B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)</w:t>
      </w:r>
      <w:r w:rsidRPr="00CD4EA6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Score 1 (IRS: 3-4). 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(</w:t>
      </w:r>
      <w:r w:rsidRPr="00CD4EA6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C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)</w:t>
      </w:r>
      <w:r w:rsidRPr="00CD4EA6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Score 2 (IRS: 6-8). 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(</w:t>
      </w:r>
      <w:r w:rsidRPr="00CD4EA6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D</w:t>
      </w:r>
      <w:r w:rsidRPr="00CD4EA6">
        <w:rPr>
          <w:rFonts w:ascii="Arial" w:hAnsi="Arial" w:cs="Arial"/>
          <w:b/>
          <w:color w:val="000000" w:themeColor="text1"/>
          <w:kern w:val="24"/>
          <w:sz w:val="22"/>
          <w:szCs w:val="22"/>
        </w:rPr>
        <w:t>)</w:t>
      </w:r>
      <w:r w:rsidRPr="00CD4EA6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Score 3 (IRS: 9-12). Brown: diaminobencidine stained cells. Blue: Counterstaining with Hematoxylin. Magnification 40x.</w:t>
      </w:r>
    </w:p>
    <w:p w14:paraId="0E3BA96D" w14:textId="6A3AD4EA" w:rsidR="00587550" w:rsidRPr="00CD4EA6" w:rsidRDefault="00587550" w:rsidP="00B20BDF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</w:p>
    <w:p w14:paraId="6E06F43D" w14:textId="6A325B82" w:rsidR="00301E97" w:rsidRPr="00CD4EA6" w:rsidRDefault="00301E97" w:rsidP="00B20BDF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5D40BC2D" wp14:editId="173B6312">
            <wp:extent cx="5759450" cy="395859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BE11A" w14:textId="77777777" w:rsidR="00B20BDF" w:rsidRPr="00CD4EA6" w:rsidRDefault="00B20BDF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</w:pPr>
    </w:p>
    <w:p w14:paraId="4663B70A" w14:textId="260BB492" w:rsidR="00B20BDF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</w:pP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Figure S</w:t>
      </w:r>
      <w:r w:rsidR="00301E97"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4</w:t>
      </w:r>
    </w:p>
    <w:p w14:paraId="7D7AE6D3" w14:textId="7A71D452" w:rsidR="00587550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</w:pP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Immunhistochemical staining of TPM4 and semiquantitative scoring according to IRS. 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A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Score 0 (IRS: 0-2). 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B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Score 1 (IRS: 3-4). 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C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Score 2 (IRS: 6-8). 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D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Score 3 (IRS: 9-12). Brown: diaminobencidine stained cells. Blue: Counterstaining with Hematoxylin. Magnification 40x.</w:t>
      </w:r>
    </w:p>
    <w:p w14:paraId="22144193" w14:textId="44C6B315" w:rsidR="00587550" w:rsidRPr="00CD4EA6" w:rsidRDefault="00301E97" w:rsidP="00B20BDF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6E78276E" wp14:editId="3798039E">
            <wp:extent cx="5759450" cy="3938905"/>
            <wp:effectExtent l="0" t="0" r="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E6940" w14:textId="2BE5CF9A" w:rsidR="00B20BDF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</w:pP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Figure S</w:t>
      </w:r>
      <w:r w:rsidR="00301E97"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5</w:t>
      </w:r>
    </w:p>
    <w:p w14:paraId="5E03511B" w14:textId="4C2CB108" w:rsidR="00587550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</w:pP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Immunhistochemical staining of TBB5 and semiquantitative scoring according to IRS.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A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0 (IRS: 0-2).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B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1 (IRS: 3-4).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C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2 (IRS: 6-8).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D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3 (IRS: 9-12). Red: aminoethylcarbazole stained cells. Blue: Counterstaining with Hematoxylin. Magnification 40x.</w:t>
      </w:r>
    </w:p>
    <w:p w14:paraId="42923348" w14:textId="6DB5554A" w:rsidR="00587550" w:rsidRPr="00CD4EA6" w:rsidRDefault="00301E97" w:rsidP="00B20BDF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14238A26" wp14:editId="1A3D1BB1">
            <wp:extent cx="5759450" cy="4070985"/>
            <wp:effectExtent l="0" t="0" r="0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ED1B8" w14:textId="28B7F5B9" w:rsidR="00B20BDF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</w:pP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Figure S</w:t>
      </w:r>
      <w:r w:rsidR="00301E97"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6</w:t>
      </w:r>
    </w:p>
    <w:p w14:paraId="3B957D30" w14:textId="12389E58" w:rsidR="00587550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/>
          <w:color w:val="000000"/>
          <w:kern w:val="24"/>
          <w:sz w:val="22"/>
          <w:szCs w:val="22"/>
          <w:lang w:val="en-GB"/>
        </w:rPr>
      </w:pP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Immunhistochemical staining of VIME and semiquantitative scoring according to percentage of positive stained tumor cells.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A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0 – negative staining of all tumor cells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B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1 – up to 20% stained tumor cells.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C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2 – 21 to 50% stained tumor cells. 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/>
          <w:b/>
          <w:bCs/>
          <w:color w:val="000000"/>
          <w:kern w:val="24"/>
          <w:sz w:val="22"/>
          <w:szCs w:val="22"/>
        </w:rPr>
        <w:t>D</w:t>
      </w:r>
      <w:r w:rsidRPr="00CD4EA6">
        <w:rPr>
          <w:rFonts w:ascii="Arial" w:eastAsia="Times New Roman" w:hAnsi="Arial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</w:rPr>
        <w:t xml:space="preserve"> Score 3 – more than 50% stained tumor cells. Red: aminoethylcarbazole stained cells. Blue: Counterstaining with Hematoxylin. Magnification 40x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  <w:lang w:val="en-GB"/>
        </w:rPr>
        <w:t>.</w:t>
      </w:r>
    </w:p>
    <w:p w14:paraId="211F52BD" w14:textId="49B5DC0D" w:rsidR="00301E97" w:rsidRPr="00CD4EA6" w:rsidRDefault="00301E97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/>
          <w:color w:val="000000"/>
          <w:kern w:val="24"/>
          <w:sz w:val="22"/>
          <w:szCs w:val="22"/>
          <w:lang w:val="en-GB"/>
        </w:rPr>
      </w:pPr>
    </w:p>
    <w:p w14:paraId="60C7ABD2" w14:textId="77777777" w:rsidR="00301E97" w:rsidRPr="00CD4EA6" w:rsidRDefault="00301E97" w:rsidP="00B20BDF">
      <w:pPr>
        <w:pStyle w:val="NormalWeb"/>
        <w:spacing w:before="0" w:beforeAutospacing="0" w:after="0" w:afterAutospacing="0" w:line="480" w:lineRule="auto"/>
        <w:jc w:val="both"/>
        <w:rPr>
          <w:lang w:val="en-GB"/>
        </w:rPr>
      </w:pPr>
    </w:p>
    <w:p w14:paraId="596F0D98" w14:textId="13EEA2E5" w:rsidR="00587550" w:rsidRPr="00CD4EA6" w:rsidRDefault="00301E97" w:rsidP="00B20BDF">
      <w:pPr>
        <w:spacing w:after="0" w:line="480" w:lineRule="auto"/>
        <w:jc w:val="both"/>
        <w:rPr>
          <w:rFonts w:ascii="Arial" w:hAnsi="Arial" w:cs="Arial"/>
          <w:b/>
          <w:lang w:val="en-GB"/>
        </w:rPr>
      </w:pPr>
      <w:r w:rsidRPr="00CD4EA6">
        <w:rPr>
          <w:noProof/>
          <w:lang w:val="en-IN" w:eastAsia="en-IN"/>
        </w:rPr>
        <w:drawing>
          <wp:inline distT="0" distB="0" distL="0" distR="0" wp14:anchorId="523A7D94" wp14:editId="0B31D803">
            <wp:extent cx="5759450" cy="232727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65D53" w14:textId="0F1FC25E" w:rsidR="00B20BDF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</w:pP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Figure S</w:t>
      </w:r>
      <w:r w:rsidR="00301E97"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7</w:t>
      </w:r>
    </w:p>
    <w:p w14:paraId="2B815D99" w14:textId="4CFF2FAB" w:rsidR="00587550" w:rsidRPr="00CD4EA6" w:rsidRDefault="00587550" w:rsidP="00B20BDF">
      <w:pPr>
        <w:pStyle w:val="NormalWeb"/>
        <w:spacing w:before="0" w:beforeAutospacing="0" w:after="0" w:afterAutospacing="0" w:line="480" w:lineRule="auto"/>
        <w:jc w:val="both"/>
      </w:pP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Overall Survival stratified by: 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A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</w:t>
      </w:r>
      <w:r w:rsidR="000047FB"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>Genomic stability</w:t>
      </w:r>
      <w:r w:rsidR="00E20169"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>, p = 0.006.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(</w:t>
      </w:r>
      <w:r w:rsidRPr="00CD4EA6">
        <w:rPr>
          <w:rFonts w:ascii="Arial" w:eastAsia="Times New Roman" w:hAnsi="Arial" w:cstheme="minorBidi"/>
          <w:b/>
          <w:bCs/>
          <w:color w:val="000000"/>
          <w:kern w:val="24"/>
          <w:sz w:val="22"/>
          <w:szCs w:val="22"/>
        </w:rPr>
        <w:t>B</w:t>
      </w:r>
      <w:r w:rsidRPr="00CD4EA6">
        <w:rPr>
          <w:rFonts w:ascii="Arial" w:eastAsia="Times New Roman" w:hAnsi="Arial" w:cstheme="minorBidi"/>
          <w:b/>
          <w:color w:val="000000"/>
          <w:kern w:val="24"/>
          <w:sz w:val="22"/>
          <w:szCs w:val="22"/>
        </w:rPr>
        <w:t>)</w:t>
      </w:r>
      <w:r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 xml:space="preserve"> SPIN1 positiv</w:t>
      </w:r>
      <w:r w:rsidR="00F64EF0"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>ity</w:t>
      </w:r>
      <w:r w:rsidR="00E20169" w:rsidRPr="00CD4EA6">
        <w:rPr>
          <w:rFonts w:ascii="Arial" w:eastAsia="Times New Roman" w:hAnsi="Arial" w:cstheme="minorBidi"/>
          <w:color w:val="000000"/>
          <w:kern w:val="24"/>
          <w:sz w:val="22"/>
          <w:szCs w:val="22"/>
        </w:rPr>
        <w:t>, p = 0.048</w:t>
      </w:r>
      <w:r w:rsidRPr="00CD4EA6">
        <w:rPr>
          <w:rFonts w:ascii="Arial" w:eastAsia="Times New Roman" w:hAnsi="Arial"/>
          <w:color w:val="000000"/>
          <w:kern w:val="24"/>
          <w:sz w:val="22"/>
          <w:szCs w:val="22"/>
          <w:lang w:val="en-GB"/>
        </w:rPr>
        <w:t>.</w:t>
      </w:r>
      <w:r w:rsidR="00E8517F" w:rsidRPr="00CD4EA6">
        <w:rPr>
          <w:rFonts w:ascii="Arial" w:eastAsia="Times New Roman" w:hAnsi="Arial"/>
          <w:color w:val="000000"/>
          <w:kern w:val="24"/>
          <w:sz w:val="22"/>
          <w:szCs w:val="22"/>
          <w:lang w:val="en-GB"/>
        </w:rPr>
        <w:t xml:space="preserve"> P-values for the log-rank test.</w:t>
      </w:r>
    </w:p>
    <w:p w14:paraId="3BFEE588" w14:textId="77777777" w:rsidR="001323FD" w:rsidRPr="00CD4EA6" w:rsidRDefault="001323FD" w:rsidP="00E9018A">
      <w:pPr>
        <w:spacing w:after="0"/>
        <w:jc w:val="both"/>
        <w:rPr>
          <w:rFonts w:ascii="Arial" w:hAnsi="Arial" w:cs="Arial"/>
          <w:b/>
          <w:lang w:val="en-US"/>
        </w:rPr>
      </w:pPr>
    </w:p>
    <w:p w14:paraId="096B4695" w14:textId="77777777" w:rsidR="001323FD" w:rsidRPr="00CD4EA6" w:rsidRDefault="001323FD" w:rsidP="00E9018A">
      <w:pPr>
        <w:spacing w:after="0"/>
        <w:jc w:val="both"/>
        <w:rPr>
          <w:rFonts w:ascii="Arial" w:hAnsi="Arial" w:cs="Arial"/>
          <w:b/>
          <w:lang w:val="en-US"/>
        </w:rPr>
      </w:pPr>
    </w:p>
    <w:p w14:paraId="31896EBF" w14:textId="3CB8679A" w:rsidR="001323FD" w:rsidRPr="00CD4EA6" w:rsidRDefault="001323FD" w:rsidP="00E9018A">
      <w:pPr>
        <w:spacing w:after="0"/>
        <w:jc w:val="both"/>
        <w:rPr>
          <w:rFonts w:ascii="Arial" w:hAnsi="Arial" w:cs="Arial"/>
          <w:b/>
          <w:lang w:val="en-US"/>
        </w:rPr>
        <w:sectPr w:rsidR="001323FD" w:rsidRPr="00CD4EA6" w:rsidSect="00D316F0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tbl>
      <w:tblPr>
        <w:tblStyle w:val="Tabellenraster131"/>
        <w:tblpPr w:leftFromText="141" w:rightFromText="141" w:vertAnchor="page" w:horzAnchor="margin" w:tblpX="-709" w:tblpY="2293"/>
        <w:tblW w:w="10490" w:type="dxa"/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1134"/>
        <w:gridCol w:w="1274"/>
        <w:gridCol w:w="1561"/>
        <w:gridCol w:w="1134"/>
      </w:tblGrid>
      <w:tr w:rsidR="00B45EE7" w:rsidRPr="00CD4EA6" w14:paraId="5995F861" w14:textId="77777777" w:rsidTr="00B45EE7">
        <w:trPr>
          <w:trHeight w:val="383"/>
        </w:trPr>
        <w:tc>
          <w:tcPr>
            <w:tcW w:w="3402" w:type="dxa"/>
            <w:vMerge w:val="restart"/>
            <w:tcBorders>
              <w:top w:val="single" w:sz="18" w:space="0" w:color="auto"/>
              <w:left w:val="nil"/>
            </w:tcBorders>
          </w:tcPr>
          <w:p w14:paraId="0BDE8CE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</w:tcBorders>
          </w:tcPr>
          <w:p w14:paraId="73D0AA3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  <w:lang w:val="en-US"/>
              </w:rPr>
              <w:t>Mean time to death [years] (95% CI)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1F35E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log-rank</w:t>
            </w:r>
          </w:p>
        </w:tc>
        <w:tc>
          <w:tcPr>
            <w:tcW w:w="3969" w:type="dxa"/>
            <w:gridSpan w:val="3"/>
            <w:tcBorders>
              <w:top w:val="single" w:sz="18" w:space="0" w:color="auto"/>
              <w:left w:val="single" w:sz="12" w:space="0" w:color="auto"/>
              <w:right w:val="nil"/>
            </w:tcBorders>
          </w:tcPr>
          <w:p w14:paraId="7363E004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Age adjusted Cox Regression Analysis</w:t>
            </w:r>
          </w:p>
        </w:tc>
      </w:tr>
      <w:tr w:rsidR="00B45EE7" w:rsidRPr="00CD4EA6" w14:paraId="316A64AD" w14:textId="77777777" w:rsidTr="00B45EE7">
        <w:trPr>
          <w:trHeight w:val="382"/>
        </w:trPr>
        <w:tc>
          <w:tcPr>
            <w:tcW w:w="3402" w:type="dxa"/>
            <w:vMerge/>
            <w:tcBorders>
              <w:left w:val="nil"/>
              <w:bottom w:val="single" w:sz="18" w:space="0" w:color="auto"/>
            </w:tcBorders>
          </w:tcPr>
          <w:p w14:paraId="6966960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vMerge/>
            <w:tcBorders>
              <w:bottom w:val="single" w:sz="18" w:space="0" w:color="auto"/>
            </w:tcBorders>
          </w:tcPr>
          <w:p w14:paraId="1F97516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0B19DC3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p-Value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8" w:space="0" w:color="auto"/>
              <w:right w:val="nil"/>
            </w:tcBorders>
          </w:tcPr>
          <w:p w14:paraId="7A220BF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Hazard Ratio</w:t>
            </w:r>
          </w:p>
        </w:tc>
        <w:tc>
          <w:tcPr>
            <w:tcW w:w="1561" w:type="dxa"/>
            <w:tcBorders>
              <w:bottom w:val="single" w:sz="18" w:space="0" w:color="auto"/>
              <w:right w:val="nil"/>
            </w:tcBorders>
          </w:tcPr>
          <w:p w14:paraId="0732B2D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bottom w:val="single" w:sz="18" w:space="0" w:color="auto"/>
              <w:right w:val="nil"/>
            </w:tcBorders>
          </w:tcPr>
          <w:p w14:paraId="3F04ACE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p-Value</w:t>
            </w:r>
          </w:p>
        </w:tc>
      </w:tr>
      <w:tr w:rsidR="00B45EE7" w:rsidRPr="00CD4EA6" w14:paraId="27C642B2" w14:textId="77777777" w:rsidTr="00B45EE7">
        <w:tc>
          <w:tcPr>
            <w:tcW w:w="3402" w:type="dxa"/>
            <w:tcBorders>
              <w:left w:val="nil"/>
            </w:tcBorders>
          </w:tcPr>
          <w:p w14:paraId="59A5084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Tumor stage</w:t>
            </w:r>
          </w:p>
          <w:p w14:paraId="2B3A836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≤ T2b</w:t>
            </w:r>
          </w:p>
          <w:p w14:paraId="7ED0AFF4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T3-T4</w:t>
            </w:r>
          </w:p>
        </w:tc>
        <w:tc>
          <w:tcPr>
            <w:tcW w:w="1985" w:type="dxa"/>
          </w:tcPr>
          <w:p w14:paraId="26FB2F2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D4CF3C4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16.9 (</w:t>
            </w:r>
            <w:bookmarkStart w:id="3" w:name="_Hlk8138531"/>
            <w:r w:rsidRPr="00CD4EA6">
              <w:rPr>
                <w:rFonts w:ascii="Arial" w:eastAsia="Calibri" w:hAnsi="Arial" w:cs="Arial"/>
                <w:sz w:val="20"/>
                <w:szCs w:val="20"/>
              </w:rPr>
              <w:t>13.7 to 20.2</w:t>
            </w:r>
            <w:bookmarkEnd w:id="3"/>
            <w:r w:rsidRPr="00CD4EA6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  <w:p w14:paraId="5C305EB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13.4 (11.1 to 15.7)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6ADD13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40232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0.180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5891E99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BAE57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1.923</w:t>
            </w:r>
          </w:p>
        </w:tc>
        <w:tc>
          <w:tcPr>
            <w:tcW w:w="1561" w:type="dxa"/>
            <w:tcBorders>
              <w:right w:val="nil"/>
            </w:tcBorders>
          </w:tcPr>
          <w:p w14:paraId="4D0245D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B3D74A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0.822 to 4.496</w:t>
            </w:r>
          </w:p>
        </w:tc>
        <w:tc>
          <w:tcPr>
            <w:tcW w:w="1134" w:type="dxa"/>
            <w:tcBorders>
              <w:top w:val="single" w:sz="18" w:space="0" w:color="auto"/>
              <w:right w:val="nil"/>
            </w:tcBorders>
          </w:tcPr>
          <w:p w14:paraId="2FB15C6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32893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0.131</w:t>
            </w:r>
          </w:p>
        </w:tc>
      </w:tr>
      <w:tr w:rsidR="00B45EE7" w:rsidRPr="00CD4EA6" w14:paraId="20F0C0D8" w14:textId="77777777" w:rsidTr="00B45EE7">
        <w:trPr>
          <w:trHeight w:val="70"/>
        </w:trPr>
        <w:tc>
          <w:tcPr>
            <w:tcW w:w="3402" w:type="dxa"/>
            <w:tcBorders>
              <w:left w:val="nil"/>
            </w:tcBorders>
          </w:tcPr>
          <w:p w14:paraId="7BF95FF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PSA</w:t>
            </w:r>
          </w:p>
          <w:p w14:paraId="28E41EA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≤ 10</w:t>
            </w:r>
          </w:p>
          <w:p w14:paraId="52792A9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&gt; 10</w:t>
            </w:r>
          </w:p>
        </w:tc>
        <w:tc>
          <w:tcPr>
            <w:tcW w:w="1985" w:type="dxa"/>
          </w:tcPr>
          <w:p w14:paraId="0D648E1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AD00D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15.9 (12.7 to 19)</w:t>
            </w:r>
          </w:p>
          <w:p w14:paraId="39073B0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13.5 (10.7 to 16.3)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570A1C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FC5E5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0.449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68BCD94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FE9055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1.819</w:t>
            </w:r>
          </w:p>
        </w:tc>
        <w:tc>
          <w:tcPr>
            <w:tcW w:w="1561" w:type="dxa"/>
            <w:tcBorders>
              <w:right w:val="nil"/>
            </w:tcBorders>
          </w:tcPr>
          <w:p w14:paraId="197E8E1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1D8D4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0.735 to 4.499</w:t>
            </w:r>
          </w:p>
        </w:tc>
        <w:tc>
          <w:tcPr>
            <w:tcW w:w="1134" w:type="dxa"/>
            <w:tcBorders>
              <w:right w:val="nil"/>
            </w:tcBorders>
          </w:tcPr>
          <w:p w14:paraId="33C29C5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F56A0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0.195</w:t>
            </w:r>
          </w:p>
        </w:tc>
      </w:tr>
      <w:tr w:rsidR="00B45EE7" w:rsidRPr="00CD4EA6" w14:paraId="3DCF2298" w14:textId="77777777" w:rsidTr="00B45EE7">
        <w:tc>
          <w:tcPr>
            <w:tcW w:w="3402" w:type="dxa"/>
            <w:tcBorders>
              <w:left w:val="nil"/>
            </w:tcBorders>
          </w:tcPr>
          <w:p w14:paraId="4F22EA7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GS</w:t>
            </w:r>
          </w:p>
          <w:p w14:paraId="0988F84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4-6</w:t>
            </w:r>
          </w:p>
          <w:p w14:paraId="66AA5020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≥ 7</w:t>
            </w:r>
          </w:p>
        </w:tc>
        <w:tc>
          <w:tcPr>
            <w:tcW w:w="1985" w:type="dxa"/>
          </w:tcPr>
          <w:p w14:paraId="2ED0D7A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CED2CE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17.9 (15.9 to 20)</w:t>
            </w:r>
          </w:p>
          <w:p w14:paraId="51E1807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11.0 (8.5 to 13.6)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3099B6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29AF61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0.002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7DE0858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96EB74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3.394</w:t>
            </w:r>
          </w:p>
        </w:tc>
        <w:tc>
          <w:tcPr>
            <w:tcW w:w="1561" w:type="dxa"/>
            <w:tcBorders>
              <w:right w:val="nil"/>
            </w:tcBorders>
          </w:tcPr>
          <w:p w14:paraId="177ACE2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D447FF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1.615 to 7.132</w:t>
            </w:r>
          </w:p>
        </w:tc>
        <w:tc>
          <w:tcPr>
            <w:tcW w:w="1134" w:type="dxa"/>
            <w:tcBorders>
              <w:right w:val="nil"/>
            </w:tcBorders>
          </w:tcPr>
          <w:p w14:paraId="27ED3A7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2E888A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0.001</w:t>
            </w:r>
          </w:p>
        </w:tc>
      </w:tr>
      <w:tr w:rsidR="00B45EE7" w:rsidRPr="00CD4EA6" w14:paraId="4770CBF1" w14:textId="77777777" w:rsidTr="00B45EE7">
        <w:tc>
          <w:tcPr>
            <w:tcW w:w="3402" w:type="dxa"/>
            <w:tcBorders>
              <w:left w:val="nil"/>
            </w:tcBorders>
          </w:tcPr>
          <w:p w14:paraId="4E6EF65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Ploidy status</w:t>
            </w:r>
          </w:p>
          <w:p w14:paraId="11ED284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Genomic stability,</w:t>
            </w:r>
          </w:p>
          <w:p w14:paraId="522EAF8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Genomic instability,</w:t>
            </w:r>
          </w:p>
        </w:tc>
        <w:tc>
          <w:tcPr>
            <w:tcW w:w="1985" w:type="dxa"/>
          </w:tcPr>
          <w:p w14:paraId="64111E1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7FBD4EB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16.5 (14.3 to 18.8)</w:t>
            </w:r>
          </w:p>
          <w:p w14:paraId="1C80EEC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10.8 (7.6 to 14)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955730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E2BB85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0.006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6E4C2D7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B79D15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2.672</w:t>
            </w:r>
          </w:p>
        </w:tc>
        <w:tc>
          <w:tcPr>
            <w:tcW w:w="1561" w:type="dxa"/>
            <w:tcBorders>
              <w:right w:val="nil"/>
            </w:tcBorders>
          </w:tcPr>
          <w:p w14:paraId="0B6050E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90D134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1.294 to 5.515</w:t>
            </w:r>
          </w:p>
        </w:tc>
        <w:tc>
          <w:tcPr>
            <w:tcW w:w="1134" w:type="dxa"/>
            <w:tcBorders>
              <w:right w:val="nil"/>
            </w:tcBorders>
          </w:tcPr>
          <w:p w14:paraId="55A93E5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8C98E9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0.008</w:t>
            </w:r>
          </w:p>
        </w:tc>
      </w:tr>
      <w:tr w:rsidR="00B45EE7" w:rsidRPr="00CD4EA6" w14:paraId="1C240759" w14:textId="77777777" w:rsidTr="00B45EE7">
        <w:tc>
          <w:tcPr>
            <w:tcW w:w="3402" w:type="dxa"/>
            <w:tcBorders>
              <w:left w:val="nil"/>
            </w:tcBorders>
          </w:tcPr>
          <w:p w14:paraId="4D4CAB2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SATB1</w:t>
            </w:r>
          </w:p>
          <w:p w14:paraId="114EBF6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positive</w:t>
            </w:r>
          </w:p>
          <w:p w14:paraId="151189C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negative</w:t>
            </w:r>
          </w:p>
        </w:tc>
        <w:tc>
          <w:tcPr>
            <w:tcW w:w="1985" w:type="dxa"/>
          </w:tcPr>
          <w:p w14:paraId="5CDFED2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59940F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15.5 (13.3 to 17.6)</w:t>
            </w:r>
          </w:p>
          <w:p w14:paraId="335F0B9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10.3 (6.5 to 14)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604D80D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854AD2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0.020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038333A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B60F43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0.413</w:t>
            </w:r>
          </w:p>
        </w:tc>
        <w:tc>
          <w:tcPr>
            <w:tcW w:w="1561" w:type="dxa"/>
            <w:tcBorders>
              <w:right w:val="nil"/>
            </w:tcBorders>
          </w:tcPr>
          <w:p w14:paraId="3184DEE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169363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0.192 to 0.886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4C51A91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3D060F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0.023</w:t>
            </w:r>
          </w:p>
        </w:tc>
      </w:tr>
      <w:tr w:rsidR="00B45EE7" w:rsidRPr="00CD4EA6" w14:paraId="37328D6C" w14:textId="77777777" w:rsidTr="00B45EE7">
        <w:trPr>
          <w:trHeight w:val="95"/>
        </w:trPr>
        <w:tc>
          <w:tcPr>
            <w:tcW w:w="3402" w:type="dxa"/>
            <w:tcBorders>
              <w:left w:val="nil"/>
            </w:tcBorders>
          </w:tcPr>
          <w:p w14:paraId="2D3A964F" w14:textId="77777777" w:rsidR="00B45EE7" w:rsidRPr="00CD4EA6" w:rsidRDefault="00B45EE7" w:rsidP="00B45EE7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SATB1 (number of tissue cores)</w:t>
            </w:r>
          </w:p>
          <w:p w14:paraId="3BA51849" w14:textId="77777777" w:rsidR="00B45EE7" w:rsidRPr="00CD4EA6" w:rsidRDefault="00B45EE7" w:rsidP="00B45EE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Expression in ≥2 cores high</w:t>
            </w:r>
          </w:p>
          <w:p w14:paraId="47A17C3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Expression in≤1 core high</w:t>
            </w:r>
          </w:p>
        </w:tc>
        <w:tc>
          <w:tcPr>
            <w:tcW w:w="1985" w:type="dxa"/>
          </w:tcPr>
          <w:p w14:paraId="19271FB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0CF7E814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16.3 (14.1 to 18.5)</w:t>
            </w:r>
          </w:p>
          <w:p w14:paraId="1D8EF6C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11.1 </w:t>
            </w:r>
            <w:bookmarkStart w:id="4" w:name="_Hlk8139113"/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(8.0 to 14.2)</w:t>
            </w:r>
            <w:bookmarkEnd w:id="4"/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109DC38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F63C5D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0.018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01A9F69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064DF4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0.479</w:t>
            </w:r>
          </w:p>
        </w:tc>
        <w:tc>
          <w:tcPr>
            <w:tcW w:w="1561" w:type="dxa"/>
            <w:tcBorders>
              <w:right w:val="nil"/>
            </w:tcBorders>
          </w:tcPr>
          <w:p w14:paraId="68D5C4D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BEE283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0.238 to 0.965</w:t>
            </w:r>
          </w:p>
        </w:tc>
        <w:tc>
          <w:tcPr>
            <w:tcW w:w="1134" w:type="dxa"/>
            <w:tcBorders>
              <w:right w:val="nil"/>
            </w:tcBorders>
          </w:tcPr>
          <w:p w14:paraId="2A8A200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FFB4FD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0.039</w:t>
            </w:r>
          </w:p>
        </w:tc>
      </w:tr>
      <w:tr w:rsidR="00B45EE7" w:rsidRPr="00CD4EA6" w14:paraId="623C7D60" w14:textId="77777777" w:rsidTr="00B45EE7">
        <w:tc>
          <w:tcPr>
            <w:tcW w:w="3402" w:type="dxa"/>
            <w:tcBorders>
              <w:left w:val="nil"/>
            </w:tcBorders>
          </w:tcPr>
          <w:p w14:paraId="2968496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GS, ploidy status</w:t>
            </w:r>
          </w:p>
          <w:p w14:paraId="20D557E7" w14:textId="437083C4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GS ≤6 and 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stable</w:t>
            </w:r>
          </w:p>
          <w:p w14:paraId="3399FE14" w14:textId="32DCD8FE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GS ≥7 or 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9C18B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instable</w:t>
            </w:r>
          </w:p>
        </w:tc>
        <w:tc>
          <w:tcPr>
            <w:tcW w:w="1985" w:type="dxa"/>
          </w:tcPr>
          <w:p w14:paraId="35B511D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E7A575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18.5 (16.5 to 20.5)</w:t>
            </w:r>
          </w:p>
          <w:p w14:paraId="3676B16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11.6 (9.0 to 14.2)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2817B3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C61A86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0.003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0987529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7773D8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3.356</w:t>
            </w:r>
          </w:p>
        </w:tc>
        <w:tc>
          <w:tcPr>
            <w:tcW w:w="1561" w:type="dxa"/>
            <w:tcBorders>
              <w:right w:val="nil"/>
            </w:tcBorders>
          </w:tcPr>
          <w:p w14:paraId="2480F88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2CB36A0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1.520 to 7.413</w:t>
            </w:r>
          </w:p>
        </w:tc>
        <w:tc>
          <w:tcPr>
            <w:tcW w:w="1134" w:type="dxa"/>
            <w:tcBorders>
              <w:right w:val="nil"/>
            </w:tcBorders>
          </w:tcPr>
          <w:p w14:paraId="48FB5AF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DDD6A1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0.003</w:t>
            </w:r>
          </w:p>
        </w:tc>
      </w:tr>
      <w:tr w:rsidR="00B45EE7" w:rsidRPr="00CD4EA6" w14:paraId="158743E4" w14:textId="77777777" w:rsidTr="00B45EE7">
        <w:tc>
          <w:tcPr>
            <w:tcW w:w="3402" w:type="dxa"/>
            <w:tcBorders>
              <w:left w:val="nil"/>
            </w:tcBorders>
          </w:tcPr>
          <w:p w14:paraId="45A2B78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GS, SATB1</w:t>
            </w:r>
          </w:p>
          <w:p w14:paraId="0E685060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GS ≤6 and SATB1 positive</w:t>
            </w:r>
          </w:p>
          <w:p w14:paraId="52E0368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GS ≥7 or SATB1 negative</w:t>
            </w:r>
          </w:p>
        </w:tc>
        <w:tc>
          <w:tcPr>
            <w:tcW w:w="1985" w:type="dxa"/>
          </w:tcPr>
          <w:p w14:paraId="7E99006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EB273E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18.3 (16.1 to 20.5)</w:t>
            </w:r>
          </w:p>
          <w:p w14:paraId="2F15F73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11.3 (8.9 to 13.7)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8BA6BB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2C46C0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0.001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647058A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506B76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3.785</w:t>
            </w:r>
          </w:p>
        </w:tc>
        <w:tc>
          <w:tcPr>
            <w:tcW w:w="1561" w:type="dxa"/>
            <w:tcBorders>
              <w:right w:val="nil"/>
            </w:tcBorders>
          </w:tcPr>
          <w:p w14:paraId="2DB7642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F8A15A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1.726 to 8.303</w:t>
            </w:r>
          </w:p>
        </w:tc>
        <w:tc>
          <w:tcPr>
            <w:tcW w:w="1134" w:type="dxa"/>
            <w:tcBorders>
              <w:right w:val="nil"/>
            </w:tcBorders>
          </w:tcPr>
          <w:p w14:paraId="1F6E115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C9D31A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0.001</w:t>
            </w:r>
          </w:p>
        </w:tc>
      </w:tr>
      <w:tr w:rsidR="00B45EE7" w:rsidRPr="00CD4EA6" w14:paraId="75438393" w14:textId="77777777" w:rsidTr="00B45EE7">
        <w:tc>
          <w:tcPr>
            <w:tcW w:w="3402" w:type="dxa"/>
            <w:tcBorders>
              <w:left w:val="nil"/>
            </w:tcBorders>
          </w:tcPr>
          <w:p w14:paraId="0144425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GS, SATB1 (number of tissue cores)</w:t>
            </w:r>
          </w:p>
          <w:p w14:paraId="32B1EC8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GS ≤6 and SATB1 in ≥2 cores high</w:t>
            </w:r>
          </w:p>
          <w:p w14:paraId="6ECAF61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GS ≥7 or SATB1 in ≤1 core high</w:t>
            </w:r>
          </w:p>
        </w:tc>
        <w:tc>
          <w:tcPr>
            <w:tcW w:w="1985" w:type="dxa"/>
          </w:tcPr>
          <w:p w14:paraId="0978B799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580E658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7B4FC4E7" w14:textId="7728172F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18.2 (15.7 to 20.8)</w:t>
            </w:r>
          </w:p>
          <w:p w14:paraId="3E41D3C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12.1 (9.8 to 14.4)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DE1029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4A0464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E65FE29" w14:textId="3C2CFADA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0.005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1714E06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B23896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9D463AE" w14:textId="16F2C95C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3.092</w:t>
            </w:r>
          </w:p>
        </w:tc>
        <w:tc>
          <w:tcPr>
            <w:tcW w:w="1561" w:type="dxa"/>
            <w:tcBorders>
              <w:right w:val="nil"/>
            </w:tcBorders>
          </w:tcPr>
          <w:p w14:paraId="37B7B5AD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4B5DA2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400DC8E" w14:textId="1DC1891D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1.329 to 7.194</w:t>
            </w:r>
          </w:p>
          <w:p w14:paraId="401A2554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1B055E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265AA1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616D704" w14:textId="14DBE179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0.009</w:t>
            </w:r>
          </w:p>
        </w:tc>
      </w:tr>
      <w:tr w:rsidR="00B45EE7" w:rsidRPr="00CD4EA6" w14:paraId="59BF85B3" w14:textId="77777777" w:rsidTr="00B45EE7">
        <w:tc>
          <w:tcPr>
            <w:tcW w:w="3402" w:type="dxa"/>
            <w:tcBorders>
              <w:left w:val="nil"/>
            </w:tcBorders>
          </w:tcPr>
          <w:p w14:paraId="3A1B976A" w14:textId="07A91DD6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Ploidy status, SATB1</w:t>
            </w:r>
          </w:p>
          <w:p w14:paraId="4F8C7E78" w14:textId="7EA4080B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stab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le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and SATB1 positive</w:t>
            </w:r>
          </w:p>
          <w:p w14:paraId="5BDCADF0" w14:textId="2E1E44BA" w:rsidR="00B45EE7" w:rsidRPr="00CD4EA6" w:rsidRDefault="00B45EE7" w:rsidP="00B45EE7">
            <w:pPr>
              <w:tabs>
                <w:tab w:val="left" w:pos="324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9C18B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instable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or SATB1 negative</w:t>
            </w:r>
          </w:p>
        </w:tc>
        <w:tc>
          <w:tcPr>
            <w:tcW w:w="1985" w:type="dxa"/>
          </w:tcPr>
          <w:p w14:paraId="0F6C2E7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3C09C30E" w14:textId="213BD522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17.1 (14.8 to 19.3)</w:t>
            </w:r>
          </w:p>
          <w:p w14:paraId="5F155CE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D8CB505" w14:textId="443FCFD8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11.2 (8.3 to 14.1)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400B5E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A095ED9" w14:textId="519AA033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0.005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5FBC2C5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488A976" w14:textId="1A4EE53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2.761</w:t>
            </w:r>
          </w:p>
        </w:tc>
        <w:tc>
          <w:tcPr>
            <w:tcW w:w="1561" w:type="dxa"/>
            <w:tcBorders>
              <w:right w:val="nil"/>
            </w:tcBorders>
          </w:tcPr>
          <w:p w14:paraId="4095954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9D9ECCF" w14:textId="50FE231B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1.335 to 5.710</w:t>
            </w:r>
          </w:p>
          <w:p w14:paraId="585E8BFA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6D88FE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E2CDA4D" w14:textId="458DAAA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0.006</w:t>
            </w:r>
          </w:p>
        </w:tc>
      </w:tr>
      <w:tr w:rsidR="00B45EE7" w:rsidRPr="00CD4EA6" w14:paraId="3D2D7D30" w14:textId="77777777" w:rsidTr="00B45EE7">
        <w:tc>
          <w:tcPr>
            <w:tcW w:w="3402" w:type="dxa"/>
            <w:tcBorders>
              <w:left w:val="nil"/>
            </w:tcBorders>
          </w:tcPr>
          <w:p w14:paraId="23791A0B" w14:textId="7DEA5EEC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Genomic stability, SATB1 (number of tissue cores)</w:t>
            </w:r>
          </w:p>
          <w:p w14:paraId="77E8CEB1" w14:textId="6707C36A" w:rsidR="00B45EE7" w:rsidRPr="00CD4EA6" w:rsidRDefault="00B45EE7" w:rsidP="00B45EE7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stable and SATB1 high in ≥2 cores</w:t>
            </w:r>
          </w:p>
          <w:p w14:paraId="394E4D12" w14:textId="4AFC8D5B" w:rsidR="00B45EE7" w:rsidRPr="00CD4EA6" w:rsidRDefault="00B45EE7" w:rsidP="00B45EE7">
            <w:pPr>
              <w:tabs>
                <w:tab w:val="left" w:pos="192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9C18B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instable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or SATB1 high in ≤1 core</w:t>
            </w:r>
          </w:p>
        </w:tc>
        <w:tc>
          <w:tcPr>
            <w:tcW w:w="1985" w:type="dxa"/>
          </w:tcPr>
          <w:p w14:paraId="7AAD8A0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1602A55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0BEF6D41" w14:textId="6E9645DA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17.3 (14.8 to 19.7)</w:t>
            </w:r>
          </w:p>
          <w:p w14:paraId="0477408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B3F158D" w14:textId="7E8D0EA1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12.1 (9.5 to 14.8)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BEC1A45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E35C1A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E2AB23E" w14:textId="7BB8738C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0.019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00E569C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907033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704BD48" w14:textId="7C18A88C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2.286</w:t>
            </w:r>
          </w:p>
        </w:tc>
        <w:tc>
          <w:tcPr>
            <w:tcW w:w="1561" w:type="dxa"/>
            <w:tcBorders>
              <w:right w:val="nil"/>
            </w:tcBorders>
          </w:tcPr>
          <w:p w14:paraId="60D3242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7C53CA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BDE34F1" w14:textId="1F1F8886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1.082 to 4.829</w:t>
            </w:r>
          </w:p>
        </w:tc>
        <w:tc>
          <w:tcPr>
            <w:tcW w:w="1134" w:type="dxa"/>
            <w:tcBorders>
              <w:right w:val="nil"/>
            </w:tcBorders>
          </w:tcPr>
          <w:p w14:paraId="39FBF80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A9D35F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6A1EDD2" w14:textId="1266BE3F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0.030</w:t>
            </w:r>
          </w:p>
        </w:tc>
      </w:tr>
      <w:tr w:rsidR="00B45EE7" w:rsidRPr="00CD4EA6" w14:paraId="2AE358DA" w14:textId="77777777" w:rsidTr="00B45EE7">
        <w:tc>
          <w:tcPr>
            <w:tcW w:w="3402" w:type="dxa"/>
            <w:tcBorders>
              <w:left w:val="nil"/>
            </w:tcBorders>
          </w:tcPr>
          <w:p w14:paraId="1528637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GS, genomic stability, SATB1 (number of tissue cores)</w:t>
            </w:r>
          </w:p>
          <w:p w14:paraId="497DB66F" w14:textId="5ADBC41E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low risk (GS ≤6 and 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stable and SATB1 high in ≥2 tissue cores)</w:t>
            </w:r>
          </w:p>
          <w:p w14:paraId="76CC9C1C" w14:textId="699A0A39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high risk (GS ≥7 or 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9C18B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instable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or SATB1 high in≤1 tissue cores)</w:t>
            </w:r>
          </w:p>
        </w:tc>
        <w:tc>
          <w:tcPr>
            <w:tcW w:w="1985" w:type="dxa"/>
          </w:tcPr>
          <w:p w14:paraId="648695F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3C31B5D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228DCB92" w14:textId="1A3346D9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19.2 (16.7 to 21.6)</w:t>
            </w:r>
          </w:p>
          <w:p w14:paraId="0B79134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4C75B02" w14:textId="5A18FB99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12.4 (10.2 to 14.6)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4350393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49ED60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EFB33B1" w14:textId="30D709C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0.005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31723E2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EEB4DE2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5FAF094" w14:textId="06C717DE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3.531</w:t>
            </w:r>
          </w:p>
        </w:tc>
        <w:tc>
          <w:tcPr>
            <w:tcW w:w="1561" w:type="dxa"/>
            <w:tcBorders>
              <w:right w:val="nil"/>
            </w:tcBorders>
          </w:tcPr>
          <w:p w14:paraId="56967CA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0EA27FF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6EC5174" w14:textId="6638ED08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1.347 to 9.258</w:t>
            </w:r>
          </w:p>
        </w:tc>
        <w:tc>
          <w:tcPr>
            <w:tcW w:w="1134" w:type="dxa"/>
            <w:tcBorders>
              <w:right w:val="nil"/>
            </w:tcBorders>
          </w:tcPr>
          <w:p w14:paraId="6C4B9B8E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0AE635DB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2FDBA5E" w14:textId="2B9B966A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0.010</w:t>
            </w:r>
          </w:p>
        </w:tc>
      </w:tr>
      <w:tr w:rsidR="00B45EE7" w:rsidRPr="00CD4EA6" w14:paraId="6A5E09CE" w14:textId="77777777" w:rsidTr="00B45EE7">
        <w:tc>
          <w:tcPr>
            <w:tcW w:w="3402" w:type="dxa"/>
            <w:tcBorders>
              <w:left w:val="nil"/>
            </w:tcBorders>
          </w:tcPr>
          <w:p w14:paraId="6ED47F94" w14:textId="4F9832D2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PCP-Score</w:t>
            </w:r>
          </w:p>
          <w:p w14:paraId="692F4F8B" w14:textId="74D1A4B2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low risk (GS ≤6 and 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stable and SATB1 positive)</w:t>
            </w:r>
          </w:p>
          <w:p w14:paraId="570B6E39" w14:textId="3DC17918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high risk (GS ≥7 or genomic</w:t>
            </w:r>
            <w:r w:rsidR="00CF636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ally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9C18BE"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instable</w:t>
            </w: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 xml:space="preserve"> or SATB1 negative)</w:t>
            </w:r>
          </w:p>
        </w:tc>
        <w:tc>
          <w:tcPr>
            <w:tcW w:w="1985" w:type="dxa"/>
          </w:tcPr>
          <w:p w14:paraId="4A924050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</w:p>
          <w:p w14:paraId="6C905BAB" w14:textId="3CACC1C4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19.0 (16.9 to 21.1)</w:t>
            </w:r>
          </w:p>
          <w:p w14:paraId="69B14637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9199C97" w14:textId="67BA1B2C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11.7 (9.4 to 14.0)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2F1701AC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699353B" w14:textId="50DFA703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0.001</w:t>
            </w:r>
          </w:p>
        </w:tc>
        <w:tc>
          <w:tcPr>
            <w:tcW w:w="1274" w:type="dxa"/>
            <w:tcBorders>
              <w:left w:val="single" w:sz="12" w:space="0" w:color="auto"/>
              <w:right w:val="nil"/>
            </w:tcBorders>
          </w:tcPr>
          <w:p w14:paraId="643BB286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E9BF353" w14:textId="20A7E653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4.000</w:t>
            </w:r>
          </w:p>
        </w:tc>
        <w:tc>
          <w:tcPr>
            <w:tcW w:w="1561" w:type="dxa"/>
            <w:tcBorders>
              <w:right w:val="nil"/>
            </w:tcBorders>
          </w:tcPr>
          <w:p w14:paraId="7242D7F8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FD2774A" w14:textId="613CBD9B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1.701 to 9.407</w:t>
            </w:r>
          </w:p>
        </w:tc>
        <w:tc>
          <w:tcPr>
            <w:tcW w:w="1134" w:type="dxa"/>
            <w:tcBorders>
              <w:right w:val="nil"/>
            </w:tcBorders>
          </w:tcPr>
          <w:p w14:paraId="65B23291" w14:textId="77777777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8373E4E" w14:textId="09643E2E" w:rsidR="00B45EE7" w:rsidRPr="00CD4EA6" w:rsidRDefault="00B45EE7" w:rsidP="00B45E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0.001</w:t>
            </w:r>
          </w:p>
        </w:tc>
      </w:tr>
    </w:tbl>
    <w:p w14:paraId="362A441C" w14:textId="114273DE" w:rsidR="00B45EE7" w:rsidRPr="00CD4EA6" w:rsidRDefault="00B45EE7" w:rsidP="00B45EE7">
      <w:pPr>
        <w:spacing w:after="0"/>
        <w:jc w:val="both"/>
        <w:rPr>
          <w:rFonts w:ascii="Arial" w:hAnsi="Arial" w:cs="Arial"/>
          <w:lang w:val="en-GB"/>
        </w:rPr>
      </w:pPr>
      <w:r w:rsidRPr="00CD4EA6">
        <w:rPr>
          <w:rFonts w:ascii="Arial" w:hAnsi="Arial" w:cs="Arial"/>
          <w:b/>
          <w:lang w:val="en-US"/>
        </w:rPr>
        <w:t>Table S</w:t>
      </w:r>
      <w:r w:rsidR="00AB7D40" w:rsidRPr="00CD4EA6">
        <w:rPr>
          <w:rFonts w:ascii="Arial" w:hAnsi="Arial" w:cs="Arial"/>
          <w:b/>
          <w:lang w:val="en-US"/>
        </w:rPr>
        <w:t>1</w:t>
      </w:r>
      <w:r w:rsidRPr="00CD4EA6">
        <w:rPr>
          <w:rFonts w:ascii="Arial" w:hAnsi="Arial" w:cs="Arial"/>
          <w:b/>
          <w:lang w:val="en-US"/>
        </w:rPr>
        <w:t>:</w:t>
      </w:r>
      <w:r w:rsidRPr="00CD4EA6">
        <w:rPr>
          <w:rFonts w:ascii="Arial" w:hAnsi="Arial" w:cs="Arial"/>
          <w:lang w:val="en-US"/>
        </w:rPr>
        <w:t xml:space="preserve"> Survival Analysis. SATB1 positive = at least one tissue core with a high protein expression. SATB1 ≥2 cores = ≥2 tissue cores with a high protein expression. SATB1 ≤ 1 core = ≤1 tissue core with a high SATB1 expression.</w:t>
      </w:r>
    </w:p>
    <w:p w14:paraId="7D40BC2E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00F8FDB3" w14:textId="3397C50D" w:rsidR="00AB7D40" w:rsidRPr="00CD4EA6" w:rsidRDefault="00AB7D40" w:rsidP="00AB7D40">
      <w:pPr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CD4EA6">
        <w:rPr>
          <w:rFonts w:ascii="Arial" w:eastAsia="Calibri" w:hAnsi="Arial" w:cs="Arial"/>
          <w:b/>
          <w:lang w:val="en-US"/>
        </w:rPr>
        <w:t xml:space="preserve">Table S2: </w:t>
      </w:r>
      <w:r w:rsidRPr="00CD4EA6">
        <w:rPr>
          <w:rFonts w:ascii="Arial" w:eastAsia="Calibri" w:hAnsi="Arial" w:cs="Arial"/>
          <w:lang w:val="en-US"/>
        </w:rPr>
        <w:t xml:space="preserve">Significant associations between </w:t>
      </w:r>
    </w:p>
    <w:p w14:paraId="6B297CFD" w14:textId="77777777" w:rsidR="00AB7D40" w:rsidRPr="00CD4EA6" w:rsidRDefault="00AB7D40" w:rsidP="00AB7D40">
      <w:pPr>
        <w:spacing w:after="0" w:line="240" w:lineRule="auto"/>
        <w:jc w:val="both"/>
        <w:rPr>
          <w:rFonts w:ascii="Arial" w:eastAsia="Calibri" w:hAnsi="Arial" w:cs="Arial"/>
          <w:lang w:val="en-US"/>
        </w:rPr>
      </w:pPr>
      <w:r w:rsidRPr="00CD4EA6">
        <w:rPr>
          <w:rFonts w:ascii="Arial" w:eastAsia="Calibri" w:hAnsi="Arial" w:cs="Arial"/>
          <w:lang w:val="en-US"/>
        </w:rPr>
        <w:t>clinicopathological parameters and ploidy status.</w:t>
      </w:r>
    </w:p>
    <w:tbl>
      <w:tblPr>
        <w:tblStyle w:val="Tabellenraster111"/>
        <w:tblpPr w:leftFromText="181" w:rightFromText="181" w:vertAnchor="text" w:horzAnchor="margin" w:tblpY="195"/>
        <w:tblW w:w="5495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417"/>
        <w:gridCol w:w="567"/>
        <w:gridCol w:w="851"/>
      </w:tblGrid>
      <w:tr w:rsidR="00AB7D40" w:rsidRPr="00CD4EA6" w14:paraId="6F1835D0" w14:textId="77777777" w:rsidTr="00D449C0">
        <w:trPr>
          <w:trHeight w:val="277"/>
        </w:trPr>
        <w:tc>
          <w:tcPr>
            <w:tcW w:w="1242" w:type="dxa"/>
            <w:vMerge w:val="restart"/>
            <w:tcBorders>
              <w:top w:val="single" w:sz="18" w:space="0" w:color="auto"/>
            </w:tcBorders>
          </w:tcPr>
          <w:p w14:paraId="31ACE242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  <w:p w14:paraId="5070D604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Parameter</w:t>
            </w:r>
          </w:p>
        </w:tc>
        <w:tc>
          <w:tcPr>
            <w:tcW w:w="4253" w:type="dxa"/>
            <w:gridSpan w:val="4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13CF41B4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DNA ploidy status</w:t>
            </w:r>
          </w:p>
          <w:p w14:paraId="11185F99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7D40" w:rsidRPr="00CD4EA6" w14:paraId="2EC1D199" w14:textId="77777777" w:rsidTr="00D449C0">
        <w:trPr>
          <w:trHeight w:val="277"/>
        </w:trPr>
        <w:tc>
          <w:tcPr>
            <w:tcW w:w="1242" w:type="dxa"/>
            <w:vMerge/>
          </w:tcPr>
          <w:p w14:paraId="0ED56679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BC8F7D1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 xml:space="preserve">euploid, </w:t>
            </w:r>
          </w:p>
          <w:p w14:paraId="57D7C7D1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genomically stable</w:t>
            </w:r>
          </w:p>
          <w:p w14:paraId="0C19944A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(n = 32)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4C5A9BEC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aneuploid, genomically instable</w:t>
            </w:r>
          </w:p>
          <w:p w14:paraId="4B1C79AF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(n = 16)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1E751D52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bottom w:val="single" w:sz="18" w:space="0" w:color="auto"/>
              <w:right w:val="nil"/>
            </w:tcBorders>
          </w:tcPr>
          <w:p w14:paraId="0DF2981A" w14:textId="77777777" w:rsidR="00AB7D40" w:rsidRPr="00CD4EA6" w:rsidRDefault="00AB7D40" w:rsidP="00D449C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p-value*</w:t>
            </w:r>
          </w:p>
        </w:tc>
      </w:tr>
      <w:tr w:rsidR="00AB7D40" w:rsidRPr="00CD4EA6" w14:paraId="33EF6C22" w14:textId="77777777" w:rsidTr="00D449C0">
        <w:trPr>
          <w:cantSplit/>
          <w:trHeight w:val="428"/>
        </w:trPr>
        <w:tc>
          <w:tcPr>
            <w:tcW w:w="1242" w:type="dxa"/>
            <w:tcBorders>
              <w:top w:val="single" w:sz="18" w:space="0" w:color="auto"/>
            </w:tcBorders>
          </w:tcPr>
          <w:p w14:paraId="5C929E3E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Gleason Score</w:t>
            </w:r>
          </w:p>
          <w:p w14:paraId="7FCD8B2F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4-6</w:t>
            </w:r>
          </w:p>
          <w:p w14:paraId="0B61820A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7-10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6C665C4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743AE984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131D5A94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21 (91.3%)</w:t>
            </w:r>
          </w:p>
          <w:p w14:paraId="68288959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11 (44%)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</w:tcPr>
          <w:p w14:paraId="762A1443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75854FC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22C1311F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2 (8.7%)</w:t>
            </w:r>
          </w:p>
          <w:p w14:paraId="6886497A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14 (56%)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2" w:space="0" w:color="auto"/>
            </w:tcBorders>
          </w:tcPr>
          <w:p w14:paraId="02BDB7A6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33B051D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4A401103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48</w:t>
            </w:r>
          </w:p>
          <w:p w14:paraId="16D98B04" w14:textId="77777777" w:rsidR="00AB7D40" w:rsidRPr="00CD4EA6" w:rsidRDefault="00AB7D40" w:rsidP="00D449C0">
            <w:pPr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nil"/>
            </w:tcBorders>
          </w:tcPr>
          <w:p w14:paraId="32B6D3A6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AE24DD0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6CFFB7B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0.001</w:t>
            </w:r>
          </w:p>
        </w:tc>
      </w:tr>
      <w:tr w:rsidR="00AB7D40" w:rsidRPr="00CD4EA6" w14:paraId="6AC16B58" w14:textId="77777777" w:rsidTr="00D449C0">
        <w:trPr>
          <w:cantSplit/>
          <w:trHeight w:val="459"/>
        </w:trPr>
        <w:tc>
          <w:tcPr>
            <w:tcW w:w="1242" w:type="dxa"/>
          </w:tcPr>
          <w:p w14:paraId="03143503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Tumor stage</w:t>
            </w:r>
          </w:p>
          <w:p w14:paraId="394273B4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≤ T2b</w:t>
            </w:r>
          </w:p>
          <w:p w14:paraId="455DA266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≥T3</w:t>
            </w:r>
          </w:p>
        </w:tc>
        <w:tc>
          <w:tcPr>
            <w:tcW w:w="1418" w:type="dxa"/>
          </w:tcPr>
          <w:p w14:paraId="342C0403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7A2C294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8 (61.5%)</w:t>
            </w:r>
          </w:p>
          <w:p w14:paraId="5A0F7949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24 (70.6%)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CD757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7CDD4B5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5 (38.5%)</w:t>
            </w:r>
          </w:p>
          <w:p w14:paraId="5E66151E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10 (29.4%)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51949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E7C2E3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left w:val="single" w:sz="2" w:space="0" w:color="auto"/>
              <w:right w:val="nil"/>
            </w:tcBorders>
          </w:tcPr>
          <w:p w14:paraId="0C2C4F3E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AE8A9A9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0.728</w:t>
            </w:r>
          </w:p>
        </w:tc>
      </w:tr>
      <w:tr w:rsidR="00AB7D40" w:rsidRPr="00CD4EA6" w14:paraId="29B2891C" w14:textId="77777777" w:rsidTr="00D449C0">
        <w:trPr>
          <w:cantSplit/>
          <w:trHeight w:val="467"/>
        </w:trPr>
        <w:tc>
          <w:tcPr>
            <w:tcW w:w="1242" w:type="dxa"/>
            <w:tcBorders>
              <w:bottom w:val="single" w:sz="18" w:space="0" w:color="auto"/>
            </w:tcBorders>
          </w:tcPr>
          <w:p w14:paraId="193FFC97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PSA-value (ng/ml)</w:t>
            </w:r>
          </w:p>
          <w:p w14:paraId="46C9FCBB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≤ 10</w:t>
            </w:r>
          </w:p>
          <w:p w14:paraId="4DF15D89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&gt; 10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F9E352C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6AC21C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A57FF2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10 (71.4%)</w:t>
            </w:r>
          </w:p>
          <w:p w14:paraId="652A1D3C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14 (58.3%)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18" w:space="0" w:color="auto"/>
            </w:tcBorders>
          </w:tcPr>
          <w:p w14:paraId="1BB07B17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6ED13C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25DC743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4 (28.6%)</w:t>
            </w:r>
          </w:p>
          <w:p w14:paraId="02B20E5D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10 (41.7%)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18" w:space="0" w:color="auto"/>
            </w:tcBorders>
          </w:tcPr>
          <w:p w14:paraId="03DDC208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6961E1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DCF5AD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bottom w:val="single" w:sz="18" w:space="0" w:color="auto"/>
              <w:right w:val="nil"/>
            </w:tcBorders>
          </w:tcPr>
          <w:p w14:paraId="7DC9F5FD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7EEECC3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FDC670" w14:textId="77777777" w:rsidR="00AB7D40" w:rsidRPr="00CD4EA6" w:rsidRDefault="00AB7D40" w:rsidP="00D44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0.501</w:t>
            </w:r>
          </w:p>
        </w:tc>
      </w:tr>
      <w:tr w:rsidR="00AB7D40" w:rsidRPr="00CD4EA6" w14:paraId="3A39BEB2" w14:textId="77777777" w:rsidTr="00D449C0">
        <w:trPr>
          <w:cantSplit/>
          <w:trHeight w:val="559"/>
        </w:trPr>
        <w:tc>
          <w:tcPr>
            <w:tcW w:w="5495" w:type="dxa"/>
            <w:gridSpan w:val="5"/>
            <w:tcBorders>
              <w:top w:val="single" w:sz="18" w:space="0" w:color="auto"/>
              <w:bottom w:val="nil"/>
              <w:right w:val="nil"/>
            </w:tcBorders>
          </w:tcPr>
          <w:p w14:paraId="4142C985" w14:textId="77777777" w:rsidR="00AB7D40" w:rsidRPr="00CD4EA6" w:rsidRDefault="00AB7D40" w:rsidP="00D449C0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  <w:lang w:val="en-US"/>
              </w:rPr>
              <w:t>* P-value for Fisher’s Exact Test; significant p- values are highlighted in bold.</w:t>
            </w:r>
          </w:p>
        </w:tc>
      </w:tr>
    </w:tbl>
    <w:p w14:paraId="4A23C6BA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5B8E70BE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36169324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730ECA85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50AB55C1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6B4A572A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5507839E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71DEDADA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54AD5E7F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4EFC649E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5D09BACD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p w14:paraId="72FDFDB0" w14:textId="77777777" w:rsidR="00AB7D40" w:rsidRPr="00CD4EA6" w:rsidRDefault="00AB7D40" w:rsidP="007F4B6A">
      <w:pPr>
        <w:spacing w:after="0" w:line="480" w:lineRule="auto"/>
        <w:rPr>
          <w:rFonts w:ascii="Arial" w:hAnsi="Arial" w:cs="Arial"/>
          <w:b/>
          <w:bCs/>
          <w:lang w:val="en-GB"/>
        </w:rPr>
      </w:pPr>
    </w:p>
    <w:tbl>
      <w:tblPr>
        <w:tblStyle w:val="Tabellenraster131"/>
        <w:tblpPr w:leftFromText="141" w:rightFromText="141" w:vertAnchor="page" w:horzAnchor="margin" w:tblpY="9385"/>
        <w:tblW w:w="8755" w:type="dxa"/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1843"/>
        <w:gridCol w:w="992"/>
      </w:tblGrid>
      <w:tr w:rsidR="00AB7D40" w:rsidRPr="00CD4EA6" w14:paraId="78681DA7" w14:textId="77777777" w:rsidTr="00AB7D40">
        <w:trPr>
          <w:trHeight w:val="383"/>
        </w:trPr>
        <w:tc>
          <w:tcPr>
            <w:tcW w:w="4786" w:type="dxa"/>
            <w:vMerge w:val="restart"/>
            <w:tcBorders>
              <w:top w:val="single" w:sz="18" w:space="0" w:color="auto"/>
              <w:left w:val="nil"/>
            </w:tcBorders>
          </w:tcPr>
          <w:p w14:paraId="7240BFFA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</w:rPr>
              <w:t>Model with genomic instability</w:t>
            </w:r>
          </w:p>
        </w:tc>
        <w:tc>
          <w:tcPr>
            <w:tcW w:w="3969" w:type="dxa"/>
            <w:gridSpan w:val="3"/>
            <w:tcBorders>
              <w:top w:val="single" w:sz="18" w:space="0" w:color="auto"/>
              <w:left w:val="single" w:sz="12" w:space="0" w:color="auto"/>
              <w:right w:val="nil"/>
            </w:tcBorders>
          </w:tcPr>
          <w:p w14:paraId="3911BC0D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Cox Regression Analysis</w:t>
            </w:r>
          </w:p>
        </w:tc>
      </w:tr>
      <w:tr w:rsidR="00AB7D40" w:rsidRPr="00CD4EA6" w14:paraId="4B66D85C" w14:textId="77777777" w:rsidTr="00AB7D40">
        <w:trPr>
          <w:trHeight w:val="382"/>
        </w:trPr>
        <w:tc>
          <w:tcPr>
            <w:tcW w:w="4786" w:type="dxa"/>
            <w:vMerge/>
            <w:tcBorders>
              <w:left w:val="nil"/>
              <w:bottom w:val="single" w:sz="18" w:space="0" w:color="auto"/>
            </w:tcBorders>
          </w:tcPr>
          <w:p w14:paraId="4D469531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  <w:right w:val="nil"/>
            </w:tcBorders>
          </w:tcPr>
          <w:p w14:paraId="27D646A7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Hazard Ratio</w:t>
            </w:r>
          </w:p>
        </w:tc>
        <w:tc>
          <w:tcPr>
            <w:tcW w:w="1843" w:type="dxa"/>
            <w:tcBorders>
              <w:bottom w:val="single" w:sz="18" w:space="0" w:color="auto"/>
              <w:right w:val="nil"/>
            </w:tcBorders>
          </w:tcPr>
          <w:p w14:paraId="626143F1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95% CI</w:t>
            </w:r>
          </w:p>
        </w:tc>
        <w:tc>
          <w:tcPr>
            <w:tcW w:w="992" w:type="dxa"/>
            <w:tcBorders>
              <w:bottom w:val="single" w:sz="18" w:space="0" w:color="auto"/>
              <w:right w:val="nil"/>
            </w:tcBorders>
          </w:tcPr>
          <w:p w14:paraId="48785522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p-Value</w:t>
            </w:r>
          </w:p>
        </w:tc>
      </w:tr>
      <w:tr w:rsidR="00AB7D40" w:rsidRPr="00CD4EA6" w14:paraId="68821F50" w14:textId="77777777" w:rsidTr="00AB7D40">
        <w:tc>
          <w:tcPr>
            <w:tcW w:w="4786" w:type="dxa"/>
            <w:tcBorders>
              <w:left w:val="nil"/>
              <w:bottom w:val="single" w:sz="18" w:space="0" w:color="auto"/>
            </w:tcBorders>
          </w:tcPr>
          <w:p w14:paraId="4387278D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  <w:lang w:val="en-GB"/>
              </w:rPr>
              <w:t>Number of tissue cores with high SATB1 expression</w:t>
            </w:r>
          </w:p>
          <w:p w14:paraId="330515CE" w14:textId="77777777" w:rsidR="00AB7D40" w:rsidRPr="00CD4EA6" w:rsidRDefault="00AB7D40" w:rsidP="00AB7D4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  <w:lang w:val="en-GB"/>
              </w:rPr>
              <w:t>GS(≥7) or genomic instability or SATB1 negative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  <w:right w:val="nil"/>
            </w:tcBorders>
          </w:tcPr>
          <w:p w14:paraId="6522418C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0.500</w:t>
            </w:r>
          </w:p>
          <w:p w14:paraId="6E397D29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837DEA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3.354</w:t>
            </w:r>
          </w:p>
        </w:tc>
        <w:tc>
          <w:tcPr>
            <w:tcW w:w="1843" w:type="dxa"/>
            <w:tcBorders>
              <w:bottom w:val="single" w:sz="18" w:space="0" w:color="auto"/>
              <w:right w:val="nil"/>
            </w:tcBorders>
          </w:tcPr>
          <w:p w14:paraId="058242C4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0.246 to 1.018</w:t>
            </w:r>
          </w:p>
          <w:p w14:paraId="71481AFD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40482E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1.422 to 7.914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14:paraId="1B1DF8AF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sz w:val="20"/>
                <w:szCs w:val="20"/>
              </w:rPr>
              <w:t>0.056</w:t>
            </w:r>
          </w:p>
          <w:p w14:paraId="67DA21AC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4AA3FE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0.006</w:t>
            </w:r>
          </w:p>
        </w:tc>
      </w:tr>
      <w:tr w:rsidR="00AB7D40" w:rsidRPr="00CD4EA6" w14:paraId="18EFD185" w14:textId="77777777" w:rsidTr="00AB7D40">
        <w:trPr>
          <w:trHeight w:val="70"/>
        </w:trPr>
        <w:tc>
          <w:tcPr>
            <w:tcW w:w="4786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62F82A4F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Model without genomic instability</w:t>
            </w:r>
          </w:p>
        </w:tc>
        <w:tc>
          <w:tcPr>
            <w:tcW w:w="3969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657C0844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56044C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B7D40" w:rsidRPr="00CD4EA6" w14:paraId="68F9D4A4" w14:textId="77777777" w:rsidTr="00AB7D40">
        <w:tc>
          <w:tcPr>
            <w:tcW w:w="4786" w:type="dxa"/>
            <w:tcBorders>
              <w:top w:val="single" w:sz="18" w:space="0" w:color="auto"/>
              <w:left w:val="nil"/>
            </w:tcBorders>
          </w:tcPr>
          <w:p w14:paraId="4345A319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  <w:lang w:val="en-GB"/>
              </w:rPr>
              <w:t>Number of tissue cores with high SATB1 expression</w:t>
            </w:r>
          </w:p>
          <w:p w14:paraId="618ED05E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GS(≥7) or SATB1 negative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right w:val="nil"/>
            </w:tcBorders>
          </w:tcPr>
          <w:p w14:paraId="3EDCA1A1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0.576</w:t>
            </w:r>
          </w:p>
          <w:p w14:paraId="31318484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53B58C6D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3.051</w:t>
            </w:r>
          </w:p>
        </w:tc>
        <w:tc>
          <w:tcPr>
            <w:tcW w:w="1843" w:type="dxa"/>
            <w:tcBorders>
              <w:top w:val="single" w:sz="18" w:space="0" w:color="auto"/>
              <w:right w:val="nil"/>
            </w:tcBorders>
          </w:tcPr>
          <w:p w14:paraId="76D90E95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0.284 to 1.171</w:t>
            </w:r>
          </w:p>
          <w:p w14:paraId="001153EF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33CD9738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1.376 to 6.767</w:t>
            </w:r>
          </w:p>
        </w:tc>
        <w:tc>
          <w:tcPr>
            <w:tcW w:w="992" w:type="dxa"/>
            <w:tcBorders>
              <w:top w:val="single" w:sz="18" w:space="0" w:color="auto"/>
              <w:right w:val="nil"/>
            </w:tcBorders>
          </w:tcPr>
          <w:p w14:paraId="712F1D4D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0.128</w:t>
            </w:r>
          </w:p>
          <w:p w14:paraId="37841845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  <w:p w14:paraId="61A3EE4C" w14:textId="77777777" w:rsidR="00AB7D40" w:rsidRPr="00CD4EA6" w:rsidRDefault="00AB7D40" w:rsidP="00AB7D40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D4EA6">
              <w:rPr>
                <w:rFonts w:ascii="Arial" w:eastAsia="Calibri" w:hAnsi="Arial" w:cs="Arial"/>
                <w:bCs/>
                <w:sz w:val="20"/>
                <w:szCs w:val="20"/>
              </w:rPr>
              <w:t>0.006</w:t>
            </w:r>
          </w:p>
        </w:tc>
      </w:tr>
    </w:tbl>
    <w:p w14:paraId="01024781" w14:textId="535F7B28" w:rsidR="00AB7D40" w:rsidRPr="00327FC5" w:rsidRDefault="0097522E" w:rsidP="007F4B6A">
      <w:pPr>
        <w:spacing w:after="0" w:line="480" w:lineRule="auto"/>
        <w:rPr>
          <w:rFonts w:ascii="Arial" w:hAnsi="Arial" w:cs="Arial"/>
          <w:lang w:val="en-GB"/>
        </w:rPr>
      </w:pPr>
      <w:r w:rsidRPr="00CD4EA6">
        <w:rPr>
          <w:rFonts w:ascii="Arial" w:hAnsi="Arial" w:cs="Arial"/>
          <w:b/>
          <w:bCs/>
          <w:lang w:val="en-GB"/>
        </w:rPr>
        <w:t>Table S</w:t>
      </w:r>
      <w:r w:rsidR="005D7B87" w:rsidRPr="00CD4EA6">
        <w:rPr>
          <w:rFonts w:ascii="Arial" w:hAnsi="Arial" w:cs="Arial"/>
          <w:b/>
          <w:bCs/>
          <w:lang w:val="en-GB"/>
        </w:rPr>
        <w:t>3</w:t>
      </w:r>
      <w:r w:rsidR="00327FC5" w:rsidRPr="00CD4EA6">
        <w:rPr>
          <w:rFonts w:ascii="Arial" w:hAnsi="Arial" w:cs="Arial"/>
          <w:b/>
          <w:bCs/>
          <w:lang w:val="en-GB"/>
        </w:rPr>
        <w:t xml:space="preserve">: </w:t>
      </w:r>
      <w:r w:rsidR="00327FC5" w:rsidRPr="00CD4EA6">
        <w:rPr>
          <w:rFonts w:ascii="Arial" w:hAnsi="Arial" w:cs="Arial"/>
          <w:lang w:val="en-GB"/>
        </w:rPr>
        <w:t>Model with and without genomic instability.</w:t>
      </w:r>
      <w:bookmarkStart w:id="5" w:name="_GoBack"/>
      <w:bookmarkEnd w:id="5"/>
      <w:r w:rsidR="00327FC5">
        <w:rPr>
          <w:rFonts w:ascii="Arial" w:hAnsi="Arial" w:cs="Arial"/>
          <w:lang w:val="en-GB"/>
        </w:rPr>
        <w:t xml:space="preserve"> </w:t>
      </w:r>
    </w:p>
    <w:p w14:paraId="54386141" w14:textId="77777777" w:rsidR="005C38C5" w:rsidRDefault="005C38C5" w:rsidP="007F4B6A">
      <w:pPr>
        <w:spacing w:after="0" w:line="480" w:lineRule="auto"/>
        <w:rPr>
          <w:rFonts w:ascii="Arial" w:hAnsi="Arial" w:cs="Arial"/>
          <w:lang w:val="en-GB"/>
        </w:rPr>
      </w:pPr>
    </w:p>
    <w:p w14:paraId="6F10B01B" w14:textId="77777777" w:rsidR="005C38C5" w:rsidRDefault="005C38C5" w:rsidP="007F4B6A">
      <w:pPr>
        <w:spacing w:after="0" w:line="480" w:lineRule="auto"/>
        <w:rPr>
          <w:rFonts w:ascii="Arial" w:hAnsi="Arial" w:cs="Arial"/>
          <w:lang w:val="en-GB"/>
        </w:rPr>
      </w:pPr>
    </w:p>
    <w:p w14:paraId="02540C86" w14:textId="77777777" w:rsidR="005C38C5" w:rsidRDefault="005C38C5" w:rsidP="007F4B6A">
      <w:pPr>
        <w:spacing w:after="0" w:line="480" w:lineRule="auto"/>
        <w:rPr>
          <w:rFonts w:ascii="Arial" w:hAnsi="Arial" w:cs="Arial"/>
          <w:lang w:val="en-GB"/>
        </w:rPr>
      </w:pPr>
    </w:p>
    <w:p w14:paraId="4344AD53" w14:textId="34E64E3B" w:rsidR="0097522E" w:rsidRDefault="0097522E" w:rsidP="007F4B6A">
      <w:pPr>
        <w:spacing w:after="0" w:line="480" w:lineRule="auto"/>
        <w:rPr>
          <w:rFonts w:ascii="Arial" w:hAnsi="Arial" w:cs="Arial"/>
          <w:lang w:val="en-GB"/>
        </w:rPr>
      </w:pPr>
    </w:p>
    <w:bookmarkEnd w:id="0"/>
    <w:p w14:paraId="59AE875F" w14:textId="62A64F62" w:rsidR="0097522E" w:rsidRPr="00975A20" w:rsidRDefault="0097522E" w:rsidP="007F4B6A">
      <w:pPr>
        <w:spacing w:after="0" w:line="480" w:lineRule="auto"/>
        <w:rPr>
          <w:rFonts w:ascii="Arial" w:hAnsi="Arial" w:cs="Arial"/>
          <w:lang w:val="en-GB"/>
        </w:rPr>
      </w:pPr>
    </w:p>
    <w:sectPr w:rsidR="0097522E" w:rsidRPr="00975A20" w:rsidSect="00B45EE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0EEC1" w14:textId="77777777" w:rsidR="00652DF0" w:rsidRDefault="00652DF0" w:rsidP="00DE7AF1">
      <w:pPr>
        <w:spacing w:after="0" w:line="240" w:lineRule="auto"/>
      </w:pPr>
      <w:r>
        <w:separator/>
      </w:r>
    </w:p>
  </w:endnote>
  <w:endnote w:type="continuationSeparator" w:id="0">
    <w:p w14:paraId="3FA89303" w14:textId="77777777" w:rsidR="00652DF0" w:rsidRDefault="00652DF0" w:rsidP="00DE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6D023" w14:textId="3A93CDBB" w:rsidR="000F1255" w:rsidRPr="00F84B55" w:rsidRDefault="000F1255">
    <w:pPr>
      <w:pStyle w:val="Footer"/>
      <w:jc w:val="right"/>
      <w:rPr>
        <w:rFonts w:ascii="Arial" w:hAnsi="Arial" w:cs="Arial"/>
        <w:sz w:val="20"/>
      </w:rPr>
    </w:pPr>
    <w:r w:rsidRPr="00F84B55">
      <w:rPr>
        <w:rFonts w:ascii="Arial" w:hAnsi="Arial" w:cs="Arial"/>
        <w:sz w:val="20"/>
      </w:rPr>
      <w:t xml:space="preserve">Page </w:t>
    </w:r>
    <w:sdt>
      <w:sdtPr>
        <w:rPr>
          <w:rFonts w:ascii="Arial" w:hAnsi="Arial" w:cs="Arial"/>
          <w:sz w:val="20"/>
        </w:rPr>
        <w:id w:val="1784765954"/>
        <w:docPartObj>
          <w:docPartGallery w:val="Page Numbers (Bottom of Page)"/>
          <w:docPartUnique/>
        </w:docPartObj>
      </w:sdtPr>
      <w:sdtEndPr/>
      <w:sdtContent>
        <w:r w:rsidRPr="00F84B55">
          <w:rPr>
            <w:rFonts w:ascii="Arial" w:hAnsi="Arial" w:cs="Arial"/>
            <w:sz w:val="20"/>
          </w:rPr>
          <w:fldChar w:fldCharType="begin"/>
        </w:r>
        <w:r w:rsidRPr="00F84B55">
          <w:rPr>
            <w:rFonts w:ascii="Arial" w:hAnsi="Arial" w:cs="Arial"/>
            <w:sz w:val="20"/>
          </w:rPr>
          <w:instrText>PAGE   \* MERGEFORMAT</w:instrText>
        </w:r>
        <w:r w:rsidRPr="00F84B55">
          <w:rPr>
            <w:rFonts w:ascii="Arial" w:hAnsi="Arial" w:cs="Arial"/>
            <w:sz w:val="20"/>
          </w:rPr>
          <w:fldChar w:fldCharType="separate"/>
        </w:r>
        <w:r w:rsidR="00CD4EA6">
          <w:rPr>
            <w:rFonts w:ascii="Arial" w:hAnsi="Arial" w:cs="Arial"/>
            <w:noProof/>
            <w:sz w:val="20"/>
          </w:rPr>
          <w:t>1</w:t>
        </w:r>
        <w:r w:rsidRPr="00F84B55">
          <w:rPr>
            <w:rFonts w:ascii="Arial" w:hAnsi="Arial" w:cs="Arial"/>
            <w:sz w:val="20"/>
          </w:rPr>
          <w:fldChar w:fldCharType="end"/>
        </w:r>
      </w:sdtContent>
    </w:sdt>
  </w:p>
  <w:p w14:paraId="2449B195" w14:textId="77777777" w:rsidR="000F1255" w:rsidRDefault="000F12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4F74D" w14:textId="77777777" w:rsidR="00652DF0" w:rsidRDefault="00652DF0" w:rsidP="00DE7AF1">
      <w:pPr>
        <w:spacing w:after="0" w:line="240" w:lineRule="auto"/>
      </w:pPr>
      <w:r>
        <w:separator/>
      </w:r>
    </w:p>
  </w:footnote>
  <w:footnote w:type="continuationSeparator" w:id="0">
    <w:p w14:paraId="4CB611D9" w14:textId="77777777" w:rsidR="00652DF0" w:rsidRDefault="00652DF0" w:rsidP="00DE7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4C49E" w14:textId="5E0E6D6E" w:rsidR="000F1255" w:rsidRDefault="000F1255">
    <w:pPr>
      <w:pStyle w:val="Header"/>
      <w:rPr>
        <w:rFonts w:ascii="Arial" w:hAnsi="Arial" w:cs="Arial"/>
        <w:sz w:val="20"/>
        <w:lang w:val="en-US"/>
      </w:rPr>
    </w:pPr>
  </w:p>
  <w:p w14:paraId="40E759DF" w14:textId="050BF28D" w:rsidR="000F1255" w:rsidRPr="00401A03" w:rsidRDefault="000F1255">
    <w:pPr>
      <w:pStyle w:val="Header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>SATB1, genomic instability and Gleason Score outperform current risk stratification in prostate cancer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772F4"/>
    <w:multiLevelType w:val="hybridMultilevel"/>
    <w:tmpl w:val="6B841C76"/>
    <w:lvl w:ilvl="0" w:tplc="4B9863A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7FA0"/>
    <w:multiLevelType w:val="hybridMultilevel"/>
    <w:tmpl w:val="AE1851C0"/>
    <w:lvl w:ilvl="0" w:tplc="6B02BF7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3A99"/>
    <w:multiLevelType w:val="hybridMultilevel"/>
    <w:tmpl w:val="591A8D2E"/>
    <w:lvl w:ilvl="0" w:tplc="C7E6382C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4235F"/>
    <w:multiLevelType w:val="hybridMultilevel"/>
    <w:tmpl w:val="8B387D36"/>
    <w:lvl w:ilvl="0" w:tplc="04070015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E7C7D"/>
    <w:multiLevelType w:val="hybridMultilevel"/>
    <w:tmpl w:val="1A081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Canc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-Porto::GUID" w:val="{9f1cbdf3-f7b0-495e-9be3-6ff3bb504d7f}"/>
  </w:docVars>
  <w:rsids>
    <w:rsidRoot w:val="00472CA0"/>
    <w:rsid w:val="000002A5"/>
    <w:rsid w:val="00000D2A"/>
    <w:rsid w:val="0000145F"/>
    <w:rsid w:val="00001DE6"/>
    <w:rsid w:val="00001F9B"/>
    <w:rsid w:val="00002981"/>
    <w:rsid w:val="00002F02"/>
    <w:rsid w:val="00003595"/>
    <w:rsid w:val="00003F58"/>
    <w:rsid w:val="000047FB"/>
    <w:rsid w:val="00007295"/>
    <w:rsid w:val="00007512"/>
    <w:rsid w:val="00010CE3"/>
    <w:rsid w:val="000110C5"/>
    <w:rsid w:val="00011201"/>
    <w:rsid w:val="00011C26"/>
    <w:rsid w:val="00012D3A"/>
    <w:rsid w:val="00012EAA"/>
    <w:rsid w:val="00013F79"/>
    <w:rsid w:val="0001402F"/>
    <w:rsid w:val="0001475E"/>
    <w:rsid w:val="000147F2"/>
    <w:rsid w:val="0001482A"/>
    <w:rsid w:val="00016133"/>
    <w:rsid w:val="00016494"/>
    <w:rsid w:val="00016546"/>
    <w:rsid w:val="000166D9"/>
    <w:rsid w:val="0001768F"/>
    <w:rsid w:val="00017E23"/>
    <w:rsid w:val="000201BF"/>
    <w:rsid w:val="00020386"/>
    <w:rsid w:val="00020ABB"/>
    <w:rsid w:val="00021A93"/>
    <w:rsid w:val="0002320E"/>
    <w:rsid w:val="00023D2E"/>
    <w:rsid w:val="000243E7"/>
    <w:rsid w:val="00026006"/>
    <w:rsid w:val="00026283"/>
    <w:rsid w:val="000265BD"/>
    <w:rsid w:val="0002682B"/>
    <w:rsid w:val="000269DA"/>
    <w:rsid w:val="0002798F"/>
    <w:rsid w:val="000300E8"/>
    <w:rsid w:val="00031122"/>
    <w:rsid w:val="0003164F"/>
    <w:rsid w:val="00031D9F"/>
    <w:rsid w:val="0003291B"/>
    <w:rsid w:val="00032E0F"/>
    <w:rsid w:val="00033AA8"/>
    <w:rsid w:val="000355A9"/>
    <w:rsid w:val="00035E4E"/>
    <w:rsid w:val="000366E2"/>
    <w:rsid w:val="000375F3"/>
    <w:rsid w:val="0003779E"/>
    <w:rsid w:val="00037E6C"/>
    <w:rsid w:val="000406D4"/>
    <w:rsid w:val="00042C02"/>
    <w:rsid w:val="000439C1"/>
    <w:rsid w:val="0004463C"/>
    <w:rsid w:val="0004521E"/>
    <w:rsid w:val="000461E0"/>
    <w:rsid w:val="00050BA0"/>
    <w:rsid w:val="00051A37"/>
    <w:rsid w:val="0005223B"/>
    <w:rsid w:val="00052E70"/>
    <w:rsid w:val="000530A5"/>
    <w:rsid w:val="000542D5"/>
    <w:rsid w:val="00054FA1"/>
    <w:rsid w:val="0005635D"/>
    <w:rsid w:val="0005667D"/>
    <w:rsid w:val="000567EE"/>
    <w:rsid w:val="00056FD2"/>
    <w:rsid w:val="00060E24"/>
    <w:rsid w:val="00061B88"/>
    <w:rsid w:val="00062801"/>
    <w:rsid w:val="00062D76"/>
    <w:rsid w:val="00063861"/>
    <w:rsid w:val="00064D19"/>
    <w:rsid w:val="00065FA6"/>
    <w:rsid w:val="0006663E"/>
    <w:rsid w:val="00066F56"/>
    <w:rsid w:val="000704A2"/>
    <w:rsid w:val="00070BE9"/>
    <w:rsid w:val="00071344"/>
    <w:rsid w:val="00071674"/>
    <w:rsid w:val="00071AAF"/>
    <w:rsid w:val="00071F24"/>
    <w:rsid w:val="00071F74"/>
    <w:rsid w:val="00072808"/>
    <w:rsid w:val="000729D7"/>
    <w:rsid w:val="00072AF3"/>
    <w:rsid w:val="00072E47"/>
    <w:rsid w:val="00074B51"/>
    <w:rsid w:val="00074E34"/>
    <w:rsid w:val="000761E6"/>
    <w:rsid w:val="000766BB"/>
    <w:rsid w:val="00076BA7"/>
    <w:rsid w:val="000778A6"/>
    <w:rsid w:val="00077AE9"/>
    <w:rsid w:val="00077D3B"/>
    <w:rsid w:val="00077E74"/>
    <w:rsid w:val="00080571"/>
    <w:rsid w:val="000815CD"/>
    <w:rsid w:val="00081AB3"/>
    <w:rsid w:val="00081C57"/>
    <w:rsid w:val="00081DA7"/>
    <w:rsid w:val="0008304D"/>
    <w:rsid w:val="00083384"/>
    <w:rsid w:val="000851DE"/>
    <w:rsid w:val="00086610"/>
    <w:rsid w:val="00087A01"/>
    <w:rsid w:val="00087C3A"/>
    <w:rsid w:val="00090D69"/>
    <w:rsid w:val="000929AD"/>
    <w:rsid w:val="000929FF"/>
    <w:rsid w:val="00092C48"/>
    <w:rsid w:val="00092F6E"/>
    <w:rsid w:val="00093CC4"/>
    <w:rsid w:val="00093DA0"/>
    <w:rsid w:val="000942B5"/>
    <w:rsid w:val="00095481"/>
    <w:rsid w:val="00095DD4"/>
    <w:rsid w:val="00096074"/>
    <w:rsid w:val="00096451"/>
    <w:rsid w:val="00096A84"/>
    <w:rsid w:val="00096DBC"/>
    <w:rsid w:val="00096EDA"/>
    <w:rsid w:val="00097415"/>
    <w:rsid w:val="00097C8C"/>
    <w:rsid w:val="000A071F"/>
    <w:rsid w:val="000A0F8A"/>
    <w:rsid w:val="000A12EA"/>
    <w:rsid w:val="000A12F4"/>
    <w:rsid w:val="000A1C58"/>
    <w:rsid w:val="000A289A"/>
    <w:rsid w:val="000A3136"/>
    <w:rsid w:val="000A3D7B"/>
    <w:rsid w:val="000A4152"/>
    <w:rsid w:val="000A495C"/>
    <w:rsid w:val="000A4DC2"/>
    <w:rsid w:val="000A57CD"/>
    <w:rsid w:val="000A5E8F"/>
    <w:rsid w:val="000A6475"/>
    <w:rsid w:val="000A6988"/>
    <w:rsid w:val="000B0BF1"/>
    <w:rsid w:val="000B16D2"/>
    <w:rsid w:val="000B28EA"/>
    <w:rsid w:val="000B2DF2"/>
    <w:rsid w:val="000B2FD9"/>
    <w:rsid w:val="000B3178"/>
    <w:rsid w:val="000B3300"/>
    <w:rsid w:val="000B3E0D"/>
    <w:rsid w:val="000B4511"/>
    <w:rsid w:val="000B4587"/>
    <w:rsid w:val="000B5BAA"/>
    <w:rsid w:val="000B5E8B"/>
    <w:rsid w:val="000B63AF"/>
    <w:rsid w:val="000B6B31"/>
    <w:rsid w:val="000B71B0"/>
    <w:rsid w:val="000B7907"/>
    <w:rsid w:val="000B7B7C"/>
    <w:rsid w:val="000C0F92"/>
    <w:rsid w:val="000C127F"/>
    <w:rsid w:val="000C3999"/>
    <w:rsid w:val="000C4437"/>
    <w:rsid w:val="000C5100"/>
    <w:rsid w:val="000C5291"/>
    <w:rsid w:val="000C576E"/>
    <w:rsid w:val="000C5AD1"/>
    <w:rsid w:val="000C5C78"/>
    <w:rsid w:val="000C6491"/>
    <w:rsid w:val="000C70AA"/>
    <w:rsid w:val="000C70FF"/>
    <w:rsid w:val="000D0614"/>
    <w:rsid w:val="000D1BB7"/>
    <w:rsid w:val="000D2528"/>
    <w:rsid w:val="000D3BE7"/>
    <w:rsid w:val="000D4AD1"/>
    <w:rsid w:val="000D5535"/>
    <w:rsid w:val="000D6104"/>
    <w:rsid w:val="000D6D53"/>
    <w:rsid w:val="000D7018"/>
    <w:rsid w:val="000D7B97"/>
    <w:rsid w:val="000D7C12"/>
    <w:rsid w:val="000D7F8A"/>
    <w:rsid w:val="000E0549"/>
    <w:rsid w:val="000E0A31"/>
    <w:rsid w:val="000E0F3B"/>
    <w:rsid w:val="000E2301"/>
    <w:rsid w:val="000E3F12"/>
    <w:rsid w:val="000E40B9"/>
    <w:rsid w:val="000E4560"/>
    <w:rsid w:val="000E4BD7"/>
    <w:rsid w:val="000E4F11"/>
    <w:rsid w:val="000E5381"/>
    <w:rsid w:val="000E5575"/>
    <w:rsid w:val="000E5706"/>
    <w:rsid w:val="000E5C06"/>
    <w:rsid w:val="000E6F07"/>
    <w:rsid w:val="000E7601"/>
    <w:rsid w:val="000E7BDF"/>
    <w:rsid w:val="000F1078"/>
    <w:rsid w:val="000F1255"/>
    <w:rsid w:val="000F16C2"/>
    <w:rsid w:val="000F2A15"/>
    <w:rsid w:val="000F348A"/>
    <w:rsid w:val="000F513E"/>
    <w:rsid w:val="000F67D3"/>
    <w:rsid w:val="000F7261"/>
    <w:rsid w:val="00100DE0"/>
    <w:rsid w:val="00101939"/>
    <w:rsid w:val="00103F46"/>
    <w:rsid w:val="001043B2"/>
    <w:rsid w:val="0010553A"/>
    <w:rsid w:val="001062BF"/>
    <w:rsid w:val="00106975"/>
    <w:rsid w:val="00107449"/>
    <w:rsid w:val="00110836"/>
    <w:rsid w:val="00110C93"/>
    <w:rsid w:val="00110EC6"/>
    <w:rsid w:val="00111F77"/>
    <w:rsid w:val="00112A36"/>
    <w:rsid w:val="001136DC"/>
    <w:rsid w:val="00113B23"/>
    <w:rsid w:val="00114304"/>
    <w:rsid w:val="00114F00"/>
    <w:rsid w:val="00115E5F"/>
    <w:rsid w:val="001160C1"/>
    <w:rsid w:val="00116D02"/>
    <w:rsid w:val="00117D77"/>
    <w:rsid w:val="0012180F"/>
    <w:rsid w:val="0012187A"/>
    <w:rsid w:val="00121EB2"/>
    <w:rsid w:val="00121EF5"/>
    <w:rsid w:val="001225C9"/>
    <w:rsid w:val="00123B2E"/>
    <w:rsid w:val="001240F8"/>
    <w:rsid w:val="00124E33"/>
    <w:rsid w:val="00125326"/>
    <w:rsid w:val="0012582C"/>
    <w:rsid w:val="00125B9E"/>
    <w:rsid w:val="00127954"/>
    <w:rsid w:val="00130209"/>
    <w:rsid w:val="00130896"/>
    <w:rsid w:val="00130B42"/>
    <w:rsid w:val="00131FC0"/>
    <w:rsid w:val="001323FD"/>
    <w:rsid w:val="00132CC0"/>
    <w:rsid w:val="00134D88"/>
    <w:rsid w:val="00134F30"/>
    <w:rsid w:val="0013550E"/>
    <w:rsid w:val="00136020"/>
    <w:rsid w:val="0013651C"/>
    <w:rsid w:val="001379AF"/>
    <w:rsid w:val="00137DB8"/>
    <w:rsid w:val="001401E6"/>
    <w:rsid w:val="0014051C"/>
    <w:rsid w:val="0014286A"/>
    <w:rsid w:val="001432C0"/>
    <w:rsid w:val="00143304"/>
    <w:rsid w:val="00143560"/>
    <w:rsid w:val="00143F16"/>
    <w:rsid w:val="001449D6"/>
    <w:rsid w:val="00144E2E"/>
    <w:rsid w:val="001461DD"/>
    <w:rsid w:val="001469E1"/>
    <w:rsid w:val="00147531"/>
    <w:rsid w:val="00150971"/>
    <w:rsid w:val="00152273"/>
    <w:rsid w:val="00152495"/>
    <w:rsid w:val="00152582"/>
    <w:rsid w:val="00155C8B"/>
    <w:rsid w:val="00156977"/>
    <w:rsid w:val="001578E6"/>
    <w:rsid w:val="00160BDB"/>
    <w:rsid w:val="0016195A"/>
    <w:rsid w:val="0016225E"/>
    <w:rsid w:val="00163D85"/>
    <w:rsid w:val="0016541F"/>
    <w:rsid w:val="00165F74"/>
    <w:rsid w:val="00166D51"/>
    <w:rsid w:val="00170425"/>
    <w:rsid w:val="0017117E"/>
    <w:rsid w:val="00171864"/>
    <w:rsid w:val="00173D00"/>
    <w:rsid w:val="00174D02"/>
    <w:rsid w:val="001753B0"/>
    <w:rsid w:val="00176145"/>
    <w:rsid w:val="001767E9"/>
    <w:rsid w:val="00176900"/>
    <w:rsid w:val="00176D5A"/>
    <w:rsid w:val="00183151"/>
    <w:rsid w:val="00183675"/>
    <w:rsid w:val="00184086"/>
    <w:rsid w:val="00184092"/>
    <w:rsid w:val="0018442B"/>
    <w:rsid w:val="001850F1"/>
    <w:rsid w:val="00185AF4"/>
    <w:rsid w:val="001871D8"/>
    <w:rsid w:val="00187332"/>
    <w:rsid w:val="00187C40"/>
    <w:rsid w:val="00191AF2"/>
    <w:rsid w:val="00191E48"/>
    <w:rsid w:val="0019272F"/>
    <w:rsid w:val="0019359B"/>
    <w:rsid w:val="00193C85"/>
    <w:rsid w:val="00193D40"/>
    <w:rsid w:val="001942D1"/>
    <w:rsid w:val="001951E0"/>
    <w:rsid w:val="0019536A"/>
    <w:rsid w:val="001965E1"/>
    <w:rsid w:val="00196D3D"/>
    <w:rsid w:val="00196D70"/>
    <w:rsid w:val="00196E80"/>
    <w:rsid w:val="00196E82"/>
    <w:rsid w:val="00196F0C"/>
    <w:rsid w:val="00197256"/>
    <w:rsid w:val="00197B7C"/>
    <w:rsid w:val="00197C75"/>
    <w:rsid w:val="001A11E9"/>
    <w:rsid w:val="001A1BC9"/>
    <w:rsid w:val="001A22F8"/>
    <w:rsid w:val="001A38A9"/>
    <w:rsid w:val="001A3DEA"/>
    <w:rsid w:val="001A5DD1"/>
    <w:rsid w:val="001A6E57"/>
    <w:rsid w:val="001A7863"/>
    <w:rsid w:val="001A7992"/>
    <w:rsid w:val="001B033B"/>
    <w:rsid w:val="001B06EA"/>
    <w:rsid w:val="001B1E00"/>
    <w:rsid w:val="001B299B"/>
    <w:rsid w:val="001B2B4A"/>
    <w:rsid w:val="001B2E1E"/>
    <w:rsid w:val="001B37E4"/>
    <w:rsid w:val="001B4951"/>
    <w:rsid w:val="001B50CE"/>
    <w:rsid w:val="001B5366"/>
    <w:rsid w:val="001B5369"/>
    <w:rsid w:val="001B63AE"/>
    <w:rsid w:val="001B647F"/>
    <w:rsid w:val="001B6976"/>
    <w:rsid w:val="001B6BD1"/>
    <w:rsid w:val="001B7554"/>
    <w:rsid w:val="001B7DA5"/>
    <w:rsid w:val="001B7DD0"/>
    <w:rsid w:val="001C0261"/>
    <w:rsid w:val="001C070B"/>
    <w:rsid w:val="001C0AC5"/>
    <w:rsid w:val="001C0B31"/>
    <w:rsid w:val="001C1CC6"/>
    <w:rsid w:val="001C45C8"/>
    <w:rsid w:val="001C4683"/>
    <w:rsid w:val="001C49FC"/>
    <w:rsid w:val="001C54A6"/>
    <w:rsid w:val="001C6427"/>
    <w:rsid w:val="001C687A"/>
    <w:rsid w:val="001D08E7"/>
    <w:rsid w:val="001D1E30"/>
    <w:rsid w:val="001D1FB1"/>
    <w:rsid w:val="001D36F1"/>
    <w:rsid w:val="001D577B"/>
    <w:rsid w:val="001D609D"/>
    <w:rsid w:val="001D6783"/>
    <w:rsid w:val="001D71ED"/>
    <w:rsid w:val="001E0611"/>
    <w:rsid w:val="001E272D"/>
    <w:rsid w:val="001E3CAE"/>
    <w:rsid w:val="001E42AE"/>
    <w:rsid w:val="001E50B5"/>
    <w:rsid w:val="001E58A5"/>
    <w:rsid w:val="001E676C"/>
    <w:rsid w:val="001E68B0"/>
    <w:rsid w:val="001E6A4D"/>
    <w:rsid w:val="001E79F4"/>
    <w:rsid w:val="001E7AA6"/>
    <w:rsid w:val="001F0988"/>
    <w:rsid w:val="001F13F5"/>
    <w:rsid w:val="001F14A5"/>
    <w:rsid w:val="001F19E8"/>
    <w:rsid w:val="001F1B62"/>
    <w:rsid w:val="001F1F58"/>
    <w:rsid w:val="001F31BC"/>
    <w:rsid w:val="001F3422"/>
    <w:rsid w:val="001F3559"/>
    <w:rsid w:val="001F5EF8"/>
    <w:rsid w:val="001F7B4E"/>
    <w:rsid w:val="0020244B"/>
    <w:rsid w:val="00202734"/>
    <w:rsid w:val="00202C5B"/>
    <w:rsid w:val="002073CC"/>
    <w:rsid w:val="00207D5D"/>
    <w:rsid w:val="00211462"/>
    <w:rsid w:val="00211DAB"/>
    <w:rsid w:val="00211E83"/>
    <w:rsid w:val="00212BE0"/>
    <w:rsid w:val="0021336B"/>
    <w:rsid w:val="00213882"/>
    <w:rsid w:val="00214381"/>
    <w:rsid w:val="00216E0E"/>
    <w:rsid w:val="002216CF"/>
    <w:rsid w:val="00221C10"/>
    <w:rsid w:val="002223DB"/>
    <w:rsid w:val="00222653"/>
    <w:rsid w:val="00222EDA"/>
    <w:rsid w:val="002231B6"/>
    <w:rsid w:val="002256A2"/>
    <w:rsid w:val="00225DE7"/>
    <w:rsid w:val="002268EF"/>
    <w:rsid w:val="0022766C"/>
    <w:rsid w:val="0022797A"/>
    <w:rsid w:val="00227B91"/>
    <w:rsid w:val="00227F59"/>
    <w:rsid w:val="002301CB"/>
    <w:rsid w:val="00230AD0"/>
    <w:rsid w:val="00233470"/>
    <w:rsid w:val="00233B49"/>
    <w:rsid w:val="00233D01"/>
    <w:rsid w:val="00234459"/>
    <w:rsid w:val="0023476A"/>
    <w:rsid w:val="00234FB3"/>
    <w:rsid w:val="0023690D"/>
    <w:rsid w:val="00237D09"/>
    <w:rsid w:val="00240E63"/>
    <w:rsid w:val="00241668"/>
    <w:rsid w:val="00243CB7"/>
    <w:rsid w:val="00243D64"/>
    <w:rsid w:val="00244070"/>
    <w:rsid w:val="0024568C"/>
    <w:rsid w:val="0024641E"/>
    <w:rsid w:val="0024759F"/>
    <w:rsid w:val="00247E0E"/>
    <w:rsid w:val="0025021F"/>
    <w:rsid w:val="002522DA"/>
    <w:rsid w:val="00254079"/>
    <w:rsid w:val="00254A03"/>
    <w:rsid w:val="00254BD4"/>
    <w:rsid w:val="00255DCC"/>
    <w:rsid w:val="00255E1C"/>
    <w:rsid w:val="00255FA4"/>
    <w:rsid w:val="0025623D"/>
    <w:rsid w:val="00257FE7"/>
    <w:rsid w:val="002600AC"/>
    <w:rsid w:val="00260B8F"/>
    <w:rsid w:val="002617DD"/>
    <w:rsid w:val="00261CBB"/>
    <w:rsid w:val="00262D4E"/>
    <w:rsid w:val="00263BE4"/>
    <w:rsid w:val="00263FB5"/>
    <w:rsid w:val="002641E3"/>
    <w:rsid w:val="00264B94"/>
    <w:rsid w:val="0026565A"/>
    <w:rsid w:val="002672DB"/>
    <w:rsid w:val="0026733C"/>
    <w:rsid w:val="002709D8"/>
    <w:rsid w:val="00270CC1"/>
    <w:rsid w:val="002718D5"/>
    <w:rsid w:val="00272BAC"/>
    <w:rsid w:val="00272D7E"/>
    <w:rsid w:val="002744E5"/>
    <w:rsid w:val="00275B17"/>
    <w:rsid w:val="00275E0B"/>
    <w:rsid w:val="0027629D"/>
    <w:rsid w:val="0027782A"/>
    <w:rsid w:val="00280E18"/>
    <w:rsid w:val="00281908"/>
    <w:rsid w:val="00281F53"/>
    <w:rsid w:val="00282484"/>
    <w:rsid w:val="00282EF2"/>
    <w:rsid w:val="00283A77"/>
    <w:rsid w:val="0028440E"/>
    <w:rsid w:val="00284486"/>
    <w:rsid w:val="002856E6"/>
    <w:rsid w:val="00285701"/>
    <w:rsid w:val="00285AA9"/>
    <w:rsid w:val="002863B1"/>
    <w:rsid w:val="002872CE"/>
    <w:rsid w:val="00287D21"/>
    <w:rsid w:val="002901D3"/>
    <w:rsid w:val="002904C9"/>
    <w:rsid w:val="002916DF"/>
    <w:rsid w:val="00292630"/>
    <w:rsid w:val="00292B23"/>
    <w:rsid w:val="00293A81"/>
    <w:rsid w:val="00294841"/>
    <w:rsid w:val="00294DB7"/>
    <w:rsid w:val="002966C4"/>
    <w:rsid w:val="00297730"/>
    <w:rsid w:val="00297F55"/>
    <w:rsid w:val="002A0439"/>
    <w:rsid w:val="002A046B"/>
    <w:rsid w:val="002A231A"/>
    <w:rsid w:val="002A2ED1"/>
    <w:rsid w:val="002A3E67"/>
    <w:rsid w:val="002A4068"/>
    <w:rsid w:val="002A4D16"/>
    <w:rsid w:val="002A4E90"/>
    <w:rsid w:val="002A59C5"/>
    <w:rsid w:val="002A6CA0"/>
    <w:rsid w:val="002A75E5"/>
    <w:rsid w:val="002B1B44"/>
    <w:rsid w:val="002B357B"/>
    <w:rsid w:val="002B3982"/>
    <w:rsid w:val="002B3AC4"/>
    <w:rsid w:val="002B43C6"/>
    <w:rsid w:val="002B53F3"/>
    <w:rsid w:val="002B79CF"/>
    <w:rsid w:val="002B7E2B"/>
    <w:rsid w:val="002C033D"/>
    <w:rsid w:val="002C1332"/>
    <w:rsid w:val="002C13EA"/>
    <w:rsid w:val="002C29C9"/>
    <w:rsid w:val="002C56E3"/>
    <w:rsid w:val="002C5A5F"/>
    <w:rsid w:val="002C5F71"/>
    <w:rsid w:val="002C623B"/>
    <w:rsid w:val="002C664C"/>
    <w:rsid w:val="002C7772"/>
    <w:rsid w:val="002D01B2"/>
    <w:rsid w:val="002D02E1"/>
    <w:rsid w:val="002D08F1"/>
    <w:rsid w:val="002D0DEC"/>
    <w:rsid w:val="002D1000"/>
    <w:rsid w:val="002D13A1"/>
    <w:rsid w:val="002D267D"/>
    <w:rsid w:val="002D2DCB"/>
    <w:rsid w:val="002D2FE7"/>
    <w:rsid w:val="002D3257"/>
    <w:rsid w:val="002D38B5"/>
    <w:rsid w:val="002D3CCD"/>
    <w:rsid w:val="002D4800"/>
    <w:rsid w:val="002D577C"/>
    <w:rsid w:val="002D598B"/>
    <w:rsid w:val="002D74A1"/>
    <w:rsid w:val="002D76B1"/>
    <w:rsid w:val="002D7978"/>
    <w:rsid w:val="002E0131"/>
    <w:rsid w:val="002E07E2"/>
    <w:rsid w:val="002E1289"/>
    <w:rsid w:val="002E313D"/>
    <w:rsid w:val="002E3E88"/>
    <w:rsid w:val="002E3F69"/>
    <w:rsid w:val="002E4D5D"/>
    <w:rsid w:val="002E4DC9"/>
    <w:rsid w:val="002E4DCA"/>
    <w:rsid w:val="002E52E8"/>
    <w:rsid w:val="002E54E2"/>
    <w:rsid w:val="002E5D6B"/>
    <w:rsid w:val="002E5DB6"/>
    <w:rsid w:val="002E6D4B"/>
    <w:rsid w:val="002E7C48"/>
    <w:rsid w:val="002F0795"/>
    <w:rsid w:val="002F07D7"/>
    <w:rsid w:val="002F1422"/>
    <w:rsid w:val="002F1BE7"/>
    <w:rsid w:val="002F35AD"/>
    <w:rsid w:val="002F3EA0"/>
    <w:rsid w:val="002F481D"/>
    <w:rsid w:val="002F7654"/>
    <w:rsid w:val="002F7E82"/>
    <w:rsid w:val="00301E97"/>
    <w:rsid w:val="00302D6A"/>
    <w:rsid w:val="0030381B"/>
    <w:rsid w:val="00303DB7"/>
    <w:rsid w:val="00303E4E"/>
    <w:rsid w:val="0030481C"/>
    <w:rsid w:val="00304A7F"/>
    <w:rsid w:val="003055FC"/>
    <w:rsid w:val="00305928"/>
    <w:rsid w:val="00305C7C"/>
    <w:rsid w:val="003062D0"/>
    <w:rsid w:val="00306690"/>
    <w:rsid w:val="00306DF9"/>
    <w:rsid w:val="003076E0"/>
    <w:rsid w:val="00307ED8"/>
    <w:rsid w:val="00312F7F"/>
    <w:rsid w:val="00313023"/>
    <w:rsid w:val="00313728"/>
    <w:rsid w:val="00313863"/>
    <w:rsid w:val="00314029"/>
    <w:rsid w:val="00314FD3"/>
    <w:rsid w:val="00316517"/>
    <w:rsid w:val="00316A86"/>
    <w:rsid w:val="003177A5"/>
    <w:rsid w:val="00317879"/>
    <w:rsid w:val="00317892"/>
    <w:rsid w:val="003202A3"/>
    <w:rsid w:val="003206FD"/>
    <w:rsid w:val="00321F96"/>
    <w:rsid w:val="00322143"/>
    <w:rsid w:val="00322F98"/>
    <w:rsid w:val="003236CD"/>
    <w:rsid w:val="00324124"/>
    <w:rsid w:val="00324168"/>
    <w:rsid w:val="003242B8"/>
    <w:rsid w:val="003247F0"/>
    <w:rsid w:val="00324EAC"/>
    <w:rsid w:val="00325E24"/>
    <w:rsid w:val="00327D92"/>
    <w:rsid w:val="00327FC5"/>
    <w:rsid w:val="00327FE1"/>
    <w:rsid w:val="0033058D"/>
    <w:rsid w:val="003312E5"/>
    <w:rsid w:val="0033156A"/>
    <w:rsid w:val="00332E09"/>
    <w:rsid w:val="00333A55"/>
    <w:rsid w:val="00334091"/>
    <w:rsid w:val="00334499"/>
    <w:rsid w:val="003354FF"/>
    <w:rsid w:val="00335B72"/>
    <w:rsid w:val="00337457"/>
    <w:rsid w:val="00337B0A"/>
    <w:rsid w:val="00341A6D"/>
    <w:rsid w:val="003434CB"/>
    <w:rsid w:val="00344282"/>
    <w:rsid w:val="003456EC"/>
    <w:rsid w:val="0034649B"/>
    <w:rsid w:val="003505C1"/>
    <w:rsid w:val="003506F1"/>
    <w:rsid w:val="00351AD4"/>
    <w:rsid w:val="00354ABB"/>
    <w:rsid w:val="00355507"/>
    <w:rsid w:val="00356D3F"/>
    <w:rsid w:val="00356E9B"/>
    <w:rsid w:val="00357087"/>
    <w:rsid w:val="003576C4"/>
    <w:rsid w:val="003600B1"/>
    <w:rsid w:val="00360BE4"/>
    <w:rsid w:val="00360E39"/>
    <w:rsid w:val="003614D0"/>
    <w:rsid w:val="003620A9"/>
    <w:rsid w:val="00362E13"/>
    <w:rsid w:val="00362EB1"/>
    <w:rsid w:val="0036384B"/>
    <w:rsid w:val="00365C10"/>
    <w:rsid w:val="00365E85"/>
    <w:rsid w:val="00366B10"/>
    <w:rsid w:val="003674E3"/>
    <w:rsid w:val="00367B9B"/>
    <w:rsid w:val="00372E55"/>
    <w:rsid w:val="003733EF"/>
    <w:rsid w:val="00373497"/>
    <w:rsid w:val="003734F6"/>
    <w:rsid w:val="00374447"/>
    <w:rsid w:val="0037466D"/>
    <w:rsid w:val="00375209"/>
    <w:rsid w:val="00376090"/>
    <w:rsid w:val="00377351"/>
    <w:rsid w:val="00377B26"/>
    <w:rsid w:val="003805FF"/>
    <w:rsid w:val="003817AF"/>
    <w:rsid w:val="00383021"/>
    <w:rsid w:val="00383146"/>
    <w:rsid w:val="003831F5"/>
    <w:rsid w:val="0038320B"/>
    <w:rsid w:val="00383B95"/>
    <w:rsid w:val="00383EE3"/>
    <w:rsid w:val="0038430C"/>
    <w:rsid w:val="00384388"/>
    <w:rsid w:val="003852AF"/>
    <w:rsid w:val="0039004D"/>
    <w:rsid w:val="003911FB"/>
    <w:rsid w:val="0039136C"/>
    <w:rsid w:val="0039149A"/>
    <w:rsid w:val="00392291"/>
    <w:rsid w:val="0039442C"/>
    <w:rsid w:val="003946E3"/>
    <w:rsid w:val="00394A0A"/>
    <w:rsid w:val="00395967"/>
    <w:rsid w:val="00395D49"/>
    <w:rsid w:val="003965A7"/>
    <w:rsid w:val="00396C6C"/>
    <w:rsid w:val="00397922"/>
    <w:rsid w:val="00397A4F"/>
    <w:rsid w:val="003A0426"/>
    <w:rsid w:val="003A0B5B"/>
    <w:rsid w:val="003A0CAC"/>
    <w:rsid w:val="003A222D"/>
    <w:rsid w:val="003A5154"/>
    <w:rsid w:val="003A5F8B"/>
    <w:rsid w:val="003A6CE7"/>
    <w:rsid w:val="003A71D9"/>
    <w:rsid w:val="003A758F"/>
    <w:rsid w:val="003A7AA6"/>
    <w:rsid w:val="003A7F62"/>
    <w:rsid w:val="003B00E6"/>
    <w:rsid w:val="003B0562"/>
    <w:rsid w:val="003B0CA4"/>
    <w:rsid w:val="003B2DCF"/>
    <w:rsid w:val="003B314C"/>
    <w:rsid w:val="003B392E"/>
    <w:rsid w:val="003B502E"/>
    <w:rsid w:val="003B5CC6"/>
    <w:rsid w:val="003B6229"/>
    <w:rsid w:val="003B66E6"/>
    <w:rsid w:val="003B6710"/>
    <w:rsid w:val="003B792D"/>
    <w:rsid w:val="003B7ABC"/>
    <w:rsid w:val="003C099B"/>
    <w:rsid w:val="003C09D5"/>
    <w:rsid w:val="003C1DEC"/>
    <w:rsid w:val="003C22B2"/>
    <w:rsid w:val="003C29A3"/>
    <w:rsid w:val="003C3357"/>
    <w:rsid w:val="003C382B"/>
    <w:rsid w:val="003C4D64"/>
    <w:rsid w:val="003C4D7C"/>
    <w:rsid w:val="003C5075"/>
    <w:rsid w:val="003C52F9"/>
    <w:rsid w:val="003C5B0A"/>
    <w:rsid w:val="003C5CFB"/>
    <w:rsid w:val="003C6BB3"/>
    <w:rsid w:val="003C6D86"/>
    <w:rsid w:val="003C7608"/>
    <w:rsid w:val="003D0327"/>
    <w:rsid w:val="003D214A"/>
    <w:rsid w:val="003D29E6"/>
    <w:rsid w:val="003D2BD5"/>
    <w:rsid w:val="003D6018"/>
    <w:rsid w:val="003D7B73"/>
    <w:rsid w:val="003E0CA7"/>
    <w:rsid w:val="003E1379"/>
    <w:rsid w:val="003E1721"/>
    <w:rsid w:val="003E20E2"/>
    <w:rsid w:val="003E23A7"/>
    <w:rsid w:val="003E386D"/>
    <w:rsid w:val="003E3CD9"/>
    <w:rsid w:val="003E4D2F"/>
    <w:rsid w:val="003E5184"/>
    <w:rsid w:val="003E56F2"/>
    <w:rsid w:val="003E5ADC"/>
    <w:rsid w:val="003E5E1E"/>
    <w:rsid w:val="003E656F"/>
    <w:rsid w:val="003E6777"/>
    <w:rsid w:val="003E6B43"/>
    <w:rsid w:val="003E7134"/>
    <w:rsid w:val="003E7834"/>
    <w:rsid w:val="003F1A26"/>
    <w:rsid w:val="003F4B19"/>
    <w:rsid w:val="003F4D2B"/>
    <w:rsid w:val="003F62B6"/>
    <w:rsid w:val="003F666E"/>
    <w:rsid w:val="003F6A5A"/>
    <w:rsid w:val="003F6BB0"/>
    <w:rsid w:val="003F6CED"/>
    <w:rsid w:val="003F748C"/>
    <w:rsid w:val="00400896"/>
    <w:rsid w:val="00400ABE"/>
    <w:rsid w:val="00401303"/>
    <w:rsid w:val="00401A03"/>
    <w:rsid w:val="00406281"/>
    <w:rsid w:val="00406B5C"/>
    <w:rsid w:val="004071A0"/>
    <w:rsid w:val="00410686"/>
    <w:rsid w:val="004106C8"/>
    <w:rsid w:val="00410C70"/>
    <w:rsid w:val="00411C03"/>
    <w:rsid w:val="00412237"/>
    <w:rsid w:val="004128EB"/>
    <w:rsid w:val="0041295F"/>
    <w:rsid w:val="00412E7F"/>
    <w:rsid w:val="0041397B"/>
    <w:rsid w:val="004146CB"/>
    <w:rsid w:val="00414FF1"/>
    <w:rsid w:val="0041517B"/>
    <w:rsid w:val="00415773"/>
    <w:rsid w:val="00415B9D"/>
    <w:rsid w:val="00415D5A"/>
    <w:rsid w:val="00417062"/>
    <w:rsid w:val="004170C5"/>
    <w:rsid w:val="0041737C"/>
    <w:rsid w:val="00417A84"/>
    <w:rsid w:val="00417B82"/>
    <w:rsid w:val="00417F09"/>
    <w:rsid w:val="0042006D"/>
    <w:rsid w:val="00420663"/>
    <w:rsid w:val="00420F05"/>
    <w:rsid w:val="004216F6"/>
    <w:rsid w:val="00422DEC"/>
    <w:rsid w:val="00423855"/>
    <w:rsid w:val="00424376"/>
    <w:rsid w:val="0042520E"/>
    <w:rsid w:val="004254E3"/>
    <w:rsid w:val="00427A75"/>
    <w:rsid w:val="00430956"/>
    <w:rsid w:val="0043127A"/>
    <w:rsid w:val="0043157A"/>
    <w:rsid w:val="0043236A"/>
    <w:rsid w:val="00432E11"/>
    <w:rsid w:val="00433A8F"/>
    <w:rsid w:val="00433C78"/>
    <w:rsid w:val="0043414F"/>
    <w:rsid w:val="004347BC"/>
    <w:rsid w:val="00434855"/>
    <w:rsid w:val="00437311"/>
    <w:rsid w:val="0044035C"/>
    <w:rsid w:val="004404D1"/>
    <w:rsid w:val="004415D2"/>
    <w:rsid w:val="004427C8"/>
    <w:rsid w:val="0044310D"/>
    <w:rsid w:val="004431B1"/>
    <w:rsid w:val="004432D4"/>
    <w:rsid w:val="0044365F"/>
    <w:rsid w:val="00444194"/>
    <w:rsid w:val="0044486B"/>
    <w:rsid w:val="0044582C"/>
    <w:rsid w:val="0044672F"/>
    <w:rsid w:val="004506E3"/>
    <w:rsid w:val="00450953"/>
    <w:rsid w:val="00450E4B"/>
    <w:rsid w:val="00451CF0"/>
    <w:rsid w:val="0045265A"/>
    <w:rsid w:val="00452D80"/>
    <w:rsid w:val="00453632"/>
    <w:rsid w:val="00453E0A"/>
    <w:rsid w:val="00456138"/>
    <w:rsid w:val="00456D22"/>
    <w:rsid w:val="004573FF"/>
    <w:rsid w:val="00461669"/>
    <w:rsid w:val="00462948"/>
    <w:rsid w:val="00463484"/>
    <w:rsid w:val="004641E8"/>
    <w:rsid w:val="0046496F"/>
    <w:rsid w:val="00464A27"/>
    <w:rsid w:val="00466081"/>
    <w:rsid w:val="004663A1"/>
    <w:rsid w:val="004676CE"/>
    <w:rsid w:val="004703E9"/>
    <w:rsid w:val="00471116"/>
    <w:rsid w:val="00471E66"/>
    <w:rsid w:val="0047229D"/>
    <w:rsid w:val="004729A4"/>
    <w:rsid w:val="00472CA0"/>
    <w:rsid w:val="004809DE"/>
    <w:rsid w:val="004827FD"/>
    <w:rsid w:val="00482E3C"/>
    <w:rsid w:val="0048377B"/>
    <w:rsid w:val="00483991"/>
    <w:rsid w:val="00484AEF"/>
    <w:rsid w:val="00484FD1"/>
    <w:rsid w:val="004854C1"/>
    <w:rsid w:val="00485B0D"/>
    <w:rsid w:val="00485B1C"/>
    <w:rsid w:val="004860BB"/>
    <w:rsid w:val="004873B1"/>
    <w:rsid w:val="00487E62"/>
    <w:rsid w:val="004902A0"/>
    <w:rsid w:val="0049291A"/>
    <w:rsid w:val="004940D5"/>
    <w:rsid w:val="00494132"/>
    <w:rsid w:val="004947DF"/>
    <w:rsid w:val="00494ED0"/>
    <w:rsid w:val="00495B2A"/>
    <w:rsid w:val="00496CB5"/>
    <w:rsid w:val="00497D1F"/>
    <w:rsid w:val="004A0D37"/>
    <w:rsid w:val="004A100E"/>
    <w:rsid w:val="004A16EC"/>
    <w:rsid w:val="004A1FC5"/>
    <w:rsid w:val="004A246B"/>
    <w:rsid w:val="004A25AF"/>
    <w:rsid w:val="004A2BAA"/>
    <w:rsid w:val="004A3C86"/>
    <w:rsid w:val="004A3FBB"/>
    <w:rsid w:val="004A48C1"/>
    <w:rsid w:val="004A4F2E"/>
    <w:rsid w:val="004A5D8A"/>
    <w:rsid w:val="004A6D1B"/>
    <w:rsid w:val="004A794C"/>
    <w:rsid w:val="004A7EA1"/>
    <w:rsid w:val="004B00C0"/>
    <w:rsid w:val="004B0454"/>
    <w:rsid w:val="004B22C2"/>
    <w:rsid w:val="004B31C8"/>
    <w:rsid w:val="004B4614"/>
    <w:rsid w:val="004B4924"/>
    <w:rsid w:val="004B5E22"/>
    <w:rsid w:val="004B6D54"/>
    <w:rsid w:val="004B7A11"/>
    <w:rsid w:val="004C0516"/>
    <w:rsid w:val="004C0E27"/>
    <w:rsid w:val="004C14FE"/>
    <w:rsid w:val="004C28F0"/>
    <w:rsid w:val="004C2969"/>
    <w:rsid w:val="004C3294"/>
    <w:rsid w:val="004C4559"/>
    <w:rsid w:val="004C5052"/>
    <w:rsid w:val="004C5B9C"/>
    <w:rsid w:val="004C7201"/>
    <w:rsid w:val="004D0DFD"/>
    <w:rsid w:val="004D15DC"/>
    <w:rsid w:val="004D18B9"/>
    <w:rsid w:val="004D1F3F"/>
    <w:rsid w:val="004D28B7"/>
    <w:rsid w:val="004D35B6"/>
    <w:rsid w:val="004D3789"/>
    <w:rsid w:val="004D4062"/>
    <w:rsid w:val="004D4580"/>
    <w:rsid w:val="004D4763"/>
    <w:rsid w:val="004D5157"/>
    <w:rsid w:val="004D51E6"/>
    <w:rsid w:val="004D5667"/>
    <w:rsid w:val="004D5BA5"/>
    <w:rsid w:val="004D60E4"/>
    <w:rsid w:val="004D7B70"/>
    <w:rsid w:val="004E16D4"/>
    <w:rsid w:val="004E1BFA"/>
    <w:rsid w:val="004E2938"/>
    <w:rsid w:val="004E2AC1"/>
    <w:rsid w:val="004E2C8C"/>
    <w:rsid w:val="004E3958"/>
    <w:rsid w:val="004E3C62"/>
    <w:rsid w:val="004E3CAC"/>
    <w:rsid w:val="004E402E"/>
    <w:rsid w:val="004E5194"/>
    <w:rsid w:val="004F0564"/>
    <w:rsid w:val="004F1523"/>
    <w:rsid w:val="004F1629"/>
    <w:rsid w:val="004F16E8"/>
    <w:rsid w:val="004F1947"/>
    <w:rsid w:val="004F21A9"/>
    <w:rsid w:val="004F3775"/>
    <w:rsid w:val="004F43A1"/>
    <w:rsid w:val="004F49DE"/>
    <w:rsid w:val="004F4FFC"/>
    <w:rsid w:val="004F5266"/>
    <w:rsid w:val="004F5C39"/>
    <w:rsid w:val="004F6F07"/>
    <w:rsid w:val="004F7674"/>
    <w:rsid w:val="004F77DC"/>
    <w:rsid w:val="005001C6"/>
    <w:rsid w:val="00500619"/>
    <w:rsid w:val="00500945"/>
    <w:rsid w:val="00500DAD"/>
    <w:rsid w:val="00500E47"/>
    <w:rsid w:val="00502616"/>
    <w:rsid w:val="00502807"/>
    <w:rsid w:val="00503210"/>
    <w:rsid w:val="00503580"/>
    <w:rsid w:val="00503DA3"/>
    <w:rsid w:val="005046F0"/>
    <w:rsid w:val="005065A7"/>
    <w:rsid w:val="0050742E"/>
    <w:rsid w:val="005075EC"/>
    <w:rsid w:val="005107B1"/>
    <w:rsid w:val="00510AB3"/>
    <w:rsid w:val="00510C68"/>
    <w:rsid w:val="005114E0"/>
    <w:rsid w:val="00513153"/>
    <w:rsid w:val="00514BDC"/>
    <w:rsid w:val="00514C01"/>
    <w:rsid w:val="00514E83"/>
    <w:rsid w:val="00515455"/>
    <w:rsid w:val="0051743E"/>
    <w:rsid w:val="0051773E"/>
    <w:rsid w:val="005200B3"/>
    <w:rsid w:val="005210DD"/>
    <w:rsid w:val="0052127F"/>
    <w:rsid w:val="0052199E"/>
    <w:rsid w:val="00522059"/>
    <w:rsid w:val="005227EB"/>
    <w:rsid w:val="00522977"/>
    <w:rsid w:val="005260FB"/>
    <w:rsid w:val="00527D5C"/>
    <w:rsid w:val="00530362"/>
    <w:rsid w:val="005319DC"/>
    <w:rsid w:val="00531ABF"/>
    <w:rsid w:val="00531EBC"/>
    <w:rsid w:val="00532709"/>
    <w:rsid w:val="00533729"/>
    <w:rsid w:val="00535941"/>
    <w:rsid w:val="00536190"/>
    <w:rsid w:val="0053691F"/>
    <w:rsid w:val="005406E7"/>
    <w:rsid w:val="00540713"/>
    <w:rsid w:val="00540807"/>
    <w:rsid w:val="0054097A"/>
    <w:rsid w:val="00541928"/>
    <w:rsid w:val="00541AC8"/>
    <w:rsid w:val="00541F90"/>
    <w:rsid w:val="00542335"/>
    <w:rsid w:val="00542A10"/>
    <w:rsid w:val="00542D7C"/>
    <w:rsid w:val="00543195"/>
    <w:rsid w:val="005432B3"/>
    <w:rsid w:val="00543D4B"/>
    <w:rsid w:val="00547535"/>
    <w:rsid w:val="00547562"/>
    <w:rsid w:val="0054793B"/>
    <w:rsid w:val="00550C3C"/>
    <w:rsid w:val="00550E22"/>
    <w:rsid w:val="005514F3"/>
    <w:rsid w:val="00552F6D"/>
    <w:rsid w:val="00552F73"/>
    <w:rsid w:val="005539D1"/>
    <w:rsid w:val="00554394"/>
    <w:rsid w:val="005602E9"/>
    <w:rsid w:val="005607CF"/>
    <w:rsid w:val="005623EA"/>
    <w:rsid w:val="0056560A"/>
    <w:rsid w:val="00566D52"/>
    <w:rsid w:val="00566E04"/>
    <w:rsid w:val="005673CE"/>
    <w:rsid w:val="0056799E"/>
    <w:rsid w:val="0057005D"/>
    <w:rsid w:val="005702AF"/>
    <w:rsid w:val="00570DF6"/>
    <w:rsid w:val="005713FA"/>
    <w:rsid w:val="00572B10"/>
    <w:rsid w:val="005749DD"/>
    <w:rsid w:val="00575243"/>
    <w:rsid w:val="00576243"/>
    <w:rsid w:val="005763AC"/>
    <w:rsid w:val="005773EF"/>
    <w:rsid w:val="00580C39"/>
    <w:rsid w:val="0058145A"/>
    <w:rsid w:val="00582CE4"/>
    <w:rsid w:val="00583107"/>
    <w:rsid w:val="00583831"/>
    <w:rsid w:val="00583856"/>
    <w:rsid w:val="00584651"/>
    <w:rsid w:val="0058604B"/>
    <w:rsid w:val="005874BD"/>
    <w:rsid w:val="00587550"/>
    <w:rsid w:val="00590F90"/>
    <w:rsid w:val="00590FE1"/>
    <w:rsid w:val="005912D8"/>
    <w:rsid w:val="0059273A"/>
    <w:rsid w:val="00592CC1"/>
    <w:rsid w:val="005942A5"/>
    <w:rsid w:val="00596CF3"/>
    <w:rsid w:val="005A0022"/>
    <w:rsid w:val="005A2263"/>
    <w:rsid w:val="005A40B9"/>
    <w:rsid w:val="005A46FC"/>
    <w:rsid w:val="005A513F"/>
    <w:rsid w:val="005A5294"/>
    <w:rsid w:val="005A535D"/>
    <w:rsid w:val="005A561A"/>
    <w:rsid w:val="005A67AB"/>
    <w:rsid w:val="005A71C9"/>
    <w:rsid w:val="005B00A1"/>
    <w:rsid w:val="005B07E5"/>
    <w:rsid w:val="005B0893"/>
    <w:rsid w:val="005B25C1"/>
    <w:rsid w:val="005B2A34"/>
    <w:rsid w:val="005B2CCB"/>
    <w:rsid w:val="005B3C4E"/>
    <w:rsid w:val="005B43FB"/>
    <w:rsid w:val="005B4513"/>
    <w:rsid w:val="005B47D2"/>
    <w:rsid w:val="005B49BD"/>
    <w:rsid w:val="005B57E2"/>
    <w:rsid w:val="005B5EE3"/>
    <w:rsid w:val="005B62FF"/>
    <w:rsid w:val="005B7B04"/>
    <w:rsid w:val="005B7DE7"/>
    <w:rsid w:val="005B7E83"/>
    <w:rsid w:val="005C1E16"/>
    <w:rsid w:val="005C341A"/>
    <w:rsid w:val="005C3861"/>
    <w:rsid w:val="005C38C5"/>
    <w:rsid w:val="005C3D0B"/>
    <w:rsid w:val="005C6BD9"/>
    <w:rsid w:val="005D0557"/>
    <w:rsid w:val="005D05C7"/>
    <w:rsid w:val="005D06FD"/>
    <w:rsid w:val="005D0AE5"/>
    <w:rsid w:val="005D0BAC"/>
    <w:rsid w:val="005D0EF6"/>
    <w:rsid w:val="005D115D"/>
    <w:rsid w:val="005D1B86"/>
    <w:rsid w:val="005D20AA"/>
    <w:rsid w:val="005D212F"/>
    <w:rsid w:val="005D2D3A"/>
    <w:rsid w:val="005D4629"/>
    <w:rsid w:val="005D4BFA"/>
    <w:rsid w:val="005D564E"/>
    <w:rsid w:val="005D59BD"/>
    <w:rsid w:val="005D5B45"/>
    <w:rsid w:val="005D5D31"/>
    <w:rsid w:val="005D6546"/>
    <w:rsid w:val="005D6926"/>
    <w:rsid w:val="005D7451"/>
    <w:rsid w:val="005D7581"/>
    <w:rsid w:val="005D77F8"/>
    <w:rsid w:val="005D7B87"/>
    <w:rsid w:val="005D7BDF"/>
    <w:rsid w:val="005E02CF"/>
    <w:rsid w:val="005E0ED3"/>
    <w:rsid w:val="005E0FEF"/>
    <w:rsid w:val="005E15D6"/>
    <w:rsid w:val="005E1891"/>
    <w:rsid w:val="005E1F1B"/>
    <w:rsid w:val="005E21D6"/>
    <w:rsid w:val="005E257F"/>
    <w:rsid w:val="005E30AE"/>
    <w:rsid w:val="005E3E39"/>
    <w:rsid w:val="005E4690"/>
    <w:rsid w:val="005E52D7"/>
    <w:rsid w:val="005E5914"/>
    <w:rsid w:val="005E70D1"/>
    <w:rsid w:val="005E7323"/>
    <w:rsid w:val="005E7438"/>
    <w:rsid w:val="005F07C6"/>
    <w:rsid w:val="005F175C"/>
    <w:rsid w:val="005F1F28"/>
    <w:rsid w:val="005F23BA"/>
    <w:rsid w:val="005F3B2C"/>
    <w:rsid w:val="005F3BC0"/>
    <w:rsid w:val="005F5CB9"/>
    <w:rsid w:val="005F6BFC"/>
    <w:rsid w:val="005F6C7C"/>
    <w:rsid w:val="00601A02"/>
    <w:rsid w:val="00601C14"/>
    <w:rsid w:val="00603D70"/>
    <w:rsid w:val="00603E6C"/>
    <w:rsid w:val="006056E2"/>
    <w:rsid w:val="0060583C"/>
    <w:rsid w:val="0060663A"/>
    <w:rsid w:val="00607542"/>
    <w:rsid w:val="00607AEA"/>
    <w:rsid w:val="006110A0"/>
    <w:rsid w:val="00611369"/>
    <w:rsid w:val="006127B6"/>
    <w:rsid w:val="00612879"/>
    <w:rsid w:val="00613654"/>
    <w:rsid w:val="00616616"/>
    <w:rsid w:val="006168A3"/>
    <w:rsid w:val="0062087B"/>
    <w:rsid w:val="00620B6E"/>
    <w:rsid w:val="006213E1"/>
    <w:rsid w:val="00621710"/>
    <w:rsid w:val="006219B3"/>
    <w:rsid w:val="00622A88"/>
    <w:rsid w:val="00623A91"/>
    <w:rsid w:val="00624287"/>
    <w:rsid w:val="0062483D"/>
    <w:rsid w:val="006254C5"/>
    <w:rsid w:val="006264D7"/>
    <w:rsid w:val="00626CE9"/>
    <w:rsid w:val="00626F37"/>
    <w:rsid w:val="006272D3"/>
    <w:rsid w:val="00631624"/>
    <w:rsid w:val="006319A5"/>
    <w:rsid w:val="00632FA6"/>
    <w:rsid w:val="00633ECF"/>
    <w:rsid w:val="00637645"/>
    <w:rsid w:val="00641284"/>
    <w:rsid w:val="00641C43"/>
    <w:rsid w:val="00642B7E"/>
    <w:rsid w:val="006432EF"/>
    <w:rsid w:val="00646952"/>
    <w:rsid w:val="00647471"/>
    <w:rsid w:val="006503BE"/>
    <w:rsid w:val="0065068A"/>
    <w:rsid w:val="0065069E"/>
    <w:rsid w:val="00650750"/>
    <w:rsid w:val="006519AD"/>
    <w:rsid w:val="00652DF0"/>
    <w:rsid w:val="00653105"/>
    <w:rsid w:val="0065420C"/>
    <w:rsid w:val="00654651"/>
    <w:rsid w:val="00654C52"/>
    <w:rsid w:val="006567F2"/>
    <w:rsid w:val="006569F0"/>
    <w:rsid w:val="00656C1B"/>
    <w:rsid w:val="006577B5"/>
    <w:rsid w:val="006607DA"/>
    <w:rsid w:val="006608AF"/>
    <w:rsid w:val="00661FE7"/>
    <w:rsid w:val="006620D4"/>
    <w:rsid w:val="006627DE"/>
    <w:rsid w:val="00663A17"/>
    <w:rsid w:val="00663DDB"/>
    <w:rsid w:val="006643EA"/>
    <w:rsid w:val="00664DC1"/>
    <w:rsid w:val="0066522B"/>
    <w:rsid w:val="00666208"/>
    <w:rsid w:val="0066708C"/>
    <w:rsid w:val="00667AEF"/>
    <w:rsid w:val="00670528"/>
    <w:rsid w:val="006721AD"/>
    <w:rsid w:val="00672BD3"/>
    <w:rsid w:val="00674552"/>
    <w:rsid w:val="00674E38"/>
    <w:rsid w:val="00674FC5"/>
    <w:rsid w:val="00675229"/>
    <w:rsid w:val="00676837"/>
    <w:rsid w:val="00677D20"/>
    <w:rsid w:val="006809D7"/>
    <w:rsid w:val="0068104F"/>
    <w:rsid w:val="00682A00"/>
    <w:rsid w:val="006833FF"/>
    <w:rsid w:val="00683447"/>
    <w:rsid w:val="006836FE"/>
    <w:rsid w:val="0068427C"/>
    <w:rsid w:val="0068553D"/>
    <w:rsid w:val="00685A37"/>
    <w:rsid w:val="00686622"/>
    <w:rsid w:val="006868F2"/>
    <w:rsid w:val="00686E02"/>
    <w:rsid w:val="006879CD"/>
    <w:rsid w:val="006879E5"/>
    <w:rsid w:val="00690442"/>
    <w:rsid w:val="006907F7"/>
    <w:rsid w:val="006908E7"/>
    <w:rsid w:val="00690F60"/>
    <w:rsid w:val="006917B1"/>
    <w:rsid w:val="00692B70"/>
    <w:rsid w:val="00692F86"/>
    <w:rsid w:val="00694CEB"/>
    <w:rsid w:val="006955E8"/>
    <w:rsid w:val="0069596F"/>
    <w:rsid w:val="00695C55"/>
    <w:rsid w:val="0069676D"/>
    <w:rsid w:val="006A01AC"/>
    <w:rsid w:val="006A0751"/>
    <w:rsid w:val="006A08F2"/>
    <w:rsid w:val="006A0ECC"/>
    <w:rsid w:val="006A218D"/>
    <w:rsid w:val="006A2DA3"/>
    <w:rsid w:val="006A32CA"/>
    <w:rsid w:val="006A398B"/>
    <w:rsid w:val="006A4794"/>
    <w:rsid w:val="006A5B16"/>
    <w:rsid w:val="006A6E91"/>
    <w:rsid w:val="006A72E8"/>
    <w:rsid w:val="006B0255"/>
    <w:rsid w:val="006B05F2"/>
    <w:rsid w:val="006B08B8"/>
    <w:rsid w:val="006B19C1"/>
    <w:rsid w:val="006B1D10"/>
    <w:rsid w:val="006B2270"/>
    <w:rsid w:val="006B3FF1"/>
    <w:rsid w:val="006B5D1F"/>
    <w:rsid w:val="006C089A"/>
    <w:rsid w:val="006C1066"/>
    <w:rsid w:val="006C107F"/>
    <w:rsid w:val="006C1218"/>
    <w:rsid w:val="006C2207"/>
    <w:rsid w:val="006C2565"/>
    <w:rsid w:val="006C287B"/>
    <w:rsid w:val="006C3A0E"/>
    <w:rsid w:val="006C49A6"/>
    <w:rsid w:val="006C5830"/>
    <w:rsid w:val="006D0B93"/>
    <w:rsid w:val="006D111C"/>
    <w:rsid w:val="006D168A"/>
    <w:rsid w:val="006D259B"/>
    <w:rsid w:val="006D5CDB"/>
    <w:rsid w:val="006D5D0A"/>
    <w:rsid w:val="006D7314"/>
    <w:rsid w:val="006D7AB8"/>
    <w:rsid w:val="006E028F"/>
    <w:rsid w:val="006E0C1D"/>
    <w:rsid w:val="006E0D9E"/>
    <w:rsid w:val="006E127F"/>
    <w:rsid w:val="006E2416"/>
    <w:rsid w:val="006E263D"/>
    <w:rsid w:val="006E2B1F"/>
    <w:rsid w:val="006E3356"/>
    <w:rsid w:val="006E3835"/>
    <w:rsid w:val="006E5EAF"/>
    <w:rsid w:val="006E5F36"/>
    <w:rsid w:val="006E661A"/>
    <w:rsid w:val="006E7216"/>
    <w:rsid w:val="006E77AB"/>
    <w:rsid w:val="006E7A72"/>
    <w:rsid w:val="006E7DDD"/>
    <w:rsid w:val="006E7EE6"/>
    <w:rsid w:val="006E7F84"/>
    <w:rsid w:val="006F0086"/>
    <w:rsid w:val="006F14D7"/>
    <w:rsid w:val="006F224B"/>
    <w:rsid w:val="006F23CC"/>
    <w:rsid w:val="006F2ED6"/>
    <w:rsid w:val="006F2F79"/>
    <w:rsid w:val="006F3B7F"/>
    <w:rsid w:val="006F47F4"/>
    <w:rsid w:val="006F63F0"/>
    <w:rsid w:val="006F66A1"/>
    <w:rsid w:val="007018E2"/>
    <w:rsid w:val="00702F11"/>
    <w:rsid w:val="00703AD0"/>
    <w:rsid w:val="00703E3C"/>
    <w:rsid w:val="007045BF"/>
    <w:rsid w:val="00704C7E"/>
    <w:rsid w:val="00705F1A"/>
    <w:rsid w:val="00705FB0"/>
    <w:rsid w:val="007065D2"/>
    <w:rsid w:val="007066E9"/>
    <w:rsid w:val="00706A89"/>
    <w:rsid w:val="00706DD5"/>
    <w:rsid w:val="007070D4"/>
    <w:rsid w:val="00707266"/>
    <w:rsid w:val="00710FE8"/>
    <w:rsid w:val="007123FC"/>
    <w:rsid w:val="007128BC"/>
    <w:rsid w:val="00712F4B"/>
    <w:rsid w:val="0071312C"/>
    <w:rsid w:val="00713FBB"/>
    <w:rsid w:val="0071499A"/>
    <w:rsid w:val="007152E7"/>
    <w:rsid w:val="0072024A"/>
    <w:rsid w:val="00723950"/>
    <w:rsid w:val="0072542E"/>
    <w:rsid w:val="007277A8"/>
    <w:rsid w:val="007316D2"/>
    <w:rsid w:val="00731822"/>
    <w:rsid w:val="00732029"/>
    <w:rsid w:val="00732114"/>
    <w:rsid w:val="00732625"/>
    <w:rsid w:val="00732AA9"/>
    <w:rsid w:val="007334BD"/>
    <w:rsid w:val="0073401E"/>
    <w:rsid w:val="0073407D"/>
    <w:rsid w:val="00734EB0"/>
    <w:rsid w:val="007358C5"/>
    <w:rsid w:val="00735EE9"/>
    <w:rsid w:val="007401E6"/>
    <w:rsid w:val="007402D6"/>
    <w:rsid w:val="007407A6"/>
    <w:rsid w:val="00743C0D"/>
    <w:rsid w:val="00743C4C"/>
    <w:rsid w:val="00743E67"/>
    <w:rsid w:val="00743E6D"/>
    <w:rsid w:val="007452EA"/>
    <w:rsid w:val="00746D20"/>
    <w:rsid w:val="007475D2"/>
    <w:rsid w:val="0074781F"/>
    <w:rsid w:val="00747E48"/>
    <w:rsid w:val="007501BE"/>
    <w:rsid w:val="0075128D"/>
    <w:rsid w:val="007517FB"/>
    <w:rsid w:val="0075186E"/>
    <w:rsid w:val="0075278C"/>
    <w:rsid w:val="007540A7"/>
    <w:rsid w:val="00755FCD"/>
    <w:rsid w:val="00757E00"/>
    <w:rsid w:val="00762383"/>
    <w:rsid w:val="0076284C"/>
    <w:rsid w:val="00763735"/>
    <w:rsid w:val="00763E7F"/>
    <w:rsid w:val="00764213"/>
    <w:rsid w:val="00764C49"/>
    <w:rsid w:val="00765CCD"/>
    <w:rsid w:val="00766808"/>
    <w:rsid w:val="007676AE"/>
    <w:rsid w:val="00767B44"/>
    <w:rsid w:val="00767F35"/>
    <w:rsid w:val="00770088"/>
    <w:rsid w:val="007714C2"/>
    <w:rsid w:val="0077179A"/>
    <w:rsid w:val="00772383"/>
    <w:rsid w:val="007736C3"/>
    <w:rsid w:val="007751EB"/>
    <w:rsid w:val="00775939"/>
    <w:rsid w:val="007763F6"/>
    <w:rsid w:val="00776CED"/>
    <w:rsid w:val="00777495"/>
    <w:rsid w:val="007827F5"/>
    <w:rsid w:val="007831A7"/>
    <w:rsid w:val="00783271"/>
    <w:rsid w:val="00783FA7"/>
    <w:rsid w:val="0078581A"/>
    <w:rsid w:val="00786377"/>
    <w:rsid w:val="00786428"/>
    <w:rsid w:val="00787071"/>
    <w:rsid w:val="00787420"/>
    <w:rsid w:val="00787654"/>
    <w:rsid w:val="007879B7"/>
    <w:rsid w:val="0079011B"/>
    <w:rsid w:val="007932D5"/>
    <w:rsid w:val="007939C4"/>
    <w:rsid w:val="00793A39"/>
    <w:rsid w:val="00793BEA"/>
    <w:rsid w:val="00793D43"/>
    <w:rsid w:val="00793E8A"/>
    <w:rsid w:val="007945D3"/>
    <w:rsid w:val="00794D71"/>
    <w:rsid w:val="00795919"/>
    <w:rsid w:val="00795BAB"/>
    <w:rsid w:val="00795FCC"/>
    <w:rsid w:val="00796242"/>
    <w:rsid w:val="007963CB"/>
    <w:rsid w:val="00797135"/>
    <w:rsid w:val="00797440"/>
    <w:rsid w:val="007975C9"/>
    <w:rsid w:val="007978C3"/>
    <w:rsid w:val="007A0375"/>
    <w:rsid w:val="007A1F8A"/>
    <w:rsid w:val="007A2234"/>
    <w:rsid w:val="007A2760"/>
    <w:rsid w:val="007A35B2"/>
    <w:rsid w:val="007A3815"/>
    <w:rsid w:val="007A397E"/>
    <w:rsid w:val="007A416E"/>
    <w:rsid w:val="007A4C94"/>
    <w:rsid w:val="007A4E5A"/>
    <w:rsid w:val="007A5800"/>
    <w:rsid w:val="007A6D2A"/>
    <w:rsid w:val="007A7EB7"/>
    <w:rsid w:val="007B0C98"/>
    <w:rsid w:val="007B2050"/>
    <w:rsid w:val="007B3A42"/>
    <w:rsid w:val="007B44C7"/>
    <w:rsid w:val="007B534D"/>
    <w:rsid w:val="007B56AD"/>
    <w:rsid w:val="007B6D4B"/>
    <w:rsid w:val="007B6DD7"/>
    <w:rsid w:val="007B6E7E"/>
    <w:rsid w:val="007B7B73"/>
    <w:rsid w:val="007C00FA"/>
    <w:rsid w:val="007C1442"/>
    <w:rsid w:val="007C14E4"/>
    <w:rsid w:val="007C2692"/>
    <w:rsid w:val="007C38BE"/>
    <w:rsid w:val="007C5261"/>
    <w:rsid w:val="007C5DC7"/>
    <w:rsid w:val="007C6AEE"/>
    <w:rsid w:val="007C7622"/>
    <w:rsid w:val="007D09CB"/>
    <w:rsid w:val="007D1B6E"/>
    <w:rsid w:val="007D1E5C"/>
    <w:rsid w:val="007D1F0D"/>
    <w:rsid w:val="007D1F83"/>
    <w:rsid w:val="007D2108"/>
    <w:rsid w:val="007D3027"/>
    <w:rsid w:val="007D5564"/>
    <w:rsid w:val="007D7D0B"/>
    <w:rsid w:val="007E09C8"/>
    <w:rsid w:val="007E09D3"/>
    <w:rsid w:val="007E103C"/>
    <w:rsid w:val="007E1863"/>
    <w:rsid w:val="007E352D"/>
    <w:rsid w:val="007E40D5"/>
    <w:rsid w:val="007E5DD2"/>
    <w:rsid w:val="007E6574"/>
    <w:rsid w:val="007E6650"/>
    <w:rsid w:val="007E71A2"/>
    <w:rsid w:val="007F09A4"/>
    <w:rsid w:val="007F1725"/>
    <w:rsid w:val="007F1A61"/>
    <w:rsid w:val="007F1B0D"/>
    <w:rsid w:val="007F1C96"/>
    <w:rsid w:val="007F2722"/>
    <w:rsid w:val="007F4890"/>
    <w:rsid w:val="007F4B6A"/>
    <w:rsid w:val="007F535F"/>
    <w:rsid w:val="007F5893"/>
    <w:rsid w:val="007F5B62"/>
    <w:rsid w:val="007F669C"/>
    <w:rsid w:val="007F69B4"/>
    <w:rsid w:val="007F771D"/>
    <w:rsid w:val="00800155"/>
    <w:rsid w:val="008024F6"/>
    <w:rsid w:val="0080256C"/>
    <w:rsid w:val="00802B07"/>
    <w:rsid w:val="00803285"/>
    <w:rsid w:val="00804AE0"/>
    <w:rsid w:val="0080625C"/>
    <w:rsid w:val="00806D57"/>
    <w:rsid w:val="00810611"/>
    <w:rsid w:val="008118C6"/>
    <w:rsid w:val="00811B05"/>
    <w:rsid w:val="0081273E"/>
    <w:rsid w:val="00812E2B"/>
    <w:rsid w:val="00815791"/>
    <w:rsid w:val="00816FD9"/>
    <w:rsid w:val="0081787B"/>
    <w:rsid w:val="00817BD9"/>
    <w:rsid w:val="0082007C"/>
    <w:rsid w:val="0082107E"/>
    <w:rsid w:val="00822653"/>
    <w:rsid w:val="008234CE"/>
    <w:rsid w:val="00823837"/>
    <w:rsid w:val="008241D8"/>
    <w:rsid w:val="008257AC"/>
    <w:rsid w:val="0082724E"/>
    <w:rsid w:val="00830486"/>
    <w:rsid w:val="0083068F"/>
    <w:rsid w:val="00831179"/>
    <w:rsid w:val="00831AEE"/>
    <w:rsid w:val="00832F1E"/>
    <w:rsid w:val="0083362D"/>
    <w:rsid w:val="008336E4"/>
    <w:rsid w:val="008346FA"/>
    <w:rsid w:val="00836788"/>
    <w:rsid w:val="008370B2"/>
    <w:rsid w:val="008402FB"/>
    <w:rsid w:val="0084198E"/>
    <w:rsid w:val="00841FF0"/>
    <w:rsid w:val="00842148"/>
    <w:rsid w:val="0084236E"/>
    <w:rsid w:val="008428AD"/>
    <w:rsid w:val="00843591"/>
    <w:rsid w:val="00843D53"/>
    <w:rsid w:val="00843FD0"/>
    <w:rsid w:val="008443EC"/>
    <w:rsid w:val="00845CFE"/>
    <w:rsid w:val="00845E42"/>
    <w:rsid w:val="008465ED"/>
    <w:rsid w:val="0084660E"/>
    <w:rsid w:val="00846933"/>
    <w:rsid w:val="00846DB4"/>
    <w:rsid w:val="00846EA9"/>
    <w:rsid w:val="00850118"/>
    <w:rsid w:val="00850334"/>
    <w:rsid w:val="0085064F"/>
    <w:rsid w:val="00850B2F"/>
    <w:rsid w:val="0085150C"/>
    <w:rsid w:val="00851AE4"/>
    <w:rsid w:val="00851E9F"/>
    <w:rsid w:val="008539BC"/>
    <w:rsid w:val="00854476"/>
    <w:rsid w:val="0085527F"/>
    <w:rsid w:val="00855734"/>
    <w:rsid w:val="00855CAA"/>
    <w:rsid w:val="008561E1"/>
    <w:rsid w:val="00856498"/>
    <w:rsid w:val="0085680F"/>
    <w:rsid w:val="00857E7F"/>
    <w:rsid w:val="00860CF9"/>
    <w:rsid w:val="00862CF4"/>
    <w:rsid w:val="00862DAA"/>
    <w:rsid w:val="00862DC7"/>
    <w:rsid w:val="00862F8D"/>
    <w:rsid w:val="008630C0"/>
    <w:rsid w:val="008633F8"/>
    <w:rsid w:val="008635A1"/>
    <w:rsid w:val="008648C1"/>
    <w:rsid w:val="008651A1"/>
    <w:rsid w:val="008656AB"/>
    <w:rsid w:val="008657DF"/>
    <w:rsid w:val="008674B0"/>
    <w:rsid w:val="00867FB2"/>
    <w:rsid w:val="00870956"/>
    <w:rsid w:val="00870FAE"/>
    <w:rsid w:val="008712B6"/>
    <w:rsid w:val="008719C3"/>
    <w:rsid w:val="00872328"/>
    <w:rsid w:val="008726FC"/>
    <w:rsid w:val="00872BA7"/>
    <w:rsid w:val="00872CF2"/>
    <w:rsid w:val="00874C37"/>
    <w:rsid w:val="00874FE9"/>
    <w:rsid w:val="00875726"/>
    <w:rsid w:val="00876391"/>
    <w:rsid w:val="008766A0"/>
    <w:rsid w:val="008767AF"/>
    <w:rsid w:val="008769BF"/>
    <w:rsid w:val="00876B98"/>
    <w:rsid w:val="00877439"/>
    <w:rsid w:val="00877A0E"/>
    <w:rsid w:val="00880452"/>
    <w:rsid w:val="00880E83"/>
    <w:rsid w:val="00881302"/>
    <w:rsid w:val="00882097"/>
    <w:rsid w:val="00882D12"/>
    <w:rsid w:val="00883BEA"/>
    <w:rsid w:val="00883EF7"/>
    <w:rsid w:val="0088423B"/>
    <w:rsid w:val="00884D7C"/>
    <w:rsid w:val="008852B3"/>
    <w:rsid w:val="008854E7"/>
    <w:rsid w:val="008854EA"/>
    <w:rsid w:val="008868F7"/>
    <w:rsid w:val="00886AAB"/>
    <w:rsid w:val="00887908"/>
    <w:rsid w:val="0089235D"/>
    <w:rsid w:val="00893ACF"/>
    <w:rsid w:val="00893EA9"/>
    <w:rsid w:val="00895365"/>
    <w:rsid w:val="00895633"/>
    <w:rsid w:val="0089587B"/>
    <w:rsid w:val="008960DA"/>
    <w:rsid w:val="00897055"/>
    <w:rsid w:val="008974E6"/>
    <w:rsid w:val="008A0387"/>
    <w:rsid w:val="008A0B68"/>
    <w:rsid w:val="008A13A3"/>
    <w:rsid w:val="008A31BC"/>
    <w:rsid w:val="008A32CA"/>
    <w:rsid w:val="008A3990"/>
    <w:rsid w:val="008A467A"/>
    <w:rsid w:val="008A4D14"/>
    <w:rsid w:val="008A6225"/>
    <w:rsid w:val="008A644E"/>
    <w:rsid w:val="008A6CF5"/>
    <w:rsid w:val="008A6D45"/>
    <w:rsid w:val="008A6D86"/>
    <w:rsid w:val="008A7E96"/>
    <w:rsid w:val="008B0B3E"/>
    <w:rsid w:val="008B15F2"/>
    <w:rsid w:val="008B1E0C"/>
    <w:rsid w:val="008B29F4"/>
    <w:rsid w:val="008B2EB4"/>
    <w:rsid w:val="008B3809"/>
    <w:rsid w:val="008B3830"/>
    <w:rsid w:val="008B3CCE"/>
    <w:rsid w:val="008B414C"/>
    <w:rsid w:val="008B4EB8"/>
    <w:rsid w:val="008B50AE"/>
    <w:rsid w:val="008B72C6"/>
    <w:rsid w:val="008B7E8E"/>
    <w:rsid w:val="008B7E92"/>
    <w:rsid w:val="008B7F78"/>
    <w:rsid w:val="008C09A7"/>
    <w:rsid w:val="008C18C0"/>
    <w:rsid w:val="008C1D37"/>
    <w:rsid w:val="008C1E00"/>
    <w:rsid w:val="008C253C"/>
    <w:rsid w:val="008C273B"/>
    <w:rsid w:val="008C3091"/>
    <w:rsid w:val="008C321B"/>
    <w:rsid w:val="008C39BF"/>
    <w:rsid w:val="008C4705"/>
    <w:rsid w:val="008C51C1"/>
    <w:rsid w:val="008C5E4B"/>
    <w:rsid w:val="008C6466"/>
    <w:rsid w:val="008C6ADA"/>
    <w:rsid w:val="008C6CEC"/>
    <w:rsid w:val="008C6F42"/>
    <w:rsid w:val="008C7A19"/>
    <w:rsid w:val="008D0956"/>
    <w:rsid w:val="008D0EE3"/>
    <w:rsid w:val="008D0FA1"/>
    <w:rsid w:val="008D2F0A"/>
    <w:rsid w:val="008D35D9"/>
    <w:rsid w:val="008D3620"/>
    <w:rsid w:val="008D3C54"/>
    <w:rsid w:val="008D3F04"/>
    <w:rsid w:val="008D3FB2"/>
    <w:rsid w:val="008D40EB"/>
    <w:rsid w:val="008D66B7"/>
    <w:rsid w:val="008D6C12"/>
    <w:rsid w:val="008E0EAD"/>
    <w:rsid w:val="008E1287"/>
    <w:rsid w:val="008E1830"/>
    <w:rsid w:val="008E2E3F"/>
    <w:rsid w:val="008E2EAB"/>
    <w:rsid w:val="008E3BAE"/>
    <w:rsid w:val="008E7962"/>
    <w:rsid w:val="008F2220"/>
    <w:rsid w:val="008F2601"/>
    <w:rsid w:val="008F27C2"/>
    <w:rsid w:val="008F4C5B"/>
    <w:rsid w:val="008F506D"/>
    <w:rsid w:val="008F54C4"/>
    <w:rsid w:val="008F59D7"/>
    <w:rsid w:val="008F681A"/>
    <w:rsid w:val="008F6D4C"/>
    <w:rsid w:val="008F7828"/>
    <w:rsid w:val="00900E2E"/>
    <w:rsid w:val="009013E5"/>
    <w:rsid w:val="00902471"/>
    <w:rsid w:val="00902B4E"/>
    <w:rsid w:val="0090430F"/>
    <w:rsid w:val="009045F3"/>
    <w:rsid w:val="009053CB"/>
    <w:rsid w:val="00906877"/>
    <w:rsid w:val="00906FEB"/>
    <w:rsid w:val="0090761C"/>
    <w:rsid w:val="009105E8"/>
    <w:rsid w:val="00910BF3"/>
    <w:rsid w:val="009113EF"/>
    <w:rsid w:val="00911A1F"/>
    <w:rsid w:val="00912922"/>
    <w:rsid w:val="00912E55"/>
    <w:rsid w:val="009136BD"/>
    <w:rsid w:val="00913B4A"/>
    <w:rsid w:val="00913BE9"/>
    <w:rsid w:val="00914323"/>
    <w:rsid w:val="009145FC"/>
    <w:rsid w:val="00915BB4"/>
    <w:rsid w:val="00915C80"/>
    <w:rsid w:val="009162D6"/>
    <w:rsid w:val="00916DB4"/>
    <w:rsid w:val="00917184"/>
    <w:rsid w:val="009173F2"/>
    <w:rsid w:val="00917789"/>
    <w:rsid w:val="0092014F"/>
    <w:rsid w:val="00920D1D"/>
    <w:rsid w:val="00920DD6"/>
    <w:rsid w:val="009217E5"/>
    <w:rsid w:val="00921BAA"/>
    <w:rsid w:val="00921DC5"/>
    <w:rsid w:val="009223AD"/>
    <w:rsid w:val="0092263E"/>
    <w:rsid w:val="00923515"/>
    <w:rsid w:val="00923AF7"/>
    <w:rsid w:val="00923DCE"/>
    <w:rsid w:val="00925641"/>
    <w:rsid w:val="00925F10"/>
    <w:rsid w:val="00927157"/>
    <w:rsid w:val="009301E0"/>
    <w:rsid w:val="0093024A"/>
    <w:rsid w:val="009305F6"/>
    <w:rsid w:val="0093107C"/>
    <w:rsid w:val="009312A6"/>
    <w:rsid w:val="009315B4"/>
    <w:rsid w:val="00931679"/>
    <w:rsid w:val="00931DDB"/>
    <w:rsid w:val="0093218F"/>
    <w:rsid w:val="009321AC"/>
    <w:rsid w:val="00932AE9"/>
    <w:rsid w:val="0093312F"/>
    <w:rsid w:val="00935836"/>
    <w:rsid w:val="0093597A"/>
    <w:rsid w:val="00937CF6"/>
    <w:rsid w:val="0094033A"/>
    <w:rsid w:val="00940B72"/>
    <w:rsid w:val="009412EE"/>
    <w:rsid w:val="00941534"/>
    <w:rsid w:val="00943048"/>
    <w:rsid w:val="00943ECE"/>
    <w:rsid w:val="00944531"/>
    <w:rsid w:val="009447B7"/>
    <w:rsid w:val="00945364"/>
    <w:rsid w:val="00946955"/>
    <w:rsid w:val="009471CB"/>
    <w:rsid w:val="00950B2F"/>
    <w:rsid w:val="00951259"/>
    <w:rsid w:val="00951F7B"/>
    <w:rsid w:val="0095302B"/>
    <w:rsid w:val="00953589"/>
    <w:rsid w:val="00953E2F"/>
    <w:rsid w:val="009542B4"/>
    <w:rsid w:val="009542C5"/>
    <w:rsid w:val="0095466C"/>
    <w:rsid w:val="00954BDA"/>
    <w:rsid w:val="00954C30"/>
    <w:rsid w:val="00954EB4"/>
    <w:rsid w:val="00955A30"/>
    <w:rsid w:val="0095663F"/>
    <w:rsid w:val="00956BE3"/>
    <w:rsid w:val="00956D10"/>
    <w:rsid w:val="00957378"/>
    <w:rsid w:val="00957A22"/>
    <w:rsid w:val="00960241"/>
    <w:rsid w:val="00960E21"/>
    <w:rsid w:val="009610D6"/>
    <w:rsid w:val="00963732"/>
    <w:rsid w:val="00963A0A"/>
    <w:rsid w:val="00963D65"/>
    <w:rsid w:val="00965C4F"/>
    <w:rsid w:val="0096604A"/>
    <w:rsid w:val="00966AB4"/>
    <w:rsid w:val="00967CD0"/>
    <w:rsid w:val="009700BA"/>
    <w:rsid w:val="009703D3"/>
    <w:rsid w:val="00971B27"/>
    <w:rsid w:val="009725C2"/>
    <w:rsid w:val="009726AB"/>
    <w:rsid w:val="0097395D"/>
    <w:rsid w:val="0097522E"/>
    <w:rsid w:val="00975A20"/>
    <w:rsid w:val="009767A3"/>
    <w:rsid w:val="00977898"/>
    <w:rsid w:val="009778D3"/>
    <w:rsid w:val="00980654"/>
    <w:rsid w:val="009811A0"/>
    <w:rsid w:val="00981518"/>
    <w:rsid w:val="00982665"/>
    <w:rsid w:val="00982EC1"/>
    <w:rsid w:val="00983232"/>
    <w:rsid w:val="00983CE2"/>
    <w:rsid w:val="00983EC0"/>
    <w:rsid w:val="009843BC"/>
    <w:rsid w:val="00986013"/>
    <w:rsid w:val="00986280"/>
    <w:rsid w:val="0098722C"/>
    <w:rsid w:val="009878EF"/>
    <w:rsid w:val="00987C0F"/>
    <w:rsid w:val="00987D8B"/>
    <w:rsid w:val="009911AE"/>
    <w:rsid w:val="00991D5F"/>
    <w:rsid w:val="009922B3"/>
    <w:rsid w:val="00992669"/>
    <w:rsid w:val="00993F4F"/>
    <w:rsid w:val="009941C8"/>
    <w:rsid w:val="00994261"/>
    <w:rsid w:val="0099643F"/>
    <w:rsid w:val="009966C0"/>
    <w:rsid w:val="00997CFF"/>
    <w:rsid w:val="009A018B"/>
    <w:rsid w:val="009A0B4C"/>
    <w:rsid w:val="009A0B4F"/>
    <w:rsid w:val="009A133F"/>
    <w:rsid w:val="009A15E2"/>
    <w:rsid w:val="009A2200"/>
    <w:rsid w:val="009A22EC"/>
    <w:rsid w:val="009A37D8"/>
    <w:rsid w:val="009A3CF3"/>
    <w:rsid w:val="009A3D00"/>
    <w:rsid w:val="009A430F"/>
    <w:rsid w:val="009A4793"/>
    <w:rsid w:val="009A5A66"/>
    <w:rsid w:val="009A6D1C"/>
    <w:rsid w:val="009A7E25"/>
    <w:rsid w:val="009B06A3"/>
    <w:rsid w:val="009B13BE"/>
    <w:rsid w:val="009B1567"/>
    <w:rsid w:val="009B17CA"/>
    <w:rsid w:val="009B1C29"/>
    <w:rsid w:val="009B27B1"/>
    <w:rsid w:val="009B2A84"/>
    <w:rsid w:val="009B32ED"/>
    <w:rsid w:val="009B417B"/>
    <w:rsid w:val="009B4346"/>
    <w:rsid w:val="009B487B"/>
    <w:rsid w:val="009B4B55"/>
    <w:rsid w:val="009B4E4F"/>
    <w:rsid w:val="009B6095"/>
    <w:rsid w:val="009B735A"/>
    <w:rsid w:val="009B7503"/>
    <w:rsid w:val="009C0596"/>
    <w:rsid w:val="009C1421"/>
    <w:rsid w:val="009C18BE"/>
    <w:rsid w:val="009C23FB"/>
    <w:rsid w:val="009C3B2E"/>
    <w:rsid w:val="009C3E76"/>
    <w:rsid w:val="009C411B"/>
    <w:rsid w:val="009C45F7"/>
    <w:rsid w:val="009C5E80"/>
    <w:rsid w:val="009C7D22"/>
    <w:rsid w:val="009D1F48"/>
    <w:rsid w:val="009D41B0"/>
    <w:rsid w:val="009D5000"/>
    <w:rsid w:val="009D76C5"/>
    <w:rsid w:val="009D7EA9"/>
    <w:rsid w:val="009E1D1B"/>
    <w:rsid w:val="009E2805"/>
    <w:rsid w:val="009E2CF0"/>
    <w:rsid w:val="009E527D"/>
    <w:rsid w:val="009E5465"/>
    <w:rsid w:val="009F0C9A"/>
    <w:rsid w:val="009F14DD"/>
    <w:rsid w:val="009F1E86"/>
    <w:rsid w:val="009F2CEA"/>
    <w:rsid w:val="009F2E00"/>
    <w:rsid w:val="009F3536"/>
    <w:rsid w:val="009F4F6B"/>
    <w:rsid w:val="009F526D"/>
    <w:rsid w:val="009F5BAE"/>
    <w:rsid w:val="009F6CFA"/>
    <w:rsid w:val="009F6D6C"/>
    <w:rsid w:val="009F7078"/>
    <w:rsid w:val="009F749D"/>
    <w:rsid w:val="00A000C6"/>
    <w:rsid w:val="00A00188"/>
    <w:rsid w:val="00A01103"/>
    <w:rsid w:val="00A0179B"/>
    <w:rsid w:val="00A01A93"/>
    <w:rsid w:val="00A02320"/>
    <w:rsid w:val="00A0278C"/>
    <w:rsid w:val="00A0321C"/>
    <w:rsid w:val="00A0384E"/>
    <w:rsid w:val="00A03DA7"/>
    <w:rsid w:val="00A041D6"/>
    <w:rsid w:val="00A04484"/>
    <w:rsid w:val="00A04925"/>
    <w:rsid w:val="00A04C2F"/>
    <w:rsid w:val="00A05521"/>
    <w:rsid w:val="00A06541"/>
    <w:rsid w:val="00A100BF"/>
    <w:rsid w:val="00A104C9"/>
    <w:rsid w:val="00A12CE3"/>
    <w:rsid w:val="00A14CC6"/>
    <w:rsid w:val="00A15BCF"/>
    <w:rsid w:val="00A160BF"/>
    <w:rsid w:val="00A16480"/>
    <w:rsid w:val="00A166FF"/>
    <w:rsid w:val="00A1745B"/>
    <w:rsid w:val="00A203BD"/>
    <w:rsid w:val="00A206ED"/>
    <w:rsid w:val="00A215F2"/>
    <w:rsid w:val="00A21754"/>
    <w:rsid w:val="00A22664"/>
    <w:rsid w:val="00A24278"/>
    <w:rsid w:val="00A24F59"/>
    <w:rsid w:val="00A25AF8"/>
    <w:rsid w:val="00A26318"/>
    <w:rsid w:val="00A263DA"/>
    <w:rsid w:val="00A302EA"/>
    <w:rsid w:val="00A31FE4"/>
    <w:rsid w:val="00A3280C"/>
    <w:rsid w:val="00A3328C"/>
    <w:rsid w:val="00A35832"/>
    <w:rsid w:val="00A359D9"/>
    <w:rsid w:val="00A35DBD"/>
    <w:rsid w:val="00A35FDC"/>
    <w:rsid w:val="00A40E8F"/>
    <w:rsid w:val="00A41473"/>
    <w:rsid w:val="00A41E30"/>
    <w:rsid w:val="00A4248C"/>
    <w:rsid w:val="00A445CA"/>
    <w:rsid w:val="00A446ED"/>
    <w:rsid w:val="00A45D76"/>
    <w:rsid w:val="00A45E72"/>
    <w:rsid w:val="00A475B3"/>
    <w:rsid w:val="00A47706"/>
    <w:rsid w:val="00A47945"/>
    <w:rsid w:val="00A47FA5"/>
    <w:rsid w:val="00A51C1F"/>
    <w:rsid w:val="00A522B8"/>
    <w:rsid w:val="00A52BDE"/>
    <w:rsid w:val="00A53811"/>
    <w:rsid w:val="00A53A77"/>
    <w:rsid w:val="00A53D78"/>
    <w:rsid w:val="00A54B16"/>
    <w:rsid w:val="00A54C9F"/>
    <w:rsid w:val="00A54CE9"/>
    <w:rsid w:val="00A554F4"/>
    <w:rsid w:val="00A55DDD"/>
    <w:rsid w:val="00A56051"/>
    <w:rsid w:val="00A5674C"/>
    <w:rsid w:val="00A56DDC"/>
    <w:rsid w:val="00A6060F"/>
    <w:rsid w:val="00A624DF"/>
    <w:rsid w:val="00A626B7"/>
    <w:rsid w:val="00A62EFC"/>
    <w:rsid w:val="00A633ED"/>
    <w:rsid w:val="00A64112"/>
    <w:rsid w:val="00A64B36"/>
    <w:rsid w:val="00A65FE2"/>
    <w:rsid w:val="00A6694B"/>
    <w:rsid w:val="00A670AA"/>
    <w:rsid w:val="00A70131"/>
    <w:rsid w:val="00A703F1"/>
    <w:rsid w:val="00A70FFE"/>
    <w:rsid w:val="00A7243A"/>
    <w:rsid w:val="00A73C3B"/>
    <w:rsid w:val="00A73DCE"/>
    <w:rsid w:val="00A73FE8"/>
    <w:rsid w:val="00A7498C"/>
    <w:rsid w:val="00A75928"/>
    <w:rsid w:val="00A7599B"/>
    <w:rsid w:val="00A76653"/>
    <w:rsid w:val="00A767B6"/>
    <w:rsid w:val="00A76BC4"/>
    <w:rsid w:val="00A77403"/>
    <w:rsid w:val="00A8011D"/>
    <w:rsid w:val="00A80E6F"/>
    <w:rsid w:val="00A81B37"/>
    <w:rsid w:val="00A83339"/>
    <w:rsid w:val="00A84544"/>
    <w:rsid w:val="00A8463D"/>
    <w:rsid w:val="00A84D1B"/>
    <w:rsid w:val="00A8605C"/>
    <w:rsid w:val="00A86634"/>
    <w:rsid w:val="00A86863"/>
    <w:rsid w:val="00A869EB"/>
    <w:rsid w:val="00A86DBC"/>
    <w:rsid w:val="00A87BBA"/>
    <w:rsid w:val="00A90BC3"/>
    <w:rsid w:val="00A90E41"/>
    <w:rsid w:val="00A90E94"/>
    <w:rsid w:val="00A910AB"/>
    <w:rsid w:val="00A92AC5"/>
    <w:rsid w:val="00A933CE"/>
    <w:rsid w:val="00A93954"/>
    <w:rsid w:val="00A93BA4"/>
    <w:rsid w:val="00A9419E"/>
    <w:rsid w:val="00A95C95"/>
    <w:rsid w:val="00A9682E"/>
    <w:rsid w:val="00AA096B"/>
    <w:rsid w:val="00AA2072"/>
    <w:rsid w:val="00AA23CD"/>
    <w:rsid w:val="00AA258B"/>
    <w:rsid w:val="00AA2C86"/>
    <w:rsid w:val="00AA43CF"/>
    <w:rsid w:val="00AA4707"/>
    <w:rsid w:val="00AA4EBC"/>
    <w:rsid w:val="00AA555E"/>
    <w:rsid w:val="00AA76A1"/>
    <w:rsid w:val="00AA7E59"/>
    <w:rsid w:val="00AA7F25"/>
    <w:rsid w:val="00AB03A8"/>
    <w:rsid w:val="00AB0762"/>
    <w:rsid w:val="00AB0793"/>
    <w:rsid w:val="00AB0B7E"/>
    <w:rsid w:val="00AB1D25"/>
    <w:rsid w:val="00AB2188"/>
    <w:rsid w:val="00AB2F51"/>
    <w:rsid w:val="00AB336C"/>
    <w:rsid w:val="00AB429A"/>
    <w:rsid w:val="00AB44AB"/>
    <w:rsid w:val="00AB4CDC"/>
    <w:rsid w:val="00AB4DE1"/>
    <w:rsid w:val="00AB4F84"/>
    <w:rsid w:val="00AB60C8"/>
    <w:rsid w:val="00AB6A30"/>
    <w:rsid w:val="00AB729F"/>
    <w:rsid w:val="00AB72CF"/>
    <w:rsid w:val="00AB7D40"/>
    <w:rsid w:val="00AC030B"/>
    <w:rsid w:val="00AC0351"/>
    <w:rsid w:val="00AC0AC2"/>
    <w:rsid w:val="00AC2581"/>
    <w:rsid w:val="00AC4823"/>
    <w:rsid w:val="00AC54DE"/>
    <w:rsid w:val="00AC5D98"/>
    <w:rsid w:val="00AC5E48"/>
    <w:rsid w:val="00AC6AB7"/>
    <w:rsid w:val="00AD053B"/>
    <w:rsid w:val="00AD0699"/>
    <w:rsid w:val="00AD0C03"/>
    <w:rsid w:val="00AD1CAF"/>
    <w:rsid w:val="00AD22C6"/>
    <w:rsid w:val="00AD26B6"/>
    <w:rsid w:val="00AD3265"/>
    <w:rsid w:val="00AD3370"/>
    <w:rsid w:val="00AD350B"/>
    <w:rsid w:val="00AD361E"/>
    <w:rsid w:val="00AD3E08"/>
    <w:rsid w:val="00AD3F22"/>
    <w:rsid w:val="00AD48F7"/>
    <w:rsid w:val="00AD4CCB"/>
    <w:rsid w:val="00AD612C"/>
    <w:rsid w:val="00AD62B6"/>
    <w:rsid w:val="00AD7DE6"/>
    <w:rsid w:val="00AE0408"/>
    <w:rsid w:val="00AE1512"/>
    <w:rsid w:val="00AE1A4D"/>
    <w:rsid w:val="00AE2A51"/>
    <w:rsid w:val="00AE2AAC"/>
    <w:rsid w:val="00AE306E"/>
    <w:rsid w:val="00AE47E0"/>
    <w:rsid w:val="00AE5D07"/>
    <w:rsid w:val="00AE5EA1"/>
    <w:rsid w:val="00AE67D0"/>
    <w:rsid w:val="00AE6B10"/>
    <w:rsid w:val="00AE6D63"/>
    <w:rsid w:val="00AE711D"/>
    <w:rsid w:val="00AE7201"/>
    <w:rsid w:val="00AE7D19"/>
    <w:rsid w:val="00AE7D6E"/>
    <w:rsid w:val="00AF1A75"/>
    <w:rsid w:val="00AF4C69"/>
    <w:rsid w:val="00AF52A6"/>
    <w:rsid w:val="00AF698C"/>
    <w:rsid w:val="00AF6AE0"/>
    <w:rsid w:val="00AF70B2"/>
    <w:rsid w:val="00AF7DF5"/>
    <w:rsid w:val="00B00047"/>
    <w:rsid w:val="00B018BD"/>
    <w:rsid w:val="00B01C7A"/>
    <w:rsid w:val="00B01E14"/>
    <w:rsid w:val="00B02EA3"/>
    <w:rsid w:val="00B036D5"/>
    <w:rsid w:val="00B0405F"/>
    <w:rsid w:val="00B0452F"/>
    <w:rsid w:val="00B06BAE"/>
    <w:rsid w:val="00B0729F"/>
    <w:rsid w:val="00B10AF6"/>
    <w:rsid w:val="00B10E01"/>
    <w:rsid w:val="00B15198"/>
    <w:rsid w:val="00B1577D"/>
    <w:rsid w:val="00B15C9A"/>
    <w:rsid w:val="00B204CF"/>
    <w:rsid w:val="00B20BDF"/>
    <w:rsid w:val="00B21232"/>
    <w:rsid w:val="00B21C30"/>
    <w:rsid w:val="00B23793"/>
    <w:rsid w:val="00B248AE"/>
    <w:rsid w:val="00B24FCA"/>
    <w:rsid w:val="00B25C72"/>
    <w:rsid w:val="00B263CF"/>
    <w:rsid w:val="00B26818"/>
    <w:rsid w:val="00B26A5A"/>
    <w:rsid w:val="00B316F0"/>
    <w:rsid w:val="00B3212F"/>
    <w:rsid w:val="00B323EB"/>
    <w:rsid w:val="00B32561"/>
    <w:rsid w:val="00B32783"/>
    <w:rsid w:val="00B3323C"/>
    <w:rsid w:val="00B336BD"/>
    <w:rsid w:val="00B33B6B"/>
    <w:rsid w:val="00B34D64"/>
    <w:rsid w:val="00B36E79"/>
    <w:rsid w:val="00B40B92"/>
    <w:rsid w:val="00B40FFB"/>
    <w:rsid w:val="00B41480"/>
    <w:rsid w:val="00B4165B"/>
    <w:rsid w:val="00B416B0"/>
    <w:rsid w:val="00B41F7E"/>
    <w:rsid w:val="00B42FB8"/>
    <w:rsid w:val="00B43565"/>
    <w:rsid w:val="00B44511"/>
    <w:rsid w:val="00B445BB"/>
    <w:rsid w:val="00B4468D"/>
    <w:rsid w:val="00B45721"/>
    <w:rsid w:val="00B45C18"/>
    <w:rsid w:val="00B45EE7"/>
    <w:rsid w:val="00B50215"/>
    <w:rsid w:val="00B51565"/>
    <w:rsid w:val="00B524CD"/>
    <w:rsid w:val="00B5282E"/>
    <w:rsid w:val="00B52BB5"/>
    <w:rsid w:val="00B533A3"/>
    <w:rsid w:val="00B539C9"/>
    <w:rsid w:val="00B54BC1"/>
    <w:rsid w:val="00B55707"/>
    <w:rsid w:val="00B562E1"/>
    <w:rsid w:val="00B56A23"/>
    <w:rsid w:val="00B60608"/>
    <w:rsid w:val="00B611A6"/>
    <w:rsid w:val="00B617AD"/>
    <w:rsid w:val="00B642D5"/>
    <w:rsid w:val="00B643A8"/>
    <w:rsid w:val="00B644A4"/>
    <w:rsid w:val="00B64D51"/>
    <w:rsid w:val="00B65471"/>
    <w:rsid w:val="00B655FD"/>
    <w:rsid w:val="00B66D23"/>
    <w:rsid w:val="00B67C63"/>
    <w:rsid w:val="00B70980"/>
    <w:rsid w:val="00B70CD2"/>
    <w:rsid w:val="00B71C9A"/>
    <w:rsid w:val="00B73498"/>
    <w:rsid w:val="00B73601"/>
    <w:rsid w:val="00B73D9C"/>
    <w:rsid w:val="00B73F40"/>
    <w:rsid w:val="00B74B4B"/>
    <w:rsid w:val="00B77013"/>
    <w:rsid w:val="00B77F38"/>
    <w:rsid w:val="00B77F61"/>
    <w:rsid w:val="00B81C0D"/>
    <w:rsid w:val="00B82EC3"/>
    <w:rsid w:val="00B8321F"/>
    <w:rsid w:val="00B835F2"/>
    <w:rsid w:val="00B83A9D"/>
    <w:rsid w:val="00B83E89"/>
    <w:rsid w:val="00B8465D"/>
    <w:rsid w:val="00B864B2"/>
    <w:rsid w:val="00B86DF7"/>
    <w:rsid w:val="00B87ED7"/>
    <w:rsid w:val="00B903E8"/>
    <w:rsid w:val="00B907BB"/>
    <w:rsid w:val="00B9081E"/>
    <w:rsid w:val="00B9147C"/>
    <w:rsid w:val="00B91A62"/>
    <w:rsid w:val="00B92381"/>
    <w:rsid w:val="00B9264A"/>
    <w:rsid w:val="00B928FA"/>
    <w:rsid w:val="00B93B5A"/>
    <w:rsid w:val="00B95629"/>
    <w:rsid w:val="00B9579D"/>
    <w:rsid w:val="00B95F2F"/>
    <w:rsid w:val="00B9652B"/>
    <w:rsid w:val="00B96882"/>
    <w:rsid w:val="00B97E4C"/>
    <w:rsid w:val="00BA0E4A"/>
    <w:rsid w:val="00BA232E"/>
    <w:rsid w:val="00BA2F23"/>
    <w:rsid w:val="00BA3D16"/>
    <w:rsid w:val="00BA43C5"/>
    <w:rsid w:val="00BA6D65"/>
    <w:rsid w:val="00BA790A"/>
    <w:rsid w:val="00BA7E62"/>
    <w:rsid w:val="00BB1163"/>
    <w:rsid w:val="00BB2214"/>
    <w:rsid w:val="00BB2608"/>
    <w:rsid w:val="00BB26AE"/>
    <w:rsid w:val="00BB2D36"/>
    <w:rsid w:val="00BB3C4D"/>
    <w:rsid w:val="00BB5095"/>
    <w:rsid w:val="00BB560F"/>
    <w:rsid w:val="00BB664D"/>
    <w:rsid w:val="00BB7616"/>
    <w:rsid w:val="00BB7B66"/>
    <w:rsid w:val="00BC0BDF"/>
    <w:rsid w:val="00BC16CF"/>
    <w:rsid w:val="00BC3A43"/>
    <w:rsid w:val="00BC589F"/>
    <w:rsid w:val="00BC5B1E"/>
    <w:rsid w:val="00BC6330"/>
    <w:rsid w:val="00BC6A2F"/>
    <w:rsid w:val="00BD16A8"/>
    <w:rsid w:val="00BD2127"/>
    <w:rsid w:val="00BD22BA"/>
    <w:rsid w:val="00BD3EC8"/>
    <w:rsid w:val="00BD410D"/>
    <w:rsid w:val="00BD51CE"/>
    <w:rsid w:val="00BD5A9C"/>
    <w:rsid w:val="00BD5DF9"/>
    <w:rsid w:val="00BD64FF"/>
    <w:rsid w:val="00BD650B"/>
    <w:rsid w:val="00BD65EE"/>
    <w:rsid w:val="00BD6E02"/>
    <w:rsid w:val="00BD6F87"/>
    <w:rsid w:val="00BD7BA0"/>
    <w:rsid w:val="00BE0EF8"/>
    <w:rsid w:val="00BE22F4"/>
    <w:rsid w:val="00BE29D7"/>
    <w:rsid w:val="00BE2FF4"/>
    <w:rsid w:val="00BE3B82"/>
    <w:rsid w:val="00BE4610"/>
    <w:rsid w:val="00BE4ADE"/>
    <w:rsid w:val="00BE5CFA"/>
    <w:rsid w:val="00BE7FA8"/>
    <w:rsid w:val="00BF0028"/>
    <w:rsid w:val="00BF1663"/>
    <w:rsid w:val="00BF251B"/>
    <w:rsid w:val="00BF3133"/>
    <w:rsid w:val="00BF575E"/>
    <w:rsid w:val="00BF5CFB"/>
    <w:rsid w:val="00BF6324"/>
    <w:rsid w:val="00BF6649"/>
    <w:rsid w:val="00C00233"/>
    <w:rsid w:val="00C0050E"/>
    <w:rsid w:val="00C007F6"/>
    <w:rsid w:val="00C00897"/>
    <w:rsid w:val="00C0092E"/>
    <w:rsid w:val="00C00BD9"/>
    <w:rsid w:val="00C02405"/>
    <w:rsid w:val="00C02F4A"/>
    <w:rsid w:val="00C03379"/>
    <w:rsid w:val="00C04730"/>
    <w:rsid w:val="00C04FB3"/>
    <w:rsid w:val="00C052BD"/>
    <w:rsid w:val="00C0531C"/>
    <w:rsid w:val="00C06C49"/>
    <w:rsid w:val="00C07076"/>
    <w:rsid w:val="00C07C7C"/>
    <w:rsid w:val="00C106A7"/>
    <w:rsid w:val="00C107CE"/>
    <w:rsid w:val="00C10DD8"/>
    <w:rsid w:val="00C11B9F"/>
    <w:rsid w:val="00C11BF5"/>
    <w:rsid w:val="00C126D4"/>
    <w:rsid w:val="00C132C1"/>
    <w:rsid w:val="00C13A98"/>
    <w:rsid w:val="00C15388"/>
    <w:rsid w:val="00C1617F"/>
    <w:rsid w:val="00C16393"/>
    <w:rsid w:val="00C16480"/>
    <w:rsid w:val="00C17CC0"/>
    <w:rsid w:val="00C228C6"/>
    <w:rsid w:val="00C22A97"/>
    <w:rsid w:val="00C23430"/>
    <w:rsid w:val="00C238B8"/>
    <w:rsid w:val="00C25B70"/>
    <w:rsid w:val="00C26260"/>
    <w:rsid w:val="00C26506"/>
    <w:rsid w:val="00C277B1"/>
    <w:rsid w:val="00C27B83"/>
    <w:rsid w:val="00C314DA"/>
    <w:rsid w:val="00C3155C"/>
    <w:rsid w:val="00C32781"/>
    <w:rsid w:val="00C328CC"/>
    <w:rsid w:val="00C3462D"/>
    <w:rsid w:val="00C35293"/>
    <w:rsid w:val="00C35561"/>
    <w:rsid w:val="00C360B2"/>
    <w:rsid w:val="00C364F8"/>
    <w:rsid w:val="00C36A8E"/>
    <w:rsid w:val="00C37B93"/>
    <w:rsid w:val="00C37CBE"/>
    <w:rsid w:val="00C37D3B"/>
    <w:rsid w:val="00C41575"/>
    <w:rsid w:val="00C41F4A"/>
    <w:rsid w:val="00C4234E"/>
    <w:rsid w:val="00C42BD4"/>
    <w:rsid w:val="00C4301A"/>
    <w:rsid w:val="00C43ACA"/>
    <w:rsid w:val="00C43CD4"/>
    <w:rsid w:val="00C43CE5"/>
    <w:rsid w:val="00C44344"/>
    <w:rsid w:val="00C4584D"/>
    <w:rsid w:val="00C45E23"/>
    <w:rsid w:val="00C45F39"/>
    <w:rsid w:val="00C46F02"/>
    <w:rsid w:val="00C47AE8"/>
    <w:rsid w:val="00C50334"/>
    <w:rsid w:val="00C506DA"/>
    <w:rsid w:val="00C51023"/>
    <w:rsid w:val="00C5204F"/>
    <w:rsid w:val="00C5258A"/>
    <w:rsid w:val="00C55080"/>
    <w:rsid w:val="00C55D91"/>
    <w:rsid w:val="00C561A6"/>
    <w:rsid w:val="00C568EB"/>
    <w:rsid w:val="00C603E8"/>
    <w:rsid w:val="00C60494"/>
    <w:rsid w:val="00C6067C"/>
    <w:rsid w:val="00C60975"/>
    <w:rsid w:val="00C61B18"/>
    <w:rsid w:val="00C6209A"/>
    <w:rsid w:val="00C62846"/>
    <w:rsid w:val="00C63821"/>
    <w:rsid w:val="00C63846"/>
    <w:rsid w:val="00C640A8"/>
    <w:rsid w:val="00C646A2"/>
    <w:rsid w:val="00C647B8"/>
    <w:rsid w:val="00C655AF"/>
    <w:rsid w:val="00C65613"/>
    <w:rsid w:val="00C662B4"/>
    <w:rsid w:val="00C66E2E"/>
    <w:rsid w:val="00C67B39"/>
    <w:rsid w:val="00C67D7B"/>
    <w:rsid w:val="00C711EB"/>
    <w:rsid w:val="00C719B8"/>
    <w:rsid w:val="00C733D7"/>
    <w:rsid w:val="00C736E8"/>
    <w:rsid w:val="00C73C58"/>
    <w:rsid w:val="00C73CBB"/>
    <w:rsid w:val="00C75445"/>
    <w:rsid w:val="00C7546C"/>
    <w:rsid w:val="00C7693A"/>
    <w:rsid w:val="00C76CF7"/>
    <w:rsid w:val="00C809BC"/>
    <w:rsid w:val="00C81549"/>
    <w:rsid w:val="00C82609"/>
    <w:rsid w:val="00C8289A"/>
    <w:rsid w:val="00C831BE"/>
    <w:rsid w:val="00C847E3"/>
    <w:rsid w:val="00C84822"/>
    <w:rsid w:val="00C84C2F"/>
    <w:rsid w:val="00C84EA6"/>
    <w:rsid w:val="00C86E1F"/>
    <w:rsid w:val="00C87D76"/>
    <w:rsid w:val="00C87D94"/>
    <w:rsid w:val="00C910F9"/>
    <w:rsid w:val="00C9118B"/>
    <w:rsid w:val="00C92000"/>
    <w:rsid w:val="00C924DF"/>
    <w:rsid w:val="00C93B3D"/>
    <w:rsid w:val="00C95609"/>
    <w:rsid w:val="00C962FE"/>
    <w:rsid w:val="00CA059A"/>
    <w:rsid w:val="00CA09B1"/>
    <w:rsid w:val="00CA17B4"/>
    <w:rsid w:val="00CA180C"/>
    <w:rsid w:val="00CA18CE"/>
    <w:rsid w:val="00CA1ADC"/>
    <w:rsid w:val="00CA2A1E"/>
    <w:rsid w:val="00CA44F5"/>
    <w:rsid w:val="00CA582F"/>
    <w:rsid w:val="00CA5BFA"/>
    <w:rsid w:val="00CA5F43"/>
    <w:rsid w:val="00CA63E3"/>
    <w:rsid w:val="00CA6F21"/>
    <w:rsid w:val="00CA6F29"/>
    <w:rsid w:val="00CB211F"/>
    <w:rsid w:val="00CB34B8"/>
    <w:rsid w:val="00CB37EA"/>
    <w:rsid w:val="00CB3FCA"/>
    <w:rsid w:val="00CB4BAC"/>
    <w:rsid w:val="00CB53DF"/>
    <w:rsid w:val="00CB5A5A"/>
    <w:rsid w:val="00CB62A4"/>
    <w:rsid w:val="00CB72EA"/>
    <w:rsid w:val="00CB7808"/>
    <w:rsid w:val="00CB784C"/>
    <w:rsid w:val="00CC0ACE"/>
    <w:rsid w:val="00CC18DA"/>
    <w:rsid w:val="00CC1A7F"/>
    <w:rsid w:val="00CC1C67"/>
    <w:rsid w:val="00CC2494"/>
    <w:rsid w:val="00CC26B8"/>
    <w:rsid w:val="00CC2F9E"/>
    <w:rsid w:val="00CC3883"/>
    <w:rsid w:val="00CC3DB7"/>
    <w:rsid w:val="00CC3E2F"/>
    <w:rsid w:val="00CC512F"/>
    <w:rsid w:val="00CC533F"/>
    <w:rsid w:val="00CC53E1"/>
    <w:rsid w:val="00CC6D2E"/>
    <w:rsid w:val="00CC70BA"/>
    <w:rsid w:val="00CC7D94"/>
    <w:rsid w:val="00CD1E3E"/>
    <w:rsid w:val="00CD24D9"/>
    <w:rsid w:val="00CD40AC"/>
    <w:rsid w:val="00CD4D45"/>
    <w:rsid w:val="00CD4EA6"/>
    <w:rsid w:val="00CD646A"/>
    <w:rsid w:val="00CD717D"/>
    <w:rsid w:val="00CD75A1"/>
    <w:rsid w:val="00CE1940"/>
    <w:rsid w:val="00CE35CE"/>
    <w:rsid w:val="00CE57E7"/>
    <w:rsid w:val="00CE5E90"/>
    <w:rsid w:val="00CE736F"/>
    <w:rsid w:val="00CF0370"/>
    <w:rsid w:val="00CF1F4C"/>
    <w:rsid w:val="00CF4049"/>
    <w:rsid w:val="00CF4C04"/>
    <w:rsid w:val="00CF52BE"/>
    <w:rsid w:val="00CF6149"/>
    <w:rsid w:val="00CF636E"/>
    <w:rsid w:val="00CF6871"/>
    <w:rsid w:val="00D008F9"/>
    <w:rsid w:val="00D00C7B"/>
    <w:rsid w:val="00D021AE"/>
    <w:rsid w:val="00D021F2"/>
    <w:rsid w:val="00D047E5"/>
    <w:rsid w:val="00D051A8"/>
    <w:rsid w:val="00D05800"/>
    <w:rsid w:val="00D0637A"/>
    <w:rsid w:val="00D06721"/>
    <w:rsid w:val="00D06A3F"/>
    <w:rsid w:val="00D103F4"/>
    <w:rsid w:val="00D10C06"/>
    <w:rsid w:val="00D110E8"/>
    <w:rsid w:val="00D125D2"/>
    <w:rsid w:val="00D12604"/>
    <w:rsid w:val="00D126BF"/>
    <w:rsid w:val="00D13069"/>
    <w:rsid w:val="00D132F1"/>
    <w:rsid w:val="00D13E07"/>
    <w:rsid w:val="00D14EC8"/>
    <w:rsid w:val="00D1539F"/>
    <w:rsid w:val="00D15851"/>
    <w:rsid w:val="00D1600C"/>
    <w:rsid w:val="00D16ADA"/>
    <w:rsid w:val="00D16C06"/>
    <w:rsid w:val="00D17F0E"/>
    <w:rsid w:val="00D2010C"/>
    <w:rsid w:val="00D2074D"/>
    <w:rsid w:val="00D20AED"/>
    <w:rsid w:val="00D20F8A"/>
    <w:rsid w:val="00D21156"/>
    <w:rsid w:val="00D216AA"/>
    <w:rsid w:val="00D220C6"/>
    <w:rsid w:val="00D2278D"/>
    <w:rsid w:val="00D24A14"/>
    <w:rsid w:val="00D256B4"/>
    <w:rsid w:val="00D258F4"/>
    <w:rsid w:val="00D263E0"/>
    <w:rsid w:val="00D26712"/>
    <w:rsid w:val="00D27E2D"/>
    <w:rsid w:val="00D3021D"/>
    <w:rsid w:val="00D3085B"/>
    <w:rsid w:val="00D30C03"/>
    <w:rsid w:val="00D316F0"/>
    <w:rsid w:val="00D31C35"/>
    <w:rsid w:val="00D3247A"/>
    <w:rsid w:val="00D3324B"/>
    <w:rsid w:val="00D3514D"/>
    <w:rsid w:val="00D35760"/>
    <w:rsid w:val="00D3673D"/>
    <w:rsid w:val="00D36A45"/>
    <w:rsid w:val="00D37B9C"/>
    <w:rsid w:val="00D40C29"/>
    <w:rsid w:val="00D40F59"/>
    <w:rsid w:val="00D41C46"/>
    <w:rsid w:val="00D43F70"/>
    <w:rsid w:val="00D44FBF"/>
    <w:rsid w:val="00D45080"/>
    <w:rsid w:val="00D45B76"/>
    <w:rsid w:val="00D478FE"/>
    <w:rsid w:val="00D50216"/>
    <w:rsid w:val="00D5175B"/>
    <w:rsid w:val="00D51B10"/>
    <w:rsid w:val="00D520CA"/>
    <w:rsid w:val="00D53C79"/>
    <w:rsid w:val="00D53D8F"/>
    <w:rsid w:val="00D569D1"/>
    <w:rsid w:val="00D56D9C"/>
    <w:rsid w:val="00D570E9"/>
    <w:rsid w:val="00D613ED"/>
    <w:rsid w:val="00D61BD5"/>
    <w:rsid w:val="00D62894"/>
    <w:rsid w:val="00D640F1"/>
    <w:rsid w:val="00D6434C"/>
    <w:rsid w:val="00D645BC"/>
    <w:rsid w:val="00D64A86"/>
    <w:rsid w:val="00D661CD"/>
    <w:rsid w:val="00D671CF"/>
    <w:rsid w:val="00D673BC"/>
    <w:rsid w:val="00D70265"/>
    <w:rsid w:val="00D7070E"/>
    <w:rsid w:val="00D70A0B"/>
    <w:rsid w:val="00D70D25"/>
    <w:rsid w:val="00D711FA"/>
    <w:rsid w:val="00D7197A"/>
    <w:rsid w:val="00D72A38"/>
    <w:rsid w:val="00D742E5"/>
    <w:rsid w:val="00D748C8"/>
    <w:rsid w:val="00D759FB"/>
    <w:rsid w:val="00D761A2"/>
    <w:rsid w:val="00D76294"/>
    <w:rsid w:val="00D80B13"/>
    <w:rsid w:val="00D81953"/>
    <w:rsid w:val="00D81D57"/>
    <w:rsid w:val="00D825DF"/>
    <w:rsid w:val="00D841B4"/>
    <w:rsid w:val="00D84368"/>
    <w:rsid w:val="00D85469"/>
    <w:rsid w:val="00D8621A"/>
    <w:rsid w:val="00D8648E"/>
    <w:rsid w:val="00D878FF"/>
    <w:rsid w:val="00D87937"/>
    <w:rsid w:val="00D91AF9"/>
    <w:rsid w:val="00D926A7"/>
    <w:rsid w:val="00D93B62"/>
    <w:rsid w:val="00D94394"/>
    <w:rsid w:val="00D9476C"/>
    <w:rsid w:val="00D94BF8"/>
    <w:rsid w:val="00D95034"/>
    <w:rsid w:val="00D954B0"/>
    <w:rsid w:val="00D957DF"/>
    <w:rsid w:val="00D96BEF"/>
    <w:rsid w:val="00D96F48"/>
    <w:rsid w:val="00DA1CEC"/>
    <w:rsid w:val="00DA2CBF"/>
    <w:rsid w:val="00DA2D53"/>
    <w:rsid w:val="00DA33C4"/>
    <w:rsid w:val="00DA46CB"/>
    <w:rsid w:val="00DA4828"/>
    <w:rsid w:val="00DA4A2A"/>
    <w:rsid w:val="00DA4B13"/>
    <w:rsid w:val="00DA5FF0"/>
    <w:rsid w:val="00DA711A"/>
    <w:rsid w:val="00DB050B"/>
    <w:rsid w:val="00DB060F"/>
    <w:rsid w:val="00DB0D70"/>
    <w:rsid w:val="00DB1129"/>
    <w:rsid w:val="00DB1F1E"/>
    <w:rsid w:val="00DB250C"/>
    <w:rsid w:val="00DB2E53"/>
    <w:rsid w:val="00DB394E"/>
    <w:rsid w:val="00DB3A3C"/>
    <w:rsid w:val="00DB436F"/>
    <w:rsid w:val="00DB44F4"/>
    <w:rsid w:val="00DB4B91"/>
    <w:rsid w:val="00DB4C52"/>
    <w:rsid w:val="00DB5831"/>
    <w:rsid w:val="00DB5F86"/>
    <w:rsid w:val="00DB6DC1"/>
    <w:rsid w:val="00DB703D"/>
    <w:rsid w:val="00DB7F38"/>
    <w:rsid w:val="00DC013D"/>
    <w:rsid w:val="00DC098B"/>
    <w:rsid w:val="00DC0C1A"/>
    <w:rsid w:val="00DC1199"/>
    <w:rsid w:val="00DC119D"/>
    <w:rsid w:val="00DC134A"/>
    <w:rsid w:val="00DC238F"/>
    <w:rsid w:val="00DC2637"/>
    <w:rsid w:val="00DC2E97"/>
    <w:rsid w:val="00DC2F61"/>
    <w:rsid w:val="00DC30E4"/>
    <w:rsid w:val="00DC32AA"/>
    <w:rsid w:val="00DC49EC"/>
    <w:rsid w:val="00DC4FBE"/>
    <w:rsid w:val="00DC5447"/>
    <w:rsid w:val="00DC65C6"/>
    <w:rsid w:val="00DC6ED8"/>
    <w:rsid w:val="00DD0212"/>
    <w:rsid w:val="00DD1591"/>
    <w:rsid w:val="00DD175C"/>
    <w:rsid w:val="00DD1F64"/>
    <w:rsid w:val="00DD23F7"/>
    <w:rsid w:val="00DD3AAD"/>
    <w:rsid w:val="00DD62DE"/>
    <w:rsid w:val="00DD6316"/>
    <w:rsid w:val="00DD66A6"/>
    <w:rsid w:val="00DD672B"/>
    <w:rsid w:val="00DD6AF6"/>
    <w:rsid w:val="00DE0A6F"/>
    <w:rsid w:val="00DE0EEB"/>
    <w:rsid w:val="00DE1978"/>
    <w:rsid w:val="00DE2121"/>
    <w:rsid w:val="00DE2256"/>
    <w:rsid w:val="00DE295C"/>
    <w:rsid w:val="00DE39C1"/>
    <w:rsid w:val="00DE3E17"/>
    <w:rsid w:val="00DE3E62"/>
    <w:rsid w:val="00DE438E"/>
    <w:rsid w:val="00DE47FA"/>
    <w:rsid w:val="00DE4EBB"/>
    <w:rsid w:val="00DE57B1"/>
    <w:rsid w:val="00DE6A22"/>
    <w:rsid w:val="00DE6D49"/>
    <w:rsid w:val="00DE6E2A"/>
    <w:rsid w:val="00DE7AF1"/>
    <w:rsid w:val="00DF1B10"/>
    <w:rsid w:val="00DF22B1"/>
    <w:rsid w:val="00DF2D5A"/>
    <w:rsid w:val="00DF367B"/>
    <w:rsid w:val="00DF38DE"/>
    <w:rsid w:val="00DF456B"/>
    <w:rsid w:val="00DF4905"/>
    <w:rsid w:val="00DF5223"/>
    <w:rsid w:val="00DF569A"/>
    <w:rsid w:val="00DF599E"/>
    <w:rsid w:val="00DF5E75"/>
    <w:rsid w:val="00DF63DF"/>
    <w:rsid w:val="00DF6B1E"/>
    <w:rsid w:val="00DF7D24"/>
    <w:rsid w:val="00DF7EA5"/>
    <w:rsid w:val="00E0167E"/>
    <w:rsid w:val="00E05960"/>
    <w:rsid w:val="00E05F8F"/>
    <w:rsid w:val="00E06A04"/>
    <w:rsid w:val="00E10647"/>
    <w:rsid w:val="00E10D91"/>
    <w:rsid w:val="00E119D9"/>
    <w:rsid w:val="00E1367A"/>
    <w:rsid w:val="00E13B5A"/>
    <w:rsid w:val="00E14FF1"/>
    <w:rsid w:val="00E16A69"/>
    <w:rsid w:val="00E16B48"/>
    <w:rsid w:val="00E16D06"/>
    <w:rsid w:val="00E16DA3"/>
    <w:rsid w:val="00E1706D"/>
    <w:rsid w:val="00E1708B"/>
    <w:rsid w:val="00E17B0E"/>
    <w:rsid w:val="00E2013B"/>
    <w:rsid w:val="00E20169"/>
    <w:rsid w:val="00E21371"/>
    <w:rsid w:val="00E21400"/>
    <w:rsid w:val="00E21E31"/>
    <w:rsid w:val="00E25B19"/>
    <w:rsid w:val="00E26423"/>
    <w:rsid w:val="00E26AC0"/>
    <w:rsid w:val="00E2790B"/>
    <w:rsid w:val="00E27983"/>
    <w:rsid w:val="00E27F20"/>
    <w:rsid w:val="00E31AF0"/>
    <w:rsid w:val="00E31E69"/>
    <w:rsid w:val="00E31F7C"/>
    <w:rsid w:val="00E324CA"/>
    <w:rsid w:val="00E33B6A"/>
    <w:rsid w:val="00E33E23"/>
    <w:rsid w:val="00E354CD"/>
    <w:rsid w:val="00E36461"/>
    <w:rsid w:val="00E366E4"/>
    <w:rsid w:val="00E378B5"/>
    <w:rsid w:val="00E422E5"/>
    <w:rsid w:val="00E4322D"/>
    <w:rsid w:val="00E434AB"/>
    <w:rsid w:val="00E44035"/>
    <w:rsid w:val="00E46567"/>
    <w:rsid w:val="00E46936"/>
    <w:rsid w:val="00E475B6"/>
    <w:rsid w:val="00E4780F"/>
    <w:rsid w:val="00E479B2"/>
    <w:rsid w:val="00E47E06"/>
    <w:rsid w:val="00E503F8"/>
    <w:rsid w:val="00E511A6"/>
    <w:rsid w:val="00E519B1"/>
    <w:rsid w:val="00E53021"/>
    <w:rsid w:val="00E53595"/>
    <w:rsid w:val="00E53651"/>
    <w:rsid w:val="00E53BB6"/>
    <w:rsid w:val="00E54341"/>
    <w:rsid w:val="00E54BE4"/>
    <w:rsid w:val="00E55530"/>
    <w:rsid w:val="00E55AC6"/>
    <w:rsid w:val="00E56765"/>
    <w:rsid w:val="00E57201"/>
    <w:rsid w:val="00E57BB5"/>
    <w:rsid w:val="00E57E2B"/>
    <w:rsid w:val="00E6081B"/>
    <w:rsid w:val="00E6254E"/>
    <w:rsid w:val="00E62D81"/>
    <w:rsid w:val="00E63B35"/>
    <w:rsid w:val="00E647CC"/>
    <w:rsid w:val="00E64985"/>
    <w:rsid w:val="00E64C3F"/>
    <w:rsid w:val="00E651AA"/>
    <w:rsid w:val="00E65498"/>
    <w:rsid w:val="00E65891"/>
    <w:rsid w:val="00E65D1E"/>
    <w:rsid w:val="00E65D5C"/>
    <w:rsid w:val="00E7102D"/>
    <w:rsid w:val="00E72954"/>
    <w:rsid w:val="00E72D0F"/>
    <w:rsid w:val="00E7363A"/>
    <w:rsid w:val="00E74964"/>
    <w:rsid w:val="00E75A2C"/>
    <w:rsid w:val="00E763B3"/>
    <w:rsid w:val="00E7690F"/>
    <w:rsid w:val="00E77614"/>
    <w:rsid w:val="00E77C4F"/>
    <w:rsid w:val="00E805AD"/>
    <w:rsid w:val="00E80E6B"/>
    <w:rsid w:val="00E80F9D"/>
    <w:rsid w:val="00E814EA"/>
    <w:rsid w:val="00E82DD8"/>
    <w:rsid w:val="00E836DE"/>
    <w:rsid w:val="00E8462B"/>
    <w:rsid w:val="00E84B85"/>
    <w:rsid w:val="00E84F1D"/>
    <w:rsid w:val="00E8517F"/>
    <w:rsid w:val="00E856CF"/>
    <w:rsid w:val="00E858BD"/>
    <w:rsid w:val="00E85AE8"/>
    <w:rsid w:val="00E85D6F"/>
    <w:rsid w:val="00E86F88"/>
    <w:rsid w:val="00E8749C"/>
    <w:rsid w:val="00E9018A"/>
    <w:rsid w:val="00E90683"/>
    <w:rsid w:val="00E90DCA"/>
    <w:rsid w:val="00E9101D"/>
    <w:rsid w:val="00E912D0"/>
    <w:rsid w:val="00E91890"/>
    <w:rsid w:val="00E91A72"/>
    <w:rsid w:val="00E932AB"/>
    <w:rsid w:val="00E93A37"/>
    <w:rsid w:val="00E9470A"/>
    <w:rsid w:val="00E9487B"/>
    <w:rsid w:val="00E94AAB"/>
    <w:rsid w:val="00E95045"/>
    <w:rsid w:val="00E96134"/>
    <w:rsid w:val="00E96839"/>
    <w:rsid w:val="00E97F32"/>
    <w:rsid w:val="00EA025F"/>
    <w:rsid w:val="00EA066F"/>
    <w:rsid w:val="00EA0C95"/>
    <w:rsid w:val="00EA0FF2"/>
    <w:rsid w:val="00EA1265"/>
    <w:rsid w:val="00EA24C5"/>
    <w:rsid w:val="00EA2C61"/>
    <w:rsid w:val="00EA2EF4"/>
    <w:rsid w:val="00EA30D6"/>
    <w:rsid w:val="00EA41A5"/>
    <w:rsid w:val="00EA48AF"/>
    <w:rsid w:val="00EA4CE8"/>
    <w:rsid w:val="00EA4EE8"/>
    <w:rsid w:val="00EA62B7"/>
    <w:rsid w:val="00EA7EB3"/>
    <w:rsid w:val="00EB02D2"/>
    <w:rsid w:val="00EB063D"/>
    <w:rsid w:val="00EB0781"/>
    <w:rsid w:val="00EB09A5"/>
    <w:rsid w:val="00EB2422"/>
    <w:rsid w:val="00EB2B09"/>
    <w:rsid w:val="00EB3784"/>
    <w:rsid w:val="00EB4B1E"/>
    <w:rsid w:val="00EB54BE"/>
    <w:rsid w:val="00EB5A6F"/>
    <w:rsid w:val="00EC135F"/>
    <w:rsid w:val="00EC1977"/>
    <w:rsid w:val="00EC1B7F"/>
    <w:rsid w:val="00EC1FEC"/>
    <w:rsid w:val="00EC24E7"/>
    <w:rsid w:val="00EC2A11"/>
    <w:rsid w:val="00EC2CEE"/>
    <w:rsid w:val="00EC4ACA"/>
    <w:rsid w:val="00EC4B46"/>
    <w:rsid w:val="00EC73A6"/>
    <w:rsid w:val="00ED02C3"/>
    <w:rsid w:val="00ED0A37"/>
    <w:rsid w:val="00ED0E16"/>
    <w:rsid w:val="00ED2F9D"/>
    <w:rsid w:val="00ED307F"/>
    <w:rsid w:val="00ED33EF"/>
    <w:rsid w:val="00ED34B8"/>
    <w:rsid w:val="00ED3C07"/>
    <w:rsid w:val="00ED4A49"/>
    <w:rsid w:val="00ED4D5F"/>
    <w:rsid w:val="00ED55F8"/>
    <w:rsid w:val="00ED5615"/>
    <w:rsid w:val="00EE0AC3"/>
    <w:rsid w:val="00EE1054"/>
    <w:rsid w:val="00EE131F"/>
    <w:rsid w:val="00EE1ED8"/>
    <w:rsid w:val="00EE2904"/>
    <w:rsid w:val="00EE2BB3"/>
    <w:rsid w:val="00EE2F77"/>
    <w:rsid w:val="00EE30FF"/>
    <w:rsid w:val="00EE329B"/>
    <w:rsid w:val="00EE4672"/>
    <w:rsid w:val="00EE5DF6"/>
    <w:rsid w:val="00EE5F26"/>
    <w:rsid w:val="00EE753B"/>
    <w:rsid w:val="00EE7BC0"/>
    <w:rsid w:val="00EF070E"/>
    <w:rsid w:val="00EF2B81"/>
    <w:rsid w:val="00EF3D01"/>
    <w:rsid w:val="00EF45AF"/>
    <w:rsid w:val="00EF4794"/>
    <w:rsid w:val="00EF62DE"/>
    <w:rsid w:val="00EF696C"/>
    <w:rsid w:val="00EF6E9D"/>
    <w:rsid w:val="00EF74CA"/>
    <w:rsid w:val="00F0155E"/>
    <w:rsid w:val="00F02031"/>
    <w:rsid w:val="00F030E5"/>
    <w:rsid w:val="00F03EA8"/>
    <w:rsid w:val="00F0512C"/>
    <w:rsid w:val="00F06156"/>
    <w:rsid w:val="00F068D2"/>
    <w:rsid w:val="00F0695F"/>
    <w:rsid w:val="00F071F3"/>
    <w:rsid w:val="00F07DCF"/>
    <w:rsid w:val="00F100F3"/>
    <w:rsid w:val="00F1107C"/>
    <w:rsid w:val="00F1217F"/>
    <w:rsid w:val="00F123C6"/>
    <w:rsid w:val="00F136D8"/>
    <w:rsid w:val="00F1448A"/>
    <w:rsid w:val="00F1556B"/>
    <w:rsid w:val="00F15E65"/>
    <w:rsid w:val="00F16306"/>
    <w:rsid w:val="00F16A3C"/>
    <w:rsid w:val="00F20AAF"/>
    <w:rsid w:val="00F218D6"/>
    <w:rsid w:val="00F23E40"/>
    <w:rsid w:val="00F24A27"/>
    <w:rsid w:val="00F25128"/>
    <w:rsid w:val="00F2577F"/>
    <w:rsid w:val="00F25A41"/>
    <w:rsid w:val="00F25DBF"/>
    <w:rsid w:val="00F2621B"/>
    <w:rsid w:val="00F27979"/>
    <w:rsid w:val="00F30570"/>
    <w:rsid w:val="00F3162E"/>
    <w:rsid w:val="00F31934"/>
    <w:rsid w:val="00F34ADC"/>
    <w:rsid w:val="00F34CCB"/>
    <w:rsid w:val="00F34FFA"/>
    <w:rsid w:val="00F358F3"/>
    <w:rsid w:val="00F3612B"/>
    <w:rsid w:val="00F372E1"/>
    <w:rsid w:val="00F373F0"/>
    <w:rsid w:val="00F40053"/>
    <w:rsid w:val="00F40EB0"/>
    <w:rsid w:val="00F413DD"/>
    <w:rsid w:val="00F41B31"/>
    <w:rsid w:val="00F41F6B"/>
    <w:rsid w:val="00F420BD"/>
    <w:rsid w:val="00F42484"/>
    <w:rsid w:val="00F42752"/>
    <w:rsid w:val="00F42E63"/>
    <w:rsid w:val="00F447D9"/>
    <w:rsid w:val="00F44849"/>
    <w:rsid w:val="00F450EE"/>
    <w:rsid w:val="00F470F0"/>
    <w:rsid w:val="00F475D3"/>
    <w:rsid w:val="00F47B07"/>
    <w:rsid w:val="00F5030F"/>
    <w:rsid w:val="00F5254A"/>
    <w:rsid w:val="00F56E2C"/>
    <w:rsid w:val="00F57D5C"/>
    <w:rsid w:val="00F60D06"/>
    <w:rsid w:val="00F61D25"/>
    <w:rsid w:val="00F630AE"/>
    <w:rsid w:val="00F6379A"/>
    <w:rsid w:val="00F64308"/>
    <w:rsid w:val="00F64364"/>
    <w:rsid w:val="00F644C3"/>
    <w:rsid w:val="00F6475D"/>
    <w:rsid w:val="00F64777"/>
    <w:rsid w:val="00F64EF0"/>
    <w:rsid w:val="00F66950"/>
    <w:rsid w:val="00F66EDB"/>
    <w:rsid w:val="00F71F7F"/>
    <w:rsid w:val="00F741CA"/>
    <w:rsid w:val="00F74D53"/>
    <w:rsid w:val="00F75743"/>
    <w:rsid w:val="00F75DE9"/>
    <w:rsid w:val="00F766BE"/>
    <w:rsid w:val="00F77061"/>
    <w:rsid w:val="00F773CF"/>
    <w:rsid w:val="00F77CA4"/>
    <w:rsid w:val="00F80923"/>
    <w:rsid w:val="00F815F5"/>
    <w:rsid w:val="00F81C49"/>
    <w:rsid w:val="00F81FBA"/>
    <w:rsid w:val="00F82760"/>
    <w:rsid w:val="00F827F9"/>
    <w:rsid w:val="00F82FD5"/>
    <w:rsid w:val="00F83083"/>
    <w:rsid w:val="00F831BF"/>
    <w:rsid w:val="00F83A69"/>
    <w:rsid w:val="00F83D70"/>
    <w:rsid w:val="00F8485D"/>
    <w:rsid w:val="00F84B55"/>
    <w:rsid w:val="00F84D4F"/>
    <w:rsid w:val="00F850BD"/>
    <w:rsid w:val="00F85305"/>
    <w:rsid w:val="00F85918"/>
    <w:rsid w:val="00F86BF2"/>
    <w:rsid w:val="00F86C3D"/>
    <w:rsid w:val="00F903E2"/>
    <w:rsid w:val="00F90FEA"/>
    <w:rsid w:val="00F90FEB"/>
    <w:rsid w:val="00F9171B"/>
    <w:rsid w:val="00F91B8E"/>
    <w:rsid w:val="00F91CCB"/>
    <w:rsid w:val="00F91E23"/>
    <w:rsid w:val="00F928B5"/>
    <w:rsid w:val="00F935D9"/>
    <w:rsid w:val="00F94633"/>
    <w:rsid w:val="00F94AD1"/>
    <w:rsid w:val="00F95708"/>
    <w:rsid w:val="00F95B78"/>
    <w:rsid w:val="00F96072"/>
    <w:rsid w:val="00F97520"/>
    <w:rsid w:val="00F97F3D"/>
    <w:rsid w:val="00FA03B1"/>
    <w:rsid w:val="00FA0EB8"/>
    <w:rsid w:val="00FA13BA"/>
    <w:rsid w:val="00FA23FE"/>
    <w:rsid w:val="00FA2771"/>
    <w:rsid w:val="00FA3C40"/>
    <w:rsid w:val="00FB00F3"/>
    <w:rsid w:val="00FB031F"/>
    <w:rsid w:val="00FB0431"/>
    <w:rsid w:val="00FB0864"/>
    <w:rsid w:val="00FB1B8E"/>
    <w:rsid w:val="00FB2131"/>
    <w:rsid w:val="00FB3C47"/>
    <w:rsid w:val="00FB4240"/>
    <w:rsid w:val="00FB4327"/>
    <w:rsid w:val="00FB4AE1"/>
    <w:rsid w:val="00FB5026"/>
    <w:rsid w:val="00FB5402"/>
    <w:rsid w:val="00FB5907"/>
    <w:rsid w:val="00FB5AA6"/>
    <w:rsid w:val="00FB5B57"/>
    <w:rsid w:val="00FB5E4A"/>
    <w:rsid w:val="00FB6AC1"/>
    <w:rsid w:val="00FB6BEF"/>
    <w:rsid w:val="00FB6C29"/>
    <w:rsid w:val="00FB6D2B"/>
    <w:rsid w:val="00FB6DCD"/>
    <w:rsid w:val="00FB6F74"/>
    <w:rsid w:val="00FB6FEB"/>
    <w:rsid w:val="00FB739C"/>
    <w:rsid w:val="00FB7FE6"/>
    <w:rsid w:val="00FC2F1B"/>
    <w:rsid w:val="00FC3ED0"/>
    <w:rsid w:val="00FC3F8F"/>
    <w:rsid w:val="00FC44D0"/>
    <w:rsid w:val="00FC52E2"/>
    <w:rsid w:val="00FC59F8"/>
    <w:rsid w:val="00FC6083"/>
    <w:rsid w:val="00FC7725"/>
    <w:rsid w:val="00FC7D87"/>
    <w:rsid w:val="00FD0ACE"/>
    <w:rsid w:val="00FD0AFE"/>
    <w:rsid w:val="00FD0B45"/>
    <w:rsid w:val="00FD0BF2"/>
    <w:rsid w:val="00FD0EB3"/>
    <w:rsid w:val="00FD0FED"/>
    <w:rsid w:val="00FD2DD5"/>
    <w:rsid w:val="00FD44CC"/>
    <w:rsid w:val="00FD456E"/>
    <w:rsid w:val="00FD45CD"/>
    <w:rsid w:val="00FE12BA"/>
    <w:rsid w:val="00FE1644"/>
    <w:rsid w:val="00FE2EBB"/>
    <w:rsid w:val="00FE35A7"/>
    <w:rsid w:val="00FE45B3"/>
    <w:rsid w:val="00FE4A07"/>
    <w:rsid w:val="00FE528E"/>
    <w:rsid w:val="00FE58C9"/>
    <w:rsid w:val="00FE6683"/>
    <w:rsid w:val="00FE74AD"/>
    <w:rsid w:val="00FE76F4"/>
    <w:rsid w:val="00FE7AD5"/>
    <w:rsid w:val="00FF0464"/>
    <w:rsid w:val="00FF0CA3"/>
    <w:rsid w:val="00FF25F2"/>
    <w:rsid w:val="00FF31BD"/>
    <w:rsid w:val="00FF3AF5"/>
    <w:rsid w:val="00FF3EAF"/>
    <w:rsid w:val="00FF43C2"/>
    <w:rsid w:val="00FF4EE7"/>
    <w:rsid w:val="00FF53A2"/>
    <w:rsid w:val="00FF61DB"/>
    <w:rsid w:val="00FF658D"/>
    <w:rsid w:val="00FF6E0F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98E05F"/>
  <w15:docId w15:val="{A3C9DEAE-9D55-4CDE-939D-18ECCFAF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4">
    <w:name w:val="Tabellenraster4"/>
    <w:basedOn w:val="TableNormal"/>
    <w:next w:val="TableGrid"/>
    <w:uiPriority w:val="59"/>
    <w:rsid w:val="0053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3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530362"/>
    <w:pPr>
      <w:keepLines/>
      <w:spacing w:before="100" w:beforeAutospacing="1" w:after="120" w:line="360" w:lineRule="auto"/>
      <w:jc w:val="both"/>
    </w:pPr>
    <w:rPr>
      <w:rFonts w:ascii="Times New Roman" w:eastAsia="Times New Roman" w:hAnsi="Times New Roman" w:cs="Times New Roman"/>
      <w:b/>
      <w:kern w:val="16"/>
      <w:sz w:val="20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C503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5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AC1"/>
    <w:rPr>
      <w:rFonts w:ascii="Tahoma" w:hAnsi="Tahoma" w:cs="Tahoma"/>
      <w:sz w:val="16"/>
      <w:szCs w:val="16"/>
    </w:rPr>
  </w:style>
  <w:style w:type="table" w:customStyle="1" w:styleId="Tabellenraster5">
    <w:name w:val="Tabellenraster5"/>
    <w:basedOn w:val="TableNormal"/>
    <w:next w:val="TableGrid"/>
    <w:uiPriority w:val="59"/>
    <w:rsid w:val="001D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5B4513"/>
    <w:pPr>
      <w:tabs>
        <w:tab w:val="left" w:pos="504"/>
      </w:tabs>
      <w:spacing w:after="240" w:line="240" w:lineRule="auto"/>
      <w:ind w:left="504" w:hanging="504"/>
    </w:pPr>
  </w:style>
  <w:style w:type="character" w:styleId="PlaceholderText">
    <w:name w:val="Placeholder Text"/>
    <w:basedOn w:val="DefaultParagraphFont"/>
    <w:uiPriority w:val="99"/>
    <w:semiHidden/>
    <w:rsid w:val="00DF7EA5"/>
    <w:rPr>
      <w:color w:val="808080"/>
    </w:rPr>
  </w:style>
  <w:style w:type="table" w:customStyle="1" w:styleId="Tabellenraster13">
    <w:name w:val="Tabellenraster13"/>
    <w:basedOn w:val="TableNormal"/>
    <w:next w:val="TableGrid"/>
    <w:uiPriority w:val="59"/>
    <w:rsid w:val="0009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AF1"/>
  </w:style>
  <w:style w:type="paragraph" w:styleId="Footer">
    <w:name w:val="footer"/>
    <w:basedOn w:val="Normal"/>
    <w:link w:val="FooterChar"/>
    <w:uiPriority w:val="99"/>
    <w:unhideWhenUsed/>
    <w:rsid w:val="00DE7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AF1"/>
  </w:style>
  <w:style w:type="table" w:customStyle="1" w:styleId="Tabellenraster1">
    <w:name w:val="Tabellenraster1"/>
    <w:basedOn w:val="TableNormal"/>
    <w:next w:val="TableGrid"/>
    <w:uiPriority w:val="59"/>
    <w:rsid w:val="003C1D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1">
    <w:name w:val="Tabellenraster51"/>
    <w:basedOn w:val="TableNormal"/>
    <w:next w:val="TableGrid"/>
    <w:uiPriority w:val="59"/>
    <w:rsid w:val="0041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1">
    <w:name w:val="Tabellenraster131"/>
    <w:basedOn w:val="TableNormal"/>
    <w:next w:val="TableGrid"/>
    <w:uiPriority w:val="59"/>
    <w:rsid w:val="003C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TableNormal"/>
    <w:next w:val="TableGrid"/>
    <w:uiPriority w:val="59"/>
    <w:rsid w:val="004E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2">
    <w:name w:val="Tabellenraster132"/>
    <w:basedOn w:val="TableNormal"/>
    <w:next w:val="TableGrid"/>
    <w:uiPriority w:val="59"/>
    <w:rsid w:val="0061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0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0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0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0FA"/>
    <w:rPr>
      <w:b/>
      <w:bCs/>
      <w:sz w:val="20"/>
      <w:szCs w:val="20"/>
    </w:rPr>
  </w:style>
  <w:style w:type="table" w:customStyle="1" w:styleId="Tabellenraster111">
    <w:name w:val="Tabellenraster111"/>
    <w:basedOn w:val="TableNormal"/>
    <w:next w:val="TableGrid"/>
    <w:uiPriority w:val="59"/>
    <w:rsid w:val="003E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2">
    <w:name w:val="Tabellenraster52"/>
    <w:basedOn w:val="TableNormal"/>
    <w:next w:val="TableGrid"/>
    <w:uiPriority w:val="59"/>
    <w:rsid w:val="0050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21">
    <w:name w:val="Tabellenraster1321"/>
    <w:basedOn w:val="TableNormal"/>
    <w:next w:val="TableGrid"/>
    <w:uiPriority w:val="59"/>
    <w:rsid w:val="003B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7F6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A7F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739C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5D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7D9DE-24E9-418E-A7C8-78CFEB86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</dc:creator>
  <cp:lastModifiedBy>Bhuvaneswari A.</cp:lastModifiedBy>
  <cp:revision>9</cp:revision>
  <cp:lastPrinted>2019-12-20T10:36:00Z</cp:lastPrinted>
  <dcterms:created xsi:type="dcterms:W3CDTF">2020-08-15T11:19:00Z</dcterms:created>
  <dcterms:modified xsi:type="dcterms:W3CDTF">2021-12-09T15:34:00Z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zotero-version="5.0.87"&gt;&lt;session id="r9uvxnYk"/&gt;&lt;style id="http://www.zotero.org/styles/journal-of-the-national-cancer-institute" hasBibliography="1" bibliographyStyleHasBeenSet="1"/&gt;&lt;prefs&gt;&lt;pref name="fieldType" value="Field"/&gt;&lt;pre</vt:lpwstr>
  </property>
  <property fmtid="{D5CDD505-2E9C-101B-9397-08002B2CF9AE}" pid="3" name="ZOTERO_PREF_2">
    <vt:lpwstr>f name="storeReferences" value="true"/&gt;&lt;pref name="automaticJournalAbbreviations" value="true"/&gt;&lt;/prefs&gt;&lt;/data&gt;</vt:lpwstr>
  </property>
</Properties>
</file>