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DAEA" w14:textId="1D307EF2" w:rsidR="008C2160" w:rsidRPr="00E27817" w:rsidRDefault="008C2160" w:rsidP="008C2160">
      <w:pPr>
        <w:pStyle w:val="Body"/>
        <w:tabs>
          <w:tab w:val="left" w:pos="8100"/>
        </w:tabs>
        <w:spacing w:line="480" w:lineRule="auto"/>
        <w:jc w:val="both"/>
        <w:rPr>
          <w:rFonts w:ascii="Palatino Linotype" w:hAnsi="Palatino Linotype"/>
          <w:b/>
          <w:bCs/>
        </w:rPr>
      </w:pPr>
      <w:r>
        <w:rPr>
          <w:rFonts w:ascii="Palatino Linotype" w:hAnsi="Palatino Linotype"/>
          <w:b/>
          <w:bCs/>
        </w:rPr>
        <w:t>Supplementary Information for “</w:t>
      </w:r>
      <w:r w:rsidRPr="00E27817">
        <w:rPr>
          <w:rFonts w:ascii="Palatino Linotype" w:hAnsi="Palatino Linotype"/>
          <w:b/>
          <w:bCs/>
        </w:rPr>
        <w:t>Extracting phylogenetic dimension</w:t>
      </w:r>
      <w:r>
        <w:rPr>
          <w:rFonts w:ascii="Palatino Linotype" w:hAnsi="Palatino Linotype"/>
          <w:b/>
          <w:bCs/>
        </w:rPr>
        <w:t>s</w:t>
      </w:r>
      <w:r w:rsidRPr="00E27817">
        <w:rPr>
          <w:rFonts w:ascii="Palatino Linotype" w:hAnsi="Palatino Linotype"/>
          <w:b/>
          <w:bCs/>
        </w:rPr>
        <w:t xml:space="preserve"> of coevolution reveals hidden functional signal</w:t>
      </w:r>
      <w:r>
        <w:rPr>
          <w:rFonts w:ascii="Palatino Linotype" w:hAnsi="Palatino Linotype"/>
          <w:b/>
          <w:bCs/>
        </w:rPr>
        <w:t>s</w:t>
      </w:r>
      <w:r>
        <w:rPr>
          <w:rFonts w:ascii="Palatino Linotype" w:hAnsi="Palatino Linotype"/>
          <w:b/>
          <w:bCs/>
        </w:rPr>
        <w:t>”</w:t>
      </w:r>
    </w:p>
    <w:p w14:paraId="6CDB3DBD" w14:textId="77777777" w:rsidR="008C2160" w:rsidRPr="00E27817" w:rsidRDefault="008C2160" w:rsidP="008C2160">
      <w:pPr>
        <w:pStyle w:val="Body"/>
        <w:spacing w:line="480" w:lineRule="auto"/>
        <w:jc w:val="both"/>
        <w:rPr>
          <w:rFonts w:ascii="Palatino Linotype" w:eastAsia="Palatino" w:hAnsi="Palatino Linotype" w:cs="Palatino"/>
        </w:rPr>
      </w:pPr>
    </w:p>
    <w:p w14:paraId="31DC69BB" w14:textId="77777777" w:rsidR="008C2160" w:rsidRPr="00E27817" w:rsidRDefault="008C2160" w:rsidP="008C2160">
      <w:pPr>
        <w:pStyle w:val="Body"/>
        <w:spacing w:line="480" w:lineRule="auto"/>
        <w:jc w:val="both"/>
        <w:outlineLvl w:val="0"/>
      </w:pPr>
      <w:r w:rsidRPr="00E27817">
        <w:rPr>
          <w:rFonts w:ascii="Palatino Linotype" w:hAnsi="Palatino Linotype"/>
        </w:rPr>
        <w:t>Alexandre Colavin</w:t>
      </w:r>
      <w:proofErr w:type="gramStart"/>
      <w:r w:rsidRPr="00E27817">
        <w:rPr>
          <w:rFonts w:ascii="Palatino Linotype" w:hAnsi="Palatino Linotype"/>
          <w:vertAlign w:val="superscript"/>
        </w:rPr>
        <w:t>1,*</w:t>
      </w:r>
      <w:proofErr w:type="gramEnd"/>
      <w:r w:rsidRPr="00E27817">
        <w:rPr>
          <w:rFonts w:ascii="Palatino Linotype" w:hAnsi="Palatino Linotype"/>
        </w:rPr>
        <w:t>, Esha Atolia</w:t>
      </w:r>
      <w:r w:rsidRPr="00E27817">
        <w:rPr>
          <w:rFonts w:ascii="Palatino Linotype" w:hAnsi="Palatino Linotype"/>
          <w:vertAlign w:val="superscript"/>
        </w:rPr>
        <w:t>2,*</w:t>
      </w:r>
      <w:r w:rsidRPr="00E27817">
        <w:rPr>
          <w:rFonts w:ascii="Palatino Linotype" w:hAnsi="Palatino Linotype"/>
        </w:rPr>
        <w:t>, Anne-Florence Bitbol</w:t>
      </w:r>
      <w:r w:rsidRPr="00E27817">
        <w:rPr>
          <w:rFonts w:ascii="Palatino Linotype" w:hAnsi="Palatino Linotype"/>
          <w:vertAlign w:val="superscript"/>
        </w:rPr>
        <w:t>3,4</w:t>
      </w:r>
      <w:r>
        <w:rPr>
          <w:rFonts w:ascii="Palatino Linotype" w:hAnsi="Palatino Linotype"/>
          <w:vertAlign w:val="superscript"/>
        </w:rPr>
        <w:t>,5</w:t>
      </w:r>
      <w:r w:rsidRPr="00E27817">
        <w:rPr>
          <w:rFonts w:ascii="Palatino Linotype" w:hAnsi="Palatino Linotype"/>
        </w:rPr>
        <w:t xml:space="preserve">, </w:t>
      </w:r>
      <w:proofErr w:type="spellStart"/>
      <w:r w:rsidRPr="00E27817">
        <w:rPr>
          <w:rFonts w:ascii="Palatino Linotype" w:hAnsi="Palatino Linotype"/>
        </w:rPr>
        <w:t>Kerwyn</w:t>
      </w:r>
      <w:proofErr w:type="spellEnd"/>
      <w:r w:rsidRPr="00E27817">
        <w:rPr>
          <w:rFonts w:ascii="Palatino Linotype" w:hAnsi="Palatino Linotype"/>
        </w:rPr>
        <w:t xml:space="preserve"> Casey Huang</w:t>
      </w:r>
      <w:r w:rsidRPr="00E27817">
        <w:rPr>
          <w:rFonts w:ascii="Palatino Linotype" w:hAnsi="Palatino Linotype"/>
          <w:vertAlign w:val="superscript"/>
        </w:rPr>
        <w:t>6,7,</w:t>
      </w:r>
      <w:r>
        <w:rPr>
          <w:rFonts w:ascii="Palatino Linotype" w:hAnsi="Palatino Linotype"/>
          <w:vertAlign w:val="superscript"/>
        </w:rPr>
        <w:t>8,</w:t>
      </w:r>
      <w:r w:rsidRPr="00E27817">
        <w:rPr>
          <w:rFonts w:ascii="Palatino Linotype" w:hAnsi="Palatino Linotype"/>
          <w:vertAlign w:val="superscript"/>
        </w:rPr>
        <w:t>†</w:t>
      </w:r>
    </w:p>
    <w:p w14:paraId="6FD0FE54" w14:textId="77777777" w:rsidR="008C2160" w:rsidRPr="00E27817" w:rsidRDefault="008C2160" w:rsidP="008C2160">
      <w:pPr>
        <w:pStyle w:val="Body"/>
        <w:spacing w:line="480" w:lineRule="auto"/>
        <w:jc w:val="both"/>
        <w:rPr>
          <w:rFonts w:ascii="Palatino Linotype" w:hAnsi="Palatino Linotype"/>
          <w:vertAlign w:val="superscript"/>
        </w:rPr>
      </w:pPr>
    </w:p>
    <w:p w14:paraId="3FB9BCB9" w14:textId="77777777" w:rsidR="008C2160" w:rsidRPr="00E27817" w:rsidRDefault="008C2160" w:rsidP="008C2160">
      <w:pPr>
        <w:pStyle w:val="Body"/>
        <w:spacing w:line="480" w:lineRule="auto"/>
        <w:jc w:val="both"/>
      </w:pPr>
      <w:r w:rsidRPr="00E27817">
        <w:rPr>
          <w:rFonts w:ascii="Palatino Linotype" w:hAnsi="Palatino Linotype"/>
          <w:vertAlign w:val="superscript"/>
        </w:rPr>
        <w:t>1</w:t>
      </w:r>
      <w:r w:rsidRPr="00E27817">
        <w:rPr>
          <w:rFonts w:ascii="Palatino Linotype" w:hAnsi="Palatino Linotype"/>
        </w:rPr>
        <w:t>Biophysics Program, Stanford University School of Medicine, Stanford, CA 94305, USA</w:t>
      </w:r>
    </w:p>
    <w:p w14:paraId="5389E7BD" w14:textId="77777777" w:rsidR="008C2160" w:rsidRPr="00E27817" w:rsidRDefault="008C2160" w:rsidP="008C2160">
      <w:pPr>
        <w:pStyle w:val="Body"/>
        <w:spacing w:line="480" w:lineRule="auto"/>
        <w:jc w:val="both"/>
      </w:pPr>
      <w:r w:rsidRPr="00E27817">
        <w:rPr>
          <w:rFonts w:ascii="Palatino Linotype" w:hAnsi="Palatino Linotype"/>
          <w:vertAlign w:val="superscript"/>
        </w:rPr>
        <w:t>2</w:t>
      </w:r>
      <w:r w:rsidRPr="00E27817">
        <w:rPr>
          <w:rFonts w:ascii="Palatino Linotype" w:hAnsi="Palatino Linotype"/>
        </w:rPr>
        <w:t>Department of Chemical and Systems Biology, Stanford University School of Medicine, Stanford, CA 94305, USA</w:t>
      </w:r>
    </w:p>
    <w:p w14:paraId="6C8C1207" w14:textId="77777777" w:rsidR="008C2160" w:rsidRPr="00E27817" w:rsidRDefault="008C2160" w:rsidP="008C2160">
      <w:pPr>
        <w:pStyle w:val="Body"/>
        <w:spacing w:line="480" w:lineRule="auto"/>
      </w:pPr>
      <w:r w:rsidRPr="00E27817">
        <w:rPr>
          <w:rFonts w:ascii="Palatino Linotype" w:eastAsia="Times New Roman" w:hAnsi="Palatino Linotype" w:cs="Times New Roman"/>
          <w:color w:val="00000A"/>
          <w:vertAlign w:val="superscript"/>
        </w:rPr>
        <w:t>3</w:t>
      </w:r>
      <w:r w:rsidRPr="00E27817">
        <w:rPr>
          <w:rFonts w:ascii="Palatino Linotype" w:hAnsi="Palatino Linotype"/>
        </w:rPr>
        <w:t xml:space="preserve">Sorbonne </w:t>
      </w:r>
      <w:proofErr w:type="spellStart"/>
      <w:r w:rsidRPr="00E27817">
        <w:rPr>
          <w:rFonts w:ascii="Palatino Linotype" w:hAnsi="Palatino Linotype"/>
        </w:rPr>
        <w:t>Université</w:t>
      </w:r>
      <w:proofErr w:type="spellEnd"/>
      <w:r w:rsidRPr="00E27817">
        <w:rPr>
          <w:rFonts w:ascii="Palatino Linotype" w:hAnsi="Palatino Linotype"/>
        </w:rPr>
        <w:t xml:space="preserve">, CNRS, </w:t>
      </w:r>
      <w:proofErr w:type="spellStart"/>
      <w:r w:rsidRPr="00E27817">
        <w:rPr>
          <w:rFonts w:ascii="Palatino Linotype" w:hAnsi="Palatino Linotype"/>
        </w:rPr>
        <w:t>Institut</w:t>
      </w:r>
      <w:proofErr w:type="spellEnd"/>
      <w:r w:rsidRPr="00E27817">
        <w:rPr>
          <w:rFonts w:ascii="Palatino Linotype" w:hAnsi="Palatino Linotype"/>
        </w:rPr>
        <w:t xml:space="preserve"> de </w:t>
      </w:r>
      <w:proofErr w:type="spellStart"/>
      <w:r w:rsidRPr="00E27817">
        <w:rPr>
          <w:rFonts w:ascii="Palatino Linotype" w:hAnsi="Palatino Linotype"/>
        </w:rPr>
        <w:t>Biologie</w:t>
      </w:r>
      <w:proofErr w:type="spellEnd"/>
      <w:r w:rsidRPr="00E27817">
        <w:rPr>
          <w:rFonts w:ascii="Palatino Linotype" w:hAnsi="Palatino Linotype"/>
        </w:rPr>
        <w:t xml:space="preserve"> Paris-Seine, </w:t>
      </w:r>
      <w:proofErr w:type="spellStart"/>
      <w:r w:rsidRPr="00E27817">
        <w:rPr>
          <w:rFonts w:ascii="Palatino Linotype" w:hAnsi="Palatino Linotype"/>
        </w:rPr>
        <w:t>Laboratoire</w:t>
      </w:r>
      <w:proofErr w:type="spellEnd"/>
      <w:r w:rsidRPr="00E27817">
        <w:rPr>
          <w:rFonts w:ascii="Palatino Linotype" w:hAnsi="Palatino Linotype"/>
        </w:rPr>
        <w:t xml:space="preserve"> Jean Perrin (UMR 8237), F-75005, Paris, France</w:t>
      </w:r>
    </w:p>
    <w:p w14:paraId="549C849D" w14:textId="77777777" w:rsidR="008C2160" w:rsidRDefault="008C2160" w:rsidP="008C2160">
      <w:pPr>
        <w:pStyle w:val="Body"/>
        <w:spacing w:line="480" w:lineRule="auto"/>
        <w:rPr>
          <w:rFonts w:ascii="Palatino Linotype" w:hAnsi="Palatino Linotype"/>
        </w:rPr>
      </w:pPr>
      <w:r w:rsidRPr="00E27817">
        <w:rPr>
          <w:rFonts w:ascii="Palatino Linotype" w:hAnsi="Palatino Linotype"/>
          <w:vertAlign w:val="superscript"/>
        </w:rPr>
        <w:t>4</w:t>
      </w:r>
      <w:r w:rsidRPr="00E27817">
        <w:rPr>
          <w:rFonts w:ascii="Palatino Linotype" w:hAnsi="Palatino Linotype"/>
        </w:rPr>
        <w:t xml:space="preserve">Institute of Bioengineering, School of Life Sciences, Ecole Polytechnique </w:t>
      </w:r>
      <w:proofErr w:type="spellStart"/>
      <w:r w:rsidRPr="00E27817">
        <w:rPr>
          <w:rFonts w:ascii="Palatino Linotype" w:hAnsi="Palatino Linotype"/>
        </w:rPr>
        <w:t>Fédérale</w:t>
      </w:r>
      <w:proofErr w:type="spellEnd"/>
      <w:r w:rsidRPr="00E27817">
        <w:rPr>
          <w:rFonts w:ascii="Palatino Linotype" w:hAnsi="Palatino Linotype"/>
        </w:rPr>
        <w:t xml:space="preserve"> de Lausanne (EPFL), CH-1015 Lausanne, Switzerland</w:t>
      </w:r>
    </w:p>
    <w:p w14:paraId="13984E6F" w14:textId="77777777" w:rsidR="008C2160" w:rsidRPr="00234C98" w:rsidRDefault="008C2160" w:rsidP="008C2160">
      <w:pPr>
        <w:pStyle w:val="Body"/>
        <w:spacing w:line="480" w:lineRule="auto"/>
        <w:rPr>
          <w:rFonts w:ascii="Palatino Linotype" w:hAnsi="Palatino Linotype"/>
        </w:rPr>
      </w:pPr>
      <w:r>
        <w:rPr>
          <w:rFonts w:ascii="Palatino Linotype" w:hAnsi="Palatino Linotype"/>
          <w:vertAlign w:val="superscript"/>
        </w:rPr>
        <w:t>5</w:t>
      </w:r>
      <w:r w:rsidRPr="00234C98">
        <w:rPr>
          <w:rFonts w:ascii="Palatino Linotype" w:hAnsi="Palatino Linotype"/>
        </w:rPr>
        <w:t>SIB Swiss Institute of Bioinformatics, CH-1015 Lausanne, Switzerland</w:t>
      </w:r>
    </w:p>
    <w:p w14:paraId="5505B22B" w14:textId="77777777" w:rsidR="008C2160" w:rsidRPr="00E27817" w:rsidRDefault="008C2160" w:rsidP="008C2160">
      <w:pPr>
        <w:pStyle w:val="Body"/>
        <w:spacing w:line="480" w:lineRule="auto"/>
        <w:jc w:val="both"/>
      </w:pPr>
      <w:r>
        <w:rPr>
          <w:rFonts w:ascii="Palatino Linotype" w:hAnsi="Palatino Linotype"/>
          <w:vertAlign w:val="superscript"/>
        </w:rPr>
        <w:t>6</w:t>
      </w:r>
      <w:r w:rsidRPr="00E27817">
        <w:rPr>
          <w:rFonts w:ascii="Palatino Linotype" w:hAnsi="Palatino Linotype"/>
        </w:rPr>
        <w:t>Department of Bioengineering, Stanford University, Stanford, CA 94305, USA</w:t>
      </w:r>
    </w:p>
    <w:p w14:paraId="5690FE27" w14:textId="77777777" w:rsidR="008C2160" w:rsidRPr="00E27817" w:rsidRDefault="008C2160" w:rsidP="008C2160">
      <w:pPr>
        <w:pStyle w:val="Body"/>
        <w:spacing w:line="480" w:lineRule="auto"/>
        <w:jc w:val="both"/>
      </w:pPr>
      <w:r>
        <w:rPr>
          <w:rFonts w:ascii="Palatino Linotype" w:hAnsi="Palatino Linotype"/>
          <w:vertAlign w:val="superscript"/>
        </w:rPr>
        <w:t>7</w:t>
      </w:r>
      <w:r w:rsidRPr="00E27817">
        <w:rPr>
          <w:rFonts w:ascii="Palatino Linotype" w:hAnsi="Palatino Linotype"/>
        </w:rPr>
        <w:t>Department of Microbiology and Immunology, Stanford University School of Medicine, Stanford, CA 94305, USA</w:t>
      </w:r>
    </w:p>
    <w:p w14:paraId="1372F28A" w14:textId="77777777" w:rsidR="008C2160" w:rsidRPr="00E27817" w:rsidRDefault="008C2160" w:rsidP="008C2160">
      <w:pPr>
        <w:pStyle w:val="Body"/>
        <w:spacing w:line="480" w:lineRule="auto"/>
        <w:jc w:val="both"/>
        <w:outlineLvl w:val="0"/>
      </w:pPr>
      <w:r>
        <w:rPr>
          <w:rFonts w:ascii="Palatino Linotype" w:eastAsia="Palatino" w:hAnsi="Palatino Linotype" w:cs="Palatino"/>
          <w:vertAlign w:val="superscript"/>
        </w:rPr>
        <w:t>8</w:t>
      </w:r>
      <w:r w:rsidRPr="00E27817">
        <w:rPr>
          <w:rFonts w:ascii="Palatino Linotype" w:eastAsia="Palatino" w:hAnsi="Palatino Linotype" w:cs="Palatino"/>
        </w:rPr>
        <w:t xml:space="preserve">Chan Zuckerberg </w:t>
      </w:r>
      <w:proofErr w:type="spellStart"/>
      <w:r w:rsidRPr="00E27817">
        <w:rPr>
          <w:rFonts w:ascii="Palatino Linotype" w:eastAsia="Palatino" w:hAnsi="Palatino Linotype" w:cs="Palatino"/>
        </w:rPr>
        <w:t>Biohub</w:t>
      </w:r>
      <w:proofErr w:type="spellEnd"/>
      <w:r w:rsidRPr="00E27817">
        <w:rPr>
          <w:rFonts w:ascii="Palatino Linotype" w:eastAsia="Palatino" w:hAnsi="Palatino Linotype" w:cs="Palatino"/>
        </w:rPr>
        <w:t>, San Francisco, CA 94158</w:t>
      </w:r>
    </w:p>
    <w:p w14:paraId="3BCF5FD7" w14:textId="77777777" w:rsidR="008C2160" w:rsidRPr="00E27817" w:rsidRDefault="008C2160" w:rsidP="008C2160">
      <w:pPr>
        <w:pStyle w:val="Body"/>
        <w:spacing w:line="480" w:lineRule="auto"/>
        <w:jc w:val="both"/>
        <w:rPr>
          <w:rFonts w:ascii="Palatino Linotype" w:eastAsia="Palatino" w:hAnsi="Palatino Linotype" w:cs="Palatino"/>
        </w:rPr>
      </w:pPr>
    </w:p>
    <w:p w14:paraId="105C2C66" w14:textId="6882C5C8" w:rsidR="008C2160" w:rsidRPr="00E27817" w:rsidRDefault="008C2160" w:rsidP="008C2160">
      <w:pPr>
        <w:pStyle w:val="Body"/>
        <w:spacing w:line="480" w:lineRule="auto"/>
        <w:jc w:val="both"/>
        <w:rPr>
          <w:rFonts w:ascii="Palatino Linotype" w:eastAsia="Palatino" w:hAnsi="Palatino Linotype" w:cs="Palatino"/>
        </w:rPr>
      </w:pPr>
      <w:r w:rsidRPr="00E27817">
        <w:rPr>
          <w:rFonts w:ascii="Palatino Linotype" w:eastAsia="Palatino" w:hAnsi="Palatino Linotype" w:cs="Palatino"/>
          <w:vertAlign w:val="superscript"/>
        </w:rPr>
        <w:t>*</w:t>
      </w:r>
      <w:r w:rsidRPr="00E27817">
        <w:rPr>
          <w:rFonts w:ascii="Palatino Linotype" w:eastAsia="Palatino" w:hAnsi="Palatino Linotype" w:cs="Palatino"/>
        </w:rPr>
        <w:t>: Co-first authors.</w:t>
      </w:r>
    </w:p>
    <w:p w14:paraId="526B4EF2" w14:textId="0E3CEF27" w:rsidR="008C2160" w:rsidRDefault="008C2160" w:rsidP="008C2160">
      <w:pPr>
        <w:spacing w:line="480" w:lineRule="auto"/>
      </w:pPr>
      <w:r w:rsidRPr="00E27817">
        <w:rPr>
          <w:vertAlign w:val="superscript"/>
        </w:rPr>
        <w:t>†</w:t>
      </w:r>
      <w:r w:rsidRPr="00E27817">
        <w:t xml:space="preserve">To whom correspondence should be addressed: </w:t>
      </w:r>
      <w:hyperlink r:id="rId5" w:history="1">
        <w:r w:rsidRPr="001D6228">
          <w:rPr>
            <w:rStyle w:val="Hyperlink"/>
          </w:rPr>
          <w:t>kchuang@stanford.edu</w:t>
        </w:r>
      </w:hyperlink>
      <w:r>
        <w:br w:type="page"/>
      </w:r>
    </w:p>
    <w:p w14:paraId="043E37B1" w14:textId="2ECEE671" w:rsidR="008C2160" w:rsidRPr="00E27817" w:rsidRDefault="008C2160" w:rsidP="008C2160">
      <w:pPr>
        <w:spacing w:line="480" w:lineRule="auto"/>
        <w:rPr>
          <w:rFonts w:eastAsia="Calibri"/>
          <w:b/>
          <w:bCs/>
          <w:sz w:val="24"/>
          <w:szCs w:val="24"/>
        </w:rPr>
      </w:pPr>
      <w:r w:rsidRPr="00E27817">
        <w:rPr>
          <w:rFonts w:eastAsia="Calibri"/>
          <w:b/>
          <w:bCs/>
          <w:sz w:val="24"/>
          <w:szCs w:val="24"/>
        </w:rPr>
        <w:lastRenderedPageBreak/>
        <w:t>Supplementary Figures</w:t>
      </w:r>
    </w:p>
    <w:p w14:paraId="61EB36DF" w14:textId="77777777" w:rsidR="008C2160" w:rsidRPr="00E27817" w:rsidRDefault="008C2160" w:rsidP="008C2160">
      <w:pPr>
        <w:spacing w:line="480" w:lineRule="auto"/>
        <w:rPr>
          <w:rFonts w:eastAsia="Calibri"/>
          <w:b/>
          <w:bCs/>
          <w:sz w:val="24"/>
          <w:szCs w:val="24"/>
        </w:rPr>
      </w:pPr>
    </w:p>
    <w:p w14:paraId="17A50459" w14:textId="77777777" w:rsidR="008C2160" w:rsidRPr="00E27817" w:rsidRDefault="008C2160" w:rsidP="008C2160">
      <w:pPr>
        <w:spacing w:line="480" w:lineRule="auto"/>
        <w:jc w:val="center"/>
        <w:rPr>
          <w:sz w:val="24"/>
          <w:szCs w:val="24"/>
        </w:rPr>
      </w:pPr>
      <w:r>
        <w:rPr>
          <w:noProof/>
          <w:sz w:val="24"/>
          <w:szCs w:val="24"/>
        </w:rPr>
        <w:drawing>
          <wp:inline distT="0" distB="0" distL="0" distR="0" wp14:anchorId="7E6ACDD9" wp14:editId="6267EDB3">
            <wp:extent cx="5943600" cy="5005070"/>
            <wp:effectExtent l="0" t="0" r="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5005070"/>
                    </a:xfrm>
                    <a:prstGeom prst="rect">
                      <a:avLst/>
                    </a:prstGeom>
                  </pic:spPr>
                </pic:pic>
              </a:graphicData>
            </a:graphic>
          </wp:inline>
        </w:drawing>
      </w:r>
    </w:p>
    <w:p w14:paraId="30A47D0F" w14:textId="77777777" w:rsidR="008C2160" w:rsidRPr="00E27817" w:rsidRDefault="008C2160" w:rsidP="008C2160">
      <w:pPr>
        <w:spacing w:line="480" w:lineRule="auto"/>
        <w:jc w:val="both"/>
        <w:rPr>
          <w:rFonts w:cs="Arial"/>
          <w:b/>
          <w:sz w:val="24"/>
          <w:szCs w:val="24"/>
        </w:rPr>
      </w:pPr>
      <w:r w:rsidRPr="00E27817">
        <w:rPr>
          <w:rFonts w:cs="Arial"/>
          <w:b/>
          <w:sz w:val="24"/>
          <w:szCs w:val="24"/>
        </w:rPr>
        <w:t>Figure S1</w:t>
      </w:r>
      <w:bookmarkStart w:id="0" w:name="FigS1"/>
      <w:bookmarkEnd w:id="0"/>
      <w:r w:rsidRPr="00E27817">
        <w:rPr>
          <w:rFonts w:cs="Arial"/>
          <w:b/>
          <w:sz w:val="24"/>
          <w:szCs w:val="24"/>
        </w:rPr>
        <w:t>: Pictorial representation of information-theoretic metric of residue-residue coupling</w:t>
      </w:r>
      <w:r>
        <w:rPr>
          <w:rFonts w:cs="Arial"/>
          <w:b/>
          <w:sz w:val="24"/>
          <w:szCs w:val="24"/>
        </w:rPr>
        <w:t>, and comparison of structural-contact prediction at different cutoffs</w:t>
      </w:r>
      <w:r w:rsidRPr="00E27817">
        <w:rPr>
          <w:rFonts w:cs="Arial"/>
          <w:b/>
          <w:sz w:val="24"/>
          <w:szCs w:val="24"/>
        </w:rPr>
        <w:t>.</w:t>
      </w:r>
    </w:p>
    <w:p w14:paraId="315E812A" w14:textId="77777777" w:rsidR="008C2160" w:rsidRPr="00E27817" w:rsidRDefault="008C2160" w:rsidP="008C2160">
      <w:pPr>
        <w:pStyle w:val="ListParagraph"/>
        <w:numPr>
          <w:ilvl w:val="0"/>
          <w:numId w:val="1"/>
        </w:numPr>
        <w:spacing w:line="480" w:lineRule="auto"/>
        <w:contextualSpacing/>
        <w:jc w:val="both"/>
      </w:pPr>
      <w:r w:rsidRPr="00E27817">
        <w:rPr>
          <w:rFonts w:ascii="Palatino Linotype" w:hAnsi="Palatino Linotype" w:cs="Arial"/>
        </w:rPr>
        <w:t xml:space="preserve">Protein positions </w:t>
      </w:r>
      <w:proofErr w:type="spellStart"/>
      <w:r w:rsidRPr="00E27817">
        <w:rPr>
          <w:rFonts w:ascii="Palatino Linotype" w:hAnsi="Palatino Linotype" w:cs="Arial"/>
          <w:i/>
        </w:rPr>
        <w:t>i</w:t>
      </w:r>
      <w:proofErr w:type="spellEnd"/>
      <w:r w:rsidRPr="00E27817">
        <w:rPr>
          <w:rFonts w:ascii="Palatino Linotype" w:hAnsi="Palatino Linotype" w:cs="Arial"/>
        </w:rPr>
        <w:t xml:space="preserve"> and </w:t>
      </w:r>
      <w:r w:rsidRPr="00E27817">
        <w:rPr>
          <w:rFonts w:ascii="Palatino Linotype" w:hAnsi="Palatino Linotype" w:cs="Arial"/>
          <w:i/>
        </w:rPr>
        <w:t>j</w:t>
      </w:r>
      <w:r w:rsidRPr="00E27817">
        <w:rPr>
          <w:rFonts w:ascii="Palatino Linotype" w:hAnsi="Palatino Linotype" w:cs="Arial"/>
        </w:rPr>
        <w:t xml:space="preserve"> that take on multiple amino-acid identities in an MSA have non-zero entropies, represented by the areas of </w:t>
      </w:r>
      <w:r w:rsidRPr="00E27817">
        <w:rPr>
          <w:rFonts w:ascii="Palatino Linotype" w:hAnsi="Palatino Linotype" w:cs="Arial"/>
          <w:i/>
        </w:rPr>
        <w:t>H</w:t>
      </w:r>
      <w:r w:rsidRPr="00E27817">
        <w:rPr>
          <w:rFonts w:ascii="Palatino Linotype" w:hAnsi="Palatino Linotype" w:cs="Arial"/>
          <w:i/>
          <w:vertAlign w:val="subscript"/>
        </w:rPr>
        <w:t>i</w:t>
      </w:r>
      <w:r w:rsidRPr="00E27817">
        <w:rPr>
          <w:rFonts w:ascii="Palatino Linotype" w:hAnsi="Palatino Linotype" w:cs="Arial"/>
        </w:rPr>
        <w:t xml:space="preserve"> and </w:t>
      </w:r>
      <w:proofErr w:type="spellStart"/>
      <w:r w:rsidRPr="00E27817">
        <w:rPr>
          <w:rFonts w:ascii="Palatino Linotype" w:hAnsi="Palatino Linotype" w:cs="Arial"/>
          <w:i/>
        </w:rPr>
        <w:t>H</w:t>
      </w:r>
      <w:r w:rsidRPr="00E27817">
        <w:rPr>
          <w:rFonts w:ascii="Palatino Linotype" w:hAnsi="Palatino Linotype" w:cs="Arial"/>
          <w:i/>
          <w:vertAlign w:val="subscript"/>
        </w:rPr>
        <w:t>j</w:t>
      </w:r>
      <w:proofErr w:type="spellEnd"/>
      <w:r w:rsidRPr="00E27817">
        <w:rPr>
          <w:rFonts w:ascii="Palatino Linotype" w:hAnsi="Palatino Linotype" w:cs="Arial"/>
        </w:rPr>
        <w:t xml:space="preserve">. The two circles are </w:t>
      </w:r>
      <w:r w:rsidRPr="00E27817">
        <w:rPr>
          <w:rFonts w:ascii="Palatino Linotype" w:hAnsi="Palatino Linotype" w:cs="Arial"/>
        </w:rPr>
        <w:lastRenderedPageBreak/>
        <w:t xml:space="preserve">overlapping because knowing the identity of position </w:t>
      </w:r>
      <w:proofErr w:type="spellStart"/>
      <w:r w:rsidRPr="00E27817">
        <w:rPr>
          <w:rFonts w:ascii="Palatino Linotype" w:hAnsi="Palatino Linotype" w:cs="Arial"/>
          <w:i/>
        </w:rPr>
        <w:t>i</w:t>
      </w:r>
      <w:proofErr w:type="spellEnd"/>
      <w:r w:rsidRPr="00E27817">
        <w:rPr>
          <w:rFonts w:ascii="Palatino Linotype" w:hAnsi="Palatino Linotype" w:cs="Arial"/>
        </w:rPr>
        <w:t xml:space="preserve"> provides some information about the identity of position </w:t>
      </w:r>
      <w:r w:rsidRPr="00E27817">
        <w:rPr>
          <w:rFonts w:ascii="Palatino Linotype" w:hAnsi="Palatino Linotype" w:cs="Arial"/>
          <w:i/>
        </w:rPr>
        <w:t>j</w:t>
      </w:r>
      <w:r w:rsidRPr="00E27817">
        <w:rPr>
          <w:rFonts w:ascii="Palatino Linotype" w:hAnsi="Palatino Linotype" w:cs="Arial"/>
        </w:rPr>
        <w:t>.</w:t>
      </w:r>
    </w:p>
    <w:p w14:paraId="118E047F" w14:textId="77777777" w:rsidR="008C2160" w:rsidRPr="00E27817" w:rsidRDefault="008C2160" w:rsidP="008C2160">
      <w:pPr>
        <w:pStyle w:val="ListParagraph"/>
        <w:numPr>
          <w:ilvl w:val="0"/>
          <w:numId w:val="1"/>
        </w:numPr>
        <w:spacing w:line="480" w:lineRule="auto"/>
        <w:contextualSpacing/>
        <w:jc w:val="both"/>
      </w:pPr>
      <w:r w:rsidRPr="00E27817">
        <w:rPr>
          <w:rFonts w:ascii="Palatino Linotype" w:hAnsi="Palatino Linotype" w:cs="Arial"/>
        </w:rPr>
        <w:t xml:space="preserve">The union of the space occupied by positions </w:t>
      </w:r>
      <w:proofErr w:type="spellStart"/>
      <w:r w:rsidRPr="00E27817">
        <w:rPr>
          <w:rFonts w:ascii="Palatino Linotype" w:hAnsi="Palatino Linotype" w:cs="Arial"/>
          <w:i/>
        </w:rPr>
        <w:t>i</w:t>
      </w:r>
      <w:proofErr w:type="spellEnd"/>
      <w:r w:rsidRPr="00E27817">
        <w:rPr>
          <w:rFonts w:ascii="Palatino Linotype" w:hAnsi="Palatino Linotype" w:cs="Arial"/>
        </w:rPr>
        <w:t xml:space="preserve"> and </w:t>
      </w:r>
      <w:r w:rsidRPr="00E27817">
        <w:rPr>
          <w:rFonts w:ascii="Palatino Linotype" w:hAnsi="Palatino Linotype" w:cs="Arial"/>
          <w:i/>
        </w:rPr>
        <w:t>j</w:t>
      </w:r>
      <w:r w:rsidRPr="00E27817">
        <w:rPr>
          <w:rFonts w:ascii="Palatino Linotype" w:hAnsi="Palatino Linotype" w:cs="Arial"/>
        </w:rPr>
        <w:t xml:space="preserve"> is the joint entropy.</w:t>
      </w:r>
    </w:p>
    <w:p w14:paraId="104F469E" w14:textId="77777777" w:rsidR="008C2160" w:rsidRPr="00CA6CBF" w:rsidRDefault="008C2160" w:rsidP="008C2160">
      <w:pPr>
        <w:pStyle w:val="ListParagraph"/>
        <w:numPr>
          <w:ilvl w:val="0"/>
          <w:numId w:val="1"/>
        </w:numPr>
        <w:spacing w:line="480" w:lineRule="auto"/>
        <w:contextualSpacing/>
        <w:jc w:val="both"/>
      </w:pPr>
      <w:r w:rsidRPr="00E27817">
        <w:rPr>
          <w:rFonts w:ascii="Palatino Linotype" w:hAnsi="Palatino Linotype" w:cs="Arial"/>
        </w:rPr>
        <w:t>The normalized mutual information metric of coevolution (Eq. 1) represents the sum of the entropies in (A) minus the joint entropy in (B), normalized by the joint entropy in (B).</w:t>
      </w:r>
    </w:p>
    <w:p w14:paraId="4C54E401" w14:textId="77777777" w:rsidR="008C2160" w:rsidRPr="00E27817" w:rsidRDefault="008C2160" w:rsidP="008C2160">
      <w:pPr>
        <w:pStyle w:val="ListParagraph"/>
        <w:numPr>
          <w:ilvl w:val="0"/>
          <w:numId w:val="1"/>
        </w:numPr>
        <w:spacing w:line="480" w:lineRule="auto"/>
        <w:contextualSpacing/>
        <w:jc w:val="both"/>
      </w:pPr>
      <w:r w:rsidRPr="00CA6CBF">
        <w:rPr>
          <w:rFonts w:ascii="Palatino Linotype" w:hAnsi="Palatino Linotype" w:cs="Arial"/>
        </w:rPr>
        <w:t xml:space="preserve">NC with </w:t>
      </w:r>
      <w:proofErr w:type="gramStart"/>
      <w:r w:rsidRPr="00CA6CBF">
        <w:rPr>
          <w:rFonts w:ascii="Palatino Linotype" w:hAnsi="Palatino Linotype" w:cs="Arial"/>
        </w:rPr>
        <w:t>particular cutoffs</w:t>
      </w:r>
      <w:proofErr w:type="gramEnd"/>
      <w:r w:rsidRPr="00CA6CBF">
        <w:rPr>
          <w:rFonts w:ascii="Palatino Linotype" w:hAnsi="Palatino Linotype" w:cs="Arial"/>
        </w:rPr>
        <w:t xml:space="preserve"> </w:t>
      </w:r>
      <w:r w:rsidRPr="00CA6CBF">
        <w:rPr>
          <w:rFonts w:ascii="Palatino Linotype" w:hAnsi="Palatino Linotype" w:cs="Arial"/>
          <w:i/>
          <w:iCs/>
        </w:rPr>
        <w:t>d</w:t>
      </w:r>
      <w:r w:rsidRPr="00CA6CBF">
        <w:rPr>
          <w:rFonts w:ascii="Palatino Linotype" w:hAnsi="Palatino Linotype" w:cs="Arial"/>
        </w:rPr>
        <w:t xml:space="preserve"> improves the prediction of structural contacts </w:t>
      </w:r>
      <w:r>
        <w:rPr>
          <w:rFonts w:ascii="Palatino Linotype" w:hAnsi="Palatino Linotype" w:cs="Arial"/>
        </w:rPr>
        <w:t xml:space="preserve">in the protein KH-1 </w:t>
      </w:r>
      <w:r w:rsidRPr="00CA6CBF">
        <w:rPr>
          <w:rFonts w:ascii="Palatino Linotype" w:hAnsi="Palatino Linotype" w:cs="Arial"/>
        </w:rPr>
        <w:t>relative to DCA, applied to DI after correction with APC (black lines).</w:t>
      </w:r>
      <w:r>
        <w:rPr>
          <w:rFonts w:ascii="Palatino Linotype" w:hAnsi="Palatino Linotype" w:cs="Arial"/>
        </w:rPr>
        <w:t xml:space="preserve"> Results were similar whether</w:t>
      </w:r>
      <w:r w:rsidRPr="00E27817">
        <w:rPr>
          <w:rFonts w:ascii="Palatino Linotype" w:eastAsia="Arial Unicode MS" w:hAnsi="Palatino Linotype" w:cs="Arial Unicode MS"/>
        </w:rPr>
        <w:t xml:space="preserve"> structural contacts </w:t>
      </w:r>
      <w:proofErr w:type="gramStart"/>
      <w:r>
        <w:rPr>
          <w:rFonts w:ascii="Palatino Linotype" w:eastAsia="Arial Unicode MS" w:hAnsi="Palatino Linotype" w:cs="Arial Unicode MS"/>
        </w:rPr>
        <w:t xml:space="preserve">were considered </w:t>
      </w:r>
      <w:r w:rsidRPr="00E27817">
        <w:rPr>
          <w:rFonts w:ascii="Palatino Linotype" w:eastAsia="Arial Unicode MS" w:hAnsi="Palatino Linotype" w:cs="Arial Unicode MS"/>
        </w:rPr>
        <w:t>to be</w:t>
      </w:r>
      <w:proofErr w:type="gramEnd"/>
      <w:r w:rsidRPr="00E27817">
        <w:rPr>
          <w:rFonts w:ascii="Palatino Linotype" w:eastAsia="Arial Unicode MS" w:hAnsi="Palatino Linotype" w:cs="Arial Unicode MS"/>
        </w:rPr>
        <w:t xml:space="preserve"> within </w:t>
      </w:r>
      <w:bookmarkStart w:id="1" w:name="OLE_LINK9"/>
      <w:bookmarkStart w:id="2" w:name="OLE_LINK10"/>
      <w:r w:rsidRPr="00E27817">
        <w:rPr>
          <w:rFonts w:ascii="Palatino Linotype" w:eastAsia="Arial Unicode MS" w:hAnsi="Palatino Linotype" w:cs="Arial Unicode MS"/>
        </w:rPr>
        <w:t xml:space="preserve">5 Å </w:t>
      </w:r>
      <w:r>
        <w:rPr>
          <w:rFonts w:ascii="Palatino Linotype" w:eastAsia="Arial Unicode MS" w:hAnsi="Palatino Linotype" w:cs="Arial Unicode MS"/>
        </w:rPr>
        <w:t xml:space="preserve">(left) </w:t>
      </w:r>
      <w:bookmarkEnd w:id="1"/>
      <w:bookmarkEnd w:id="2"/>
      <w:r>
        <w:rPr>
          <w:rFonts w:ascii="Palatino Linotype" w:eastAsia="Arial Unicode MS" w:hAnsi="Palatino Linotype" w:cs="Arial Unicode MS"/>
        </w:rPr>
        <w:t>or 8</w:t>
      </w:r>
      <w:r w:rsidRPr="00E27817">
        <w:rPr>
          <w:rFonts w:ascii="Palatino Linotype" w:eastAsia="Arial Unicode MS" w:hAnsi="Palatino Linotype" w:cs="Arial Unicode MS"/>
        </w:rPr>
        <w:t xml:space="preserve"> Å </w:t>
      </w:r>
      <w:r>
        <w:rPr>
          <w:rFonts w:ascii="Palatino Linotype" w:eastAsia="Arial Unicode MS" w:hAnsi="Palatino Linotype" w:cs="Arial Unicode MS"/>
        </w:rPr>
        <w:t xml:space="preserve">(right) </w:t>
      </w:r>
      <w:r w:rsidRPr="00E27817">
        <w:rPr>
          <w:rFonts w:ascii="Palatino Linotype" w:eastAsia="Arial Unicode MS" w:hAnsi="Palatino Linotype" w:cs="Arial Unicode MS"/>
        </w:rPr>
        <w:t xml:space="preserve">at closest approach. </w:t>
      </w:r>
      <w:r w:rsidRPr="00CA6CBF">
        <w:rPr>
          <w:rFonts w:ascii="Palatino Linotype" w:hAnsi="Palatino Linotype" w:cs="Arial"/>
        </w:rPr>
        <w:t>All residues within five positions on the polypeptide sequence were excluded from the analysis. Gray represents the predictions of the baseline NMI metric.</w:t>
      </w:r>
      <w:r w:rsidRPr="00E27817">
        <w:br w:type="page"/>
      </w:r>
    </w:p>
    <w:p w14:paraId="6FBBD493" w14:textId="77777777" w:rsidR="008C2160" w:rsidRPr="00E27817" w:rsidRDefault="008C2160" w:rsidP="008C2160">
      <w:pPr>
        <w:spacing w:line="480" w:lineRule="auto"/>
        <w:rPr>
          <w:sz w:val="24"/>
          <w:szCs w:val="24"/>
        </w:rPr>
      </w:pPr>
      <w:r w:rsidRPr="00E27817">
        <w:rPr>
          <w:noProof/>
          <w:sz w:val="24"/>
          <w:szCs w:val="24"/>
        </w:rPr>
        <w:lastRenderedPageBreak/>
        <w:drawing>
          <wp:inline distT="0" distB="0" distL="0" distR="0" wp14:anchorId="4816CD36" wp14:editId="2DCB5AA6">
            <wp:extent cx="5943600" cy="2943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43600" cy="2943860"/>
                    </a:xfrm>
                    <a:prstGeom prst="rect">
                      <a:avLst/>
                    </a:prstGeom>
                  </pic:spPr>
                </pic:pic>
              </a:graphicData>
            </a:graphic>
          </wp:inline>
        </w:drawing>
      </w:r>
    </w:p>
    <w:p w14:paraId="13D6FFEB" w14:textId="77777777" w:rsidR="008C2160" w:rsidRPr="00E27817" w:rsidRDefault="008C2160" w:rsidP="008C2160">
      <w:pPr>
        <w:spacing w:line="480" w:lineRule="auto"/>
        <w:jc w:val="both"/>
        <w:rPr>
          <w:rFonts w:cs="Arial"/>
          <w:b/>
          <w:sz w:val="24"/>
          <w:szCs w:val="24"/>
        </w:rPr>
      </w:pPr>
      <w:r w:rsidRPr="00E27817">
        <w:rPr>
          <w:rFonts w:cs="Arial"/>
          <w:b/>
          <w:sz w:val="24"/>
          <w:szCs w:val="24"/>
        </w:rPr>
        <w:t>Figure S2: Relationship between magnitude and significance of NC values.</w:t>
      </w:r>
    </w:p>
    <w:p w14:paraId="3A249F3B" w14:textId="77777777" w:rsidR="008C2160" w:rsidRPr="00E27817" w:rsidRDefault="008C2160" w:rsidP="008C2160">
      <w:pPr>
        <w:pStyle w:val="ListParagraph"/>
        <w:numPr>
          <w:ilvl w:val="0"/>
          <w:numId w:val="2"/>
        </w:numPr>
        <w:spacing w:line="480" w:lineRule="auto"/>
        <w:contextualSpacing/>
        <w:jc w:val="both"/>
      </w:pPr>
      <w:r w:rsidRPr="00E27817">
        <w:rPr>
          <w:rFonts w:ascii="Palatino Linotype" w:hAnsi="Palatino Linotype" w:cs="Arial"/>
        </w:rPr>
        <w:t xml:space="preserve"> NC measurements by bootstrapping and analytical methods (Methods) are highly correlated.</w:t>
      </w:r>
    </w:p>
    <w:p w14:paraId="29FD7180" w14:textId="77777777" w:rsidR="008C2160" w:rsidRPr="00E27817" w:rsidRDefault="008C2160" w:rsidP="008C2160">
      <w:pPr>
        <w:pStyle w:val="ListParagraph"/>
        <w:numPr>
          <w:ilvl w:val="0"/>
          <w:numId w:val="2"/>
        </w:numPr>
        <w:spacing w:line="480" w:lineRule="auto"/>
        <w:contextualSpacing/>
        <w:jc w:val="both"/>
      </w:pPr>
      <w:r w:rsidRPr="00E27817">
        <w:rPr>
          <w:rFonts w:ascii="Palatino Linotype" w:hAnsi="Palatino Linotype" w:cs="Arial"/>
        </w:rPr>
        <w:t>The significance of NC, estimated by bootstrapping (Methods), is highly correlated with its magnitude, demonstrating that magnitude of NC signal is a surrogate for its significance.</w:t>
      </w:r>
      <w:r w:rsidRPr="00E27817">
        <w:br w:type="page"/>
      </w:r>
    </w:p>
    <w:p w14:paraId="7AF817E2" w14:textId="77777777" w:rsidR="008C2160" w:rsidRPr="00E27817" w:rsidRDefault="008C2160" w:rsidP="008C2160">
      <w:pPr>
        <w:spacing w:line="480" w:lineRule="auto"/>
        <w:rPr>
          <w:sz w:val="24"/>
          <w:szCs w:val="24"/>
        </w:rPr>
      </w:pPr>
      <w:r w:rsidRPr="00E27817">
        <w:rPr>
          <w:noProof/>
          <w:sz w:val="24"/>
          <w:szCs w:val="24"/>
        </w:rPr>
        <w:lastRenderedPageBreak/>
        <w:drawing>
          <wp:inline distT="0" distB="0" distL="0" distR="0" wp14:anchorId="6D615776" wp14:editId="4A653CCF">
            <wp:extent cx="5934791" cy="2896235"/>
            <wp:effectExtent l="0" t="0" r="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34791" cy="2896235"/>
                    </a:xfrm>
                    <a:prstGeom prst="rect">
                      <a:avLst/>
                    </a:prstGeom>
                  </pic:spPr>
                </pic:pic>
              </a:graphicData>
            </a:graphic>
          </wp:inline>
        </w:drawing>
      </w:r>
    </w:p>
    <w:p w14:paraId="1AB937E2" w14:textId="77777777" w:rsidR="008C2160" w:rsidRPr="00E27817" w:rsidRDefault="008C2160" w:rsidP="008C2160">
      <w:pPr>
        <w:spacing w:line="480" w:lineRule="auto"/>
        <w:rPr>
          <w:rFonts w:cs="Arial"/>
          <w:b/>
          <w:sz w:val="24"/>
          <w:szCs w:val="24"/>
        </w:rPr>
      </w:pPr>
      <w:r w:rsidRPr="00E27817">
        <w:rPr>
          <w:rFonts w:cs="Arial"/>
          <w:b/>
          <w:sz w:val="24"/>
          <w:szCs w:val="24"/>
        </w:rPr>
        <w:t xml:space="preserve">Figure S3: NC </w:t>
      </w:r>
      <w:r>
        <w:rPr>
          <w:rFonts w:cs="Arial"/>
          <w:b/>
          <w:sz w:val="24"/>
          <w:szCs w:val="24"/>
        </w:rPr>
        <w:t xml:space="preserve">can </w:t>
      </w:r>
      <w:r w:rsidRPr="00E27817">
        <w:rPr>
          <w:rFonts w:cs="Arial"/>
          <w:b/>
          <w:sz w:val="24"/>
          <w:szCs w:val="24"/>
        </w:rPr>
        <w:t>improve</w:t>
      </w:r>
      <w:r>
        <w:rPr>
          <w:rFonts w:cs="Arial"/>
          <w:b/>
          <w:sz w:val="24"/>
          <w:szCs w:val="24"/>
        </w:rPr>
        <w:t xml:space="preserve"> </w:t>
      </w:r>
      <w:r w:rsidRPr="00E27817">
        <w:rPr>
          <w:rFonts w:cs="Arial"/>
          <w:b/>
          <w:sz w:val="24"/>
          <w:szCs w:val="24"/>
        </w:rPr>
        <w:t>structural true-positive contact prediction over DI + APC.</w:t>
      </w:r>
    </w:p>
    <w:p w14:paraId="4EA19977" w14:textId="77777777" w:rsidR="008C2160" w:rsidRPr="00E27817" w:rsidRDefault="008C2160" w:rsidP="008C2160">
      <w:pPr>
        <w:spacing w:line="480" w:lineRule="auto"/>
        <w:jc w:val="both"/>
        <w:textAlignment w:val="baseline"/>
        <w:rPr>
          <w:rFonts w:eastAsia="Times New Roman" w:cs="Arial"/>
          <w:sz w:val="24"/>
          <w:szCs w:val="24"/>
        </w:rPr>
      </w:pPr>
      <w:bookmarkStart w:id="3" w:name="OLE_LINK2"/>
      <w:bookmarkStart w:id="4" w:name="OLE_LINK1"/>
      <w:bookmarkEnd w:id="3"/>
      <w:bookmarkEnd w:id="4"/>
      <w:r w:rsidRPr="00E27817">
        <w:rPr>
          <w:rFonts w:eastAsia="Times New Roman" w:cs="Arial"/>
          <w:sz w:val="24"/>
          <w:szCs w:val="24"/>
        </w:rPr>
        <w:t>NC delivers a net improvement in recovering structural information by DCA, which is stronger for breadth-sampled MSAs than depth-sampled MSAs, compared to baseline (in this case DI with APC). NC recovers breadth better than depth, in absolute terms highlighting the importance of having breath in an MSA. NC provide</w:t>
      </w:r>
      <w:r>
        <w:rPr>
          <w:rFonts w:eastAsia="Times New Roman" w:cs="Arial"/>
          <w:sz w:val="24"/>
          <w:szCs w:val="24"/>
        </w:rPr>
        <w:t>s</w:t>
      </w:r>
      <w:r w:rsidRPr="00E27817">
        <w:rPr>
          <w:rFonts w:eastAsia="Times New Roman" w:cs="Arial"/>
          <w:sz w:val="24"/>
          <w:szCs w:val="24"/>
        </w:rPr>
        <w:t xml:space="preserve"> approximately the same fold-change in improvement across subsampling degrees.</w:t>
      </w:r>
      <w:r w:rsidRPr="00E27817">
        <w:rPr>
          <w:sz w:val="24"/>
          <w:szCs w:val="24"/>
        </w:rPr>
        <w:br w:type="page"/>
      </w:r>
    </w:p>
    <w:p w14:paraId="28894532" w14:textId="77777777" w:rsidR="008C2160" w:rsidRPr="00E27817" w:rsidRDefault="008C2160" w:rsidP="008C2160">
      <w:pPr>
        <w:spacing w:line="480" w:lineRule="auto"/>
        <w:jc w:val="center"/>
        <w:textAlignment w:val="baseline"/>
        <w:rPr>
          <w:sz w:val="24"/>
          <w:szCs w:val="24"/>
        </w:rPr>
      </w:pPr>
      <w:r w:rsidRPr="00E27817">
        <w:rPr>
          <w:noProof/>
          <w:sz w:val="24"/>
          <w:szCs w:val="24"/>
        </w:rPr>
        <w:lastRenderedPageBreak/>
        <w:drawing>
          <wp:inline distT="0" distB="2540" distL="0" distR="0" wp14:anchorId="28DA9D41" wp14:editId="65CF8819">
            <wp:extent cx="3733800" cy="2195195"/>
            <wp:effectExtent l="0" t="0" r="0" b="0"/>
            <wp:docPr id="48"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0" descr="A picture containing text&#10;&#10;Description automatically generated"/>
                    <pic:cNvPicPr>
                      <a:picLocks noChangeAspect="1" noChangeArrowheads="1"/>
                    </pic:cNvPicPr>
                  </pic:nvPicPr>
                  <pic:blipFill>
                    <a:blip r:embed="rId9"/>
                    <a:stretch>
                      <a:fillRect/>
                    </a:stretch>
                  </pic:blipFill>
                  <pic:spPr bwMode="auto">
                    <a:xfrm>
                      <a:off x="0" y="0"/>
                      <a:ext cx="3733800" cy="2195195"/>
                    </a:xfrm>
                    <a:prstGeom prst="rect">
                      <a:avLst/>
                    </a:prstGeom>
                  </pic:spPr>
                </pic:pic>
              </a:graphicData>
            </a:graphic>
          </wp:inline>
        </w:drawing>
      </w:r>
    </w:p>
    <w:p w14:paraId="35305646" w14:textId="77777777" w:rsidR="008C2160" w:rsidRPr="00E27817" w:rsidRDefault="008C2160" w:rsidP="008C2160">
      <w:pPr>
        <w:spacing w:line="480" w:lineRule="auto"/>
        <w:jc w:val="both"/>
        <w:textAlignment w:val="baseline"/>
        <w:rPr>
          <w:sz w:val="24"/>
          <w:szCs w:val="24"/>
        </w:rPr>
      </w:pPr>
      <w:r w:rsidRPr="00E27817">
        <w:rPr>
          <w:b/>
          <w:bCs/>
          <w:sz w:val="24"/>
          <w:szCs w:val="24"/>
        </w:rPr>
        <w:t xml:space="preserve">Figure S4: The ATP binding pocket of </w:t>
      </w:r>
      <w:proofErr w:type="spellStart"/>
      <w:r w:rsidRPr="00E27817">
        <w:rPr>
          <w:b/>
          <w:bCs/>
          <w:sz w:val="24"/>
          <w:szCs w:val="24"/>
        </w:rPr>
        <w:t>MreB</w:t>
      </w:r>
      <w:proofErr w:type="spellEnd"/>
      <w:r w:rsidRPr="00E27817">
        <w:rPr>
          <w:b/>
          <w:bCs/>
          <w:sz w:val="24"/>
          <w:szCs w:val="24"/>
        </w:rPr>
        <w:t xml:space="preserve"> is composed of highly conserved residues. </w:t>
      </w:r>
      <w:r w:rsidRPr="00E27817">
        <w:rPr>
          <w:sz w:val="24"/>
          <w:szCs w:val="24"/>
        </w:rPr>
        <w:t>Amino acids are colored by their Shannon entropy, with blue indicating values &lt;0.1. The ATP molecule is shown in green.</w:t>
      </w:r>
      <w:r w:rsidRPr="00E27817">
        <w:rPr>
          <w:sz w:val="24"/>
          <w:szCs w:val="24"/>
        </w:rPr>
        <w:br w:type="page"/>
      </w:r>
    </w:p>
    <w:p w14:paraId="1A6A7D5F" w14:textId="77777777" w:rsidR="008C2160" w:rsidRPr="00E27817" w:rsidRDefault="008C2160" w:rsidP="008C2160">
      <w:pPr>
        <w:spacing w:line="480" w:lineRule="auto"/>
        <w:jc w:val="center"/>
        <w:textAlignment w:val="baseline"/>
        <w:rPr>
          <w:sz w:val="24"/>
          <w:szCs w:val="24"/>
        </w:rPr>
      </w:pPr>
      <w:r w:rsidRPr="00E27817">
        <w:rPr>
          <w:noProof/>
          <w:sz w:val="24"/>
          <w:szCs w:val="24"/>
        </w:rPr>
        <w:lastRenderedPageBreak/>
        <w:drawing>
          <wp:inline distT="0" distB="2540" distL="0" distR="1905" wp14:anchorId="65A51DD7" wp14:editId="0A76BD7D">
            <wp:extent cx="3630295" cy="2981960"/>
            <wp:effectExtent l="0" t="0" r="0" b="0"/>
            <wp:docPr id="49"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20" descr="Chart&#10;&#10;Description automatically generated"/>
                    <pic:cNvPicPr>
                      <a:picLocks noChangeAspect="1" noChangeArrowheads="1"/>
                    </pic:cNvPicPr>
                  </pic:nvPicPr>
                  <pic:blipFill>
                    <a:blip r:embed="rId10"/>
                    <a:stretch>
                      <a:fillRect/>
                    </a:stretch>
                  </pic:blipFill>
                  <pic:spPr bwMode="auto">
                    <a:xfrm>
                      <a:off x="0" y="0"/>
                      <a:ext cx="3630295" cy="2981960"/>
                    </a:xfrm>
                    <a:prstGeom prst="rect">
                      <a:avLst/>
                    </a:prstGeom>
                  </pic:spPr>
                </pic:pic>
              </a:graphicData>
            </a:graphic>
          </wp:inline>
        </w:drawing>
      </w:r>
    </w:p>
    <w:p w14:paraId="025852FF" w14:textId="77777777" w:rsidR="008C2160" w:rsidRPr="00E27817" w:rsidRDefault="008C2160" w:rsidP="008C2160">
      <w:pPr>
        <w:spacing w:line="480" w:lineRule="auto"/>
        <w:jc w:val="both"/>
        <w:textAlignment w:val="baseline"/>
        <w:rPr>
          <w:sz w:val="24"/>
          <w:szCs w:val="24"/>
        </w:rPr>
      </w:pPr>
      <w:r w:rsidRPr="00E27817">
        <w:rPr>
          <w:b/>
          <w:bCs/>
          <w:sz w:val="24"/>
          <w:szCs w:val="24"/>
        </w:rPr>
        <w:t xml:space="preserve">Figure S5: Similar eigenvectors are merged to create </w:t>
      </w:r>
      <w:r>
        <w:rPr>
          <w:b/>
          <w:bCs/>
          <w:sz w:val="24"/>
          <w:szCs w:val="24"/>
        </w:rPr>
        <w:t>meta</w:t>
      </w:r>
      <w:r w:rsidRPr="00E27817">
        <w:rPr>
          <w:b/>
          <w:bCs/>
          <w:sz w:val="24"/>
          <w:szCs w:val="24"/>
        </w:rPr>
        <w:t xml:space="preserve">-sectors. </w:t>
      </w:r>
      <w:r w:rsidRPr="00E27817">
        <w:rPr>
          <w:sz w:val="24"/>
          <w:szCs w:val="24"/>
        </w:rPr>
        <w:t xml:space="preserve">The positive potions of eigenvectors C and E define sectors C and E, respectively. These eigenvectors are combined to create a </w:t>
      </w:r>
      <w:r>
        <w:rPr>
          <w:sz w:val="24"/>
          <w:szCs w:val="24"/>
        </w:rPr>
        <w:t>meta</w:t>
      </w:r>
      <w:r w:rsidRPr="00E27817">
        <w:rPr>
          <w:sz w:val="24"/>
          <w:szCs w:val="24"/>
        </w:rPr>
        <w:t>-sector.</w:t>
      </w:r>
      <w:r w:rsidRPr="00E27817">
        <w:rPr>
          <w:sz w:val="24"/>
          <w:szCs w:val="24"/>
        </w:rPr>
        <w:br w:type="page"/>
      </w:r>
    </w:p>
    <w:p w14:paraId="1174BDEE" w14:textId="77777777" w:rsidR="008C2160" w:rsidRPr="00E27817" w:rsidRDefault="008C2160" w:rsidP="008C2160">
      <w:pPr>
        <w:spacing w:line="480" w:lineRule="auto"/>
        <w:jc w:val="center"/>
        <w:textAlignment w:val="baseline"/>
        <w:rPr>
          <w:sz w:val="24"/>
          <w:szCs w:val="24"/>
        </w:rPr>
      </w:pPr>
      <w:r w:rsidRPr="00E27817">
        <w:rPr>
          <w:noProof/>
          <w:sz w:val="24"/>
          <w:szCs w:val="24"/>
        </w:rPr>
        <w:lastRenderedPageBreak/>
        <w:drawing>
          <wp:inline distT="0" distB="1270" distL="0" distR="3810" wp14:anchorId="08502BF8" wp14:editId="06B38E7B">
            <wp:extent cx="5711009" cy="2648932"/>
            <wp:effectExtent l="0" t="0" r="0" b="0"/>
            <wp:docPr id="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22"/>
                    <pic:cNvPicPr>
                      <a:picLocks noChangeAspect="1" noChangeArrowheads="1"/>
                    </pic:cNvPicPr>
                  </pic:nvPicPr>
                  <pic:blipFill rotWithShape="1">
                    <a:blip r:embed="rId11">
                      <a:extLst>
                        <a:ext uri="{28A0092B-C50C-407E-A947-70E740481C1C}">
                          <a14:useLocalDpi xmlns:a14="http://schemas.microsoft.com/office/drawing/2010/main" val="0"/>
                        </a:ext>
                      </a:extLst>
                    </a:blip>
                    <a:srcRect t="77103" r="36115"/>
                    <a:stretch/>
                  </pic:blipFill>
                  <pic:spPr bwMode="auto">
                    <a:xfrm>
                      <a:off x="0" y="0"/>
                      <a:ext cx="5773204" cy="2677780"/>
                    </a:xfrm>
                    <a:prstGeom prst="rect">
                      <a:avLst/>
                    </a:prstGeom>
                    <a:ln>
                      <a:noFill/>
                    </a:ln>
                    <a:extLst>
                      <a:ext uri="{53640926-AAD7-44D8-BBD7-CCE9431645EC}">
                        <a14:shadowObscured xmlns:a14="http://schemas.microsoft.com/office/drawing/2010/main"/>
                      </a:ext>
                    </a:extLst>
                  </pic:spPr>
                </pic:pic>
              </a:graphicData>
            </a:graphic>
          </wp:inline>
        </w:drawing>
      </w:r>
    </w:p>
    <w:p w14:paraId="46A71D44" w14:textId="77777777" w:rsidR="008C2160" w:rsidRPr="00E27817" w:rsidRDefault="008C2160" w:rsidP="008C2160">
      <w:pPr>
        <w:spacing w:line="480" w:lineRule="auto"/>
        <w:jc w:val="both"/>
        <w:textAlignment w:val="baseline"/>
        <w:rPr>
          <w:sz w:val="24"/>
          <w:szCs w:val="24"/>
        </w:rPr>
      </w:pPr>
      <w:r w:rsidRPr="00E27817">
        <w:rPr>
          <w:b/>
          <w:bCs/>
          <w:sz w:val="24"/>
          <w:szCs w:val="24"/>
        </w:rPr>
        <w:t xml:space="preserve">Figure S6: The maximum relative enrichment for H-Ras sectors is </w:t>
      </w:r>
      <w:proofErr w:type="gramStart"/>
      <w:r w:rsidRPr="00E27817">
        <w:rPr>
          <w:b/>
          <w:bCs/>
          <w:sz w:val="24"/>
          <w:szCs w:val="24"/>
        </w:rPr>
        <w:t>similar to</w:t>
      </w:r>
      <w:proofErr w:type="gramEnd"/>
      <w:r w:rsidRPr="00E27817">
        <w:rPr>
          <w:b/>
          <w:bCs/>
          <w:sz w:val="24"/>
          <w:szCs w:val="24"/>
        </w:rPr>
        <w:t xml:space="preserve"> the enrichment for the protein overall. </w:t>
      </w:r>
      <w:r w:rsidRPr="00E27817">
        <w:rPr>
          <w:sz w:val="24"/>
          <w:szCs w:val="24"/>
        </w:rPr>
        <w:t xml:space="preserve">The maximum enrichment profile for sectors A (A) and B (B) are </w:t>
      </w:r>
      <w:proofErr w:type="gramStart"/>
      <w:r w:rsidRPr="00E27817">
        <w:rPr>
          <w:sz w:val="24"/>
          <w:szCs w:val="24"/>
        </w:rPr>
        <w:t>similar to</w:t>
      </w:r>
      <w:proofErr w:type="gramEnd"/>
      <w:r w:rsidRPr="00E27817">
        <w:rPr>
          <w:sz w:val="24"/>
          <w:szCs w:val="24"/>
        </w:rPr>
        <w:t xml:space="preserve"> that of the overall protein (black) for both NC and baseline.</w:t>
      </w:r>
      <w:r w:rsidRPr="00E27817">
        <w:rPr>
          <w:sz w:val="24"/>
          <w:szCs w:val="24"/>
        </w:rPr>
        <w:br w:type="page"/>
      </w:r>
    </w:p>
    <w:p w14:paraId="141AA754" w14:textId="77777777" w:rsidR="008C2160" w:rsidRPr="00E27817" w:rsidRDefault="008C2160" w:rsidP="008C2160">
      <w:pPr>
        <w:spacing w:line="480" w:lineRule="auto"/>
        <w:jc w:val="center"/>
        <w:textAlignment w:val="baseline"/>
        <w:rPr>
          <w:sz w:val="24"/>
          <w:szCs w:val="24"/>
        </w:rPr>
      </w:pPr>
      <w:r>
        <w:rPr>
          <w:noProof/>
          <w:sz w:val="24"/>
          <w:szCs w:val="24"/>
        </w:rPr>
        <w:lastRenderedPageBreak/>
        <w:drawing>
          <wp:inline distT="0" distB="0" distL="0" distR="0" wp14:anchorId="316DBFCE" wp14:editId="5A640160">
            <wp:extent cx="5943600" cy="485838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4858385"/>
                    </a:xfrm>
                    <a:prstGeom prst="rect">
                      <a:avLst/>
                    </a:prstGeom>
                  </pic:spPr>
                </pic:pic>
              </a:graphicData>
            </a:graphic>
          </wp:inline>
        </w:drawing>
      </w:r>
    </w:p>
    <w:p w14:paraId="5D91EB06" w14:textId="77777777" w:rsidR="008C2160" w:rsidRPr="00E27817" w:rsidRDefault="008C2160" w:rsidP="008C2160">
      <w:pPr>
        <w:spacing w:line="480" w:lineRule="auto"/>
        <w:jc w:val="both"/>
        <w:textAlignment w:val="baseline"/>
        <w:rPr>
          <w:sz w:val="24"/>
          <w:szCs w:val="24"/>
        </w:rPr>
      </w:pPr>
      <w:r w:rsidRPr="00E27817">
        <w:rPr>
          <w:b/>
          <w:bCs/>
          <w:sz w:val="24"/>
          <w:szCs w:val="24"/>
        </w:rPr>
        <w:t xml:space="preserve">Figure S7: Schematic showing sector determination. </w:t>
      </w:r>
      <w:r w:rsidRPr="00E27817">
        <w:rPr>
          <w:sz w:val="24"/>
          <w:szCs w:val="24"/>
        </w:rPr>
        <w:t xml:space="preserve">The NC sectors are concatenated, </w:t>
      </w:r>
      <w:proofErr w:type="spellStart"/>
      <w:r>
        <w:rPr>
          <w:sz w:val="24"/>
          <w:szCs w:val="24"/>
        </w:rPr>
        <w:t>eigendecomposition</w:t>
      </w:r>
      <w:proofErr w:type="spellEnd"/>
      <w:r>
        <w:rPr>
          <w:sz w:val="24"/>
          <w:szCs w:val="24"/>
        </w:rPr>
        <w:t xml:space="preserve"> of </w:t>
      </w:r>
      <w:proofErr w:type="spellStart"/>
      <w:r>
        <w:rPr>
          <w:sz w:val="24"/>
          <w:szCs w:val="24"/>
        </w:rPr>
        <w:t>M</w:t>
      </w:r>
      <w:r>
        <w:rPr>
          <w:i/>
          <w:iCs/>
          <w:sz w:val="24"/>
          <w:szCs w:val="24"/>
          <w:vertAlign w:val="superscript"/>
        </w:rPr>
        <w:t>t</w:t>
      </w:r>
      <w:r>
        <w:rPr>
          <w:sz w:val="24"/>
          <w:szCs w:val="24"/>
        </w:rPr>
        <w:t>M</w:t>
      </w:r>
      <w:proofErr w:type="spellEnd"/>
      <w:r>
        <w:rPr>
          <w:sz w:val="24"/>
          <w:szCs w:val="24"/>
        </w:rPr>
        <w:t xml:space="preserve"> (where M is the </w:t>
      </w:r>
      <w:proofErr w:type="spellStart"/>
      <w:r>
        <w:rPr>
          <w:sz w:val="24"/>
          <w:szCs w:val="24"/>
        </w:rPr>
        <w:t>supermatrix</w:t>
      </w:r>
      <w:proofErr w:type="spellEnd"/>
      <w:r>
        <w:rPr>
          <w:sz w:val="24"/>
          <w:szCs w:val="24"/>
        </w:rPr>
        <w:t xml:space="preserve"> and M</w:t>
      </w:r>
      <w:r>
        <w:rPr>
          <w:i/>
          <w:iCs/>
          <w:sz w:val="24"/>
          <w:szCs w:val="24"/>
          <w:vertAlign w:val="superscript"/>
        </w:rPr>
        <w:t>t</w:t>
      </w:r>
      <w:r>
        <w:rPr>
          <w:sz w:val="24"/>
          <w:szCs w:val="24"/>
        </w:rPr>
        <w:t xml:space="preserve"> is its transpose) </w:t>
      </w:r>
      <w:r w:rsidRPr="00E27817">
        <w:rPr>
          <w:sz w:val="24"/>
          <w:szCs w:val="24"/>
        </w:rPr>
        <w:t>is performed, and the eigenvectors associated with the highest eigenvalues are used to define positive and negative sectors.</w:t>
      </w:r>
      <w:r w:rsidRPr="00E27817">
        <w:rPr>
          <w:sz w:val="24"/>
          <w:szCs w:val="24"/>
        </w:rPr>
        <w:br w:type="page"/>
      </w:r>
    </w:p>
    <w:p w14:paraId="41F23725" w14:textId="77777777" w:rsidR="008C2160" w:rsidRPr="00E27817" w:rsidRDefault="008C2160" w:rsidP="008C2160">
      <w:pPr>
        <w:snapToGrid w:val="0"/>
        <w:spacing w:line="480" w:lineRule="auto"/>
        <w:textAlignment w:val="baseline"/>
        <w:rPr>
          <w:b/>
          <w:bCs/>
          <w:color w:val="00000A"/>
          <w:sz w:val="24"/>
          <w:szCs w:val="24"/>
        </w:rPr>
      </w:pPr>
      <w:r w:rsidRPr="00E27817">
        <w:rPr>
          <w:b/>
          <w:bCs/>
          <w:color w:val="00000A"/>
          <w:sz w:val="24"/>
          <w:szCs w:val="24"/>
        </w:rPr>
        <w:lastRenderedPageBreak/>
        <w:t>Supplementary Table</w:t>
      </w:r>
    </w:p>
    <w:p w14:paraId="043A6AD9" w14:textId="77777777" w:rsidR="008C2160" w:rsidRPr="00E27817" w:rsidRDefault="008C2160" w:rsidP="008C2160">
      <w:pPr>
        <w:snapToGrid w:val="0"/>
        <w:spacing w:line="480" w:lineRule="auto"/>
        <w:textAlignment w:val="baseline"/>
        <w:rPr>
          <w:b/>
          <w:bCs/>
          <w:color w:val="00000A"/>
          <w:sz w:val="24"/>
          <w:szCs w:val="24"/>
        </w:rPr>
      </w:pPr>
    </w:p>
    <w:tbl>
      <w:tblPr>
        <w:tblStyle w:val="TableGrid"/>
        <w:tblW w:w="0" w:type="auto"/>
        <w:tblLook w:val="04A0" w:firstRow="1" w:lastRow="0" w:firstColumn="1" w:lastColumn="0" w:noHBand="0" w:noVBand="1"/>
      </w:tblPr>
      <w:tblGrid>
        <w:gridCol w:w="2070"/>
        <w:gridCol w:w="3145"/>
        <w:gridCol w:w="2713"/>
        <w:gridCol w:w="1422"/>
      </w:tblGrid>
      <w:tr w:rsidR="008C2160" w:rsidRPr="00E27817" w14:paraId="3F5ED178" w14:textId="77777777" w:rsidTr="006E0A9F">
        <w:tc>
          <w:tcPr>
            <w:tcW w:w="2070" w:type="dxa"/>
          </w:tcPr>
          <w:p w14:paraId="5021C998" w14:textId="77777777" w:rsidR="008C2160" w:rsidRPr="00E27817" w:rsidRDefault="008C2160" w:rsidP="006E0A9F">
            <w:pPr>
              <w:snapToGrid w:val="0"/>
              <w:spacing w:line="480" w:lineRule="auto"/>
              <w:textAlignment w:val="baseline"/>
              <w:rPr>
                <w:b/>
                <w:bCs/>
                <w:color w:val="00000A"/>
                <w:sz w:val="24"/>
                <w:szCs w:val="24"/>
              </w:rPr>
            </w:pPr>
            <w:r w:rsidRPr="00E27817">
              <w:rPr>
                <w:b/>
                <w:bCs/>
                <w:color w:val="00000A"/>
                <w:sz w:val="24"/>
                <w:szCs w:val="24"/>
              </w:rPr>
              <w:t>Protein</w:t>
            </w:r>
          </w:p>
        </w:tc>
        <w:tc>
          <w:tcPr>
            <w:tcW w:w="3145" w:type="dxa"/>
          </w:tcPr>
          <w:p w14:paraId="3B3F9FFD" w14:textId="77777777" w:rsidR="008C2160" w:rsidRPr="00E27817" w:rsidRDefault="008C2160" w:rsidP="006E0A9F">
            <w:pPr>
              <w:snapToGrid w:val="0"/>
              <w:spacing w:line="480" w:lineRule="auto"/>
              <w:textAlignment w:val="baseline"/>
              <w:rPr>
                <w:b/>
                <w:bCs/>
                <w:color w:val="00000A"/>
                <w:sz w:val="24"/>
                <w:szCs w:val="24"/>
              </w:rPr>
            </w:pPr>
            <w:proofErr w:type="spellStart"/>
            <w:r w:rsidRPr="00E27817">
              <w:rPr>
                <w:b/>
                <w:bCs/>
                <w:color w:val="00000A"/>
                <w:sz w:val="24"/>
                <w:szCs w:val="24"/>
              </w:rPr>
              <w:t>Uniprot</w:t>
            </w:r>
            <w:proofErr w:type="spellEnd"/>
            <w:r w:rsidRPr="00E27817">
              <w:rPr>
                <w:b/>
                <w:bCs/>
                <w:color w:val="00000A"/>
                <w:sz w:val="24"/>
                <w:szCs w:val="24"/>
              </w:rPr>
              <w:t xml:space="preserve"> ID</w:t>
            </w:r>
          </w:p>
        </w:tc>
        <w:tc>
          <w:tcPr>
            <w:tcW w:w="2713" w:type="dxa"/>
          </w:tcPr>
          <w:p w14:paraId="12E98999" w14:textId="77777777" w:rsidR="008C2160" w:rsidRPr="00E27817" w:rsidRDefault="008C2160" w:rsidP="006E0A9F">
            <w:pPr>
              <w:snapToGrid w:val="0"/>
              <w:spacing w:line="480" w:lineRule="auto"/>
              <w:textAlignment w:val="baseline"/>
              <w:rPr>
                <w:b/>
                <w:bCs/>
                <w:color w:val="00000A"/>
                <w:sz w:val="24"/>
                <w:szCs w:val="24"/>
              </w:rPr>
            </w:pPr>
            <w:r w:rsidRPr="00E27817">
              <w:rPr>
                <w:b/>
                <w:bCs/>
                <w:color w:val="00000A"/>
                <w:sz w:val="24"/>
                <w:szCs w:val="24"/>
              </w:rPr>
              <w:t>NCBI accession number</w:t>
            </w:r>
          </w:p>
        </w:tc>
        <w:tc>
          <w:tcPr>
            <w:tcW w:w="1422" w:type="dxa"/>
          </w:tcPr>
          <w:p w14:paraId="24508082" w14:textId="77777777" w:rsidR="008C2160" w:rsidRPr="00E27817" w:rsidRDefault="008C2160" w:rsidP="006E0A9F">
            <w:pPr>
              <w:snapToGrid w:val="0"/>
              <w:spacing w:line="480" w:lineRule="auto"/>
              <w:textAlignment w:val="baseline"/>
              <w:rPr>
                <w:b/>
                <w:bCs/>
                <w:color w:val="00000A"/>
                <w:sz w:val="24"/>
                <w:szCs w:val="24"/>
              </w:rPr>
            </w:pPr>
            <w:r w:rsidRPr="00E27817">
              <w:rPr>
                <w:b/>
                <w:bCs/>
                <w:color w:val="00000A"/>
                <w:sz w:val="24"/>
                <w:szCs w:val="24"/>
              </w:rPr>
              <w:t>PDB ID</w:t>
            </w:r>
          </w:p>
        </w:tc>
      </w:tr>
      <w:tr w:rsidR="008C2160" w:rsidRPr="00E27817" w14:paraId="3C01264F" w14:textId="77777777" w:rsidTr="006E0A9F">
        <w:tc>
          <w:tcPr>
            <w:tcW w:w="2070" w:type="dxa"/>
          </w:tcPr>
          <w:p w14:paraId="3396C50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Cadherin</w:t>
            </w:r>
          </w:p>
        </w:tc>
        <w:tc>
          <w:tcPr>
            <w:tcW w:w="3145" w:type="dxa"/>
          </w:tcPr>
          <w:p w14:paraId="3A128978"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I3LUS1_PIG</w:t>
            </w:r>
          </w:p>
        </w:tc>
        <w:tc>
          <w:tcPr>
            <w:tcW w:w="2713" w:type="dxa"/>
          </w:tcPr>
          <w:p w14:paraId="7430A332"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08F1B6D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2O72</w:t>
            </w:r>
          </w:p>
        </w:tc>
      </w:tr>
      <w:tr w:rsidR="008C2160" w:rsidRPr="00E27817" w14:paraId="76A5646B" w14:textId="77777777" w:rsidTr="006E0A9F">
        <w:tc>
          <w:tcPr>
            <w:tcW w:w="2070" w:type="dxa"/>
          </w:tcPr>
          <w:p w14:paraId="13277F5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Enolase</w:t>
            </w:r>
          </w:p>
        </w:tc>
        <w:tc>
          <w:tcPr>
            <w:tcW w:w="3145" w:type="dxa"/>
          </w:tcPr>
          <w:p w14:paraId="6D4DE461"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2713" w:type="dxa"/>
          </w:tcPr>
          <w:p w14:paraId="603F5605"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NP_417259</w:t>
            </w:r>
          </w:p>
        </w:tc>
        <w:tc>
          <w:tcPr>
            <w:tcW w:w="1422" w:type="dxa"/>
          </w:tcPr>
          <w:p w14:paraId="78D3F686"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5OHG</w:t>
            </w:r>
          </w:p>
        </w:tc>
      </w:tr>
      <w:tr w:rsidR="008C2160" w:rsidRPr="00E27817" w14:paraId="27F6D63B" w14:textId="77777777" w:rsidTr="006E0A9F">
        <w:tc>
          <w:tcPr>
            <w:tcW w:w="2070" w:type="dxa"/>
          </w:tcPr>
          <w:p w14:paraId="420A52E2"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FKBP-C</w:t>
            </w:r>
          </w:p>
        </w:tc>
        <w:tc>
          <w:tcPr>
            <w:tcW w:w="3145" w:type="dxa"/>
          </w:tcPr>
          <w:p w14:paraId="211A853D"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A0A0D2TZB3_GOSRA</w:t>
            </w:r>
          </w:p>
        </w:tc>
        <w:tc>
          <w:tcPr>
            <w:tcW w:w="2713" w:type="dxa"/>
          </w:tcPr>
          <w:p w14:paraId="11764689"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017CB34A"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1R9H</w:t>
            </w:r>
          </w:p>
        </w:tc>
      </w:tr>
      <w:tr w:rsidR="008C2160" w:rsidRPr="00E27817" w14:paraId="2C393647" w14:textId="77777777" w:rsidTr="006E0A9F">
        <w:tc>
          <w:tcPr>
            <w:tcW w:w="2070" w:type="dxa"/>
          </w:tcPr>
          <w:p w14:paraId="43855FB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G6PD</w:t>
            </w:r>
          </w:p>
        </w:tc>
        <w:tc>
          <w:tcPr>
            <w:tcW w:w="3145" w:type="dxa"/>
          </w:tcPr>
          <w:p w14:paraId="6EB4C88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2713" w:type="dxa"/>
          </w:tcPr>
          <w:p w14:paraId="287CCBB1"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NP_000393</w:t>
            </w:r>
          </w:p>
        </w:tc>
        <w:tc>
          <w:tcPr>
            <w:tcW w:w="1422" w:type="dxa"/>
          </w:tcPr>
          <w:p w14:paraId="569EFC13"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2BH9</w:t>
            </w:r>
          </w:p>
        </w:tc>
      </w:tr>
      <w:tr w:rsidR="008C2160" w:rsidRPr="00E27817" w14:paraId="466F0A7A" w14:textId="77777777" w:rsidTr="006E0A9F">
        <w:tc>
          <w:tcPr>
            <w:tcW w:w="2070" w:type="dxa"/>
          </w:tcPr>
          <w:p w14:paraId="29E3FF5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H-Ras</w:t>
            </w:r>
          </w:p>
        </w:tc>
        <w:tc>
          <w:tcPr>
            <w:tcW w:w="3145" w:type="dxa"/>
          </w:tcPr>
          <w:p w14:paraId="2AC65869"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2713" w:type="dxa"/>
          </w:tcPr>
          <w:p w14:paraId="163A7E67"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1BKD_R</w:t>
            </w:r>
          </w:p>
        </w:tc>
        <w:tc>
          <w:tcPr>
            <w:tcW w:w="1422" w:type="dxa"/>
          </w:tcPr>
          <w:p w14:paraId="5D0FE91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1BKD</w:t>
            </w:r>
          </w:p>
        </w:tc>
      </w:tr>
      <w:tr w:rsidR="008C2160" w:rsidRPr="00E27817" w14:paraId="1BD21713" w14:textId="77777777" w:rsidTr="006E0A9F">
        <w:tc>
          <w:tcPr>
            <w:tcW w:w="2070" w:type="dxa"/>
          </w:tcPr>
          <w:p w14:paraId="2CF1B759"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KH-1</w:t>
            </w:r>
          </w:p>
        </w:tc>
        <w:tc>
          <w:tcPr>
            <w:tcW w:w="3145" w:type="dxa"/>
          </w:tcPr>
          <w:p w14:paraId="5013A0A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B4MJF9_DROWI</w:t>
            </w:r>
          </w:p>
        </w:tc>
        <w:tc>
          <w:tcPr>
            <w:tcW w:w="2713" w:type="dxa"/>
          </w:tcPr>
          <w:p w14:paraId="1C081AC4"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7DF785B9"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1WVN</w:t>
            </w:r>
          </w:p>
        </w:tc>
      </w:tr>
      <w:tr w:rsidR="008C2160" w:rsidRPr="00E27817" w14:paraId="6654DF66" w14:textId="77777777" w:rsidTr="006E0A9F">
        <w:tc>
          <w:tcPr>
            <w:tcW w:w="2070" w:type="dxa"/>
          </w:tcPr>
          <w:p w14:paraId="65CBF9F5"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Kunitz</w:t>
            </w:r>
          </w:p>
        </w:tc>
        <w:tc>
          <w:tcPr>
            <w:tcW w:w="3145" w:type="dxa"/>
          </w:tcPr>
          <w:p w14:paraId="5D4125D6"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F6WEH0_ORNAN</w:t>
            </w:r>
          </w:p>
        </w:tc>
        <w:tc>
          <w:tcPr>
            <w:tcW w:w="2713" w:type="dxa"/>
          </w:tcPr>
          <w:p w14:paraId="275569EC"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12CD3AC9"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5PTI</w:t>
            </w:r>
          </w:p>
        </w:tc>
      </w:tr>
      <w:tr w:rsidR="008C2160" w:rsidRPr="00E27817" w14:paraId="43E8FCF1" w14:textId="77777777" w:rsidTr="006E0A9F">
        <w:tc>
          <w:tcPr>
            <w:tcW w:w="2070" w:type="dxa"/>
          </w:tcPr>
          <w:p w14:paraId="610B369A"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Lectin-C</w:t>
            </w:r>
          </w:p>
        </w:tc>
        <w:tc>
          <w:tcPr>
            <w:tcW w:w="3145" w:type="dxa"/>
          </w:tcPr>
          <w:p w14:paraId="063A9707"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H0YSP5_TAEGU</w:t>
            </w:r>
          </w:p>
        </w:tc>
        <w:tc>
          <w:tcPr>
            <w:tcW w:w="2713" w:type="dxa"/>
          </w:tcPr>
          <w:p w14:paraId="10C09C4C"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4838BE4A"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2IT6</w:t>
            </w:r>
          </w:p>
        </w:tc>
      </w:tr>
      <w:tr w:rsidR="008C2160" w:rsidRPr="00E27817" w14:paraId="751DEB81" w14:textId="77777777" w:rsidTr="006E0A9F">
        <w:tc>
          <w:tcPr>
            <w:tcW w:w="2070" w:type="dxa"/>
          </w:tcPr>
          <w:p w14:paraId="5C3C7E25"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MAPK1</w:t>
            </w:r>
          </w:p>
        </w:tc>
        <w:tc>
          <w:tcPr>
            <w:tcW w:w="3145" w:type="dxa"/>
          </w:tcPr>
          <w:p w14:paraId="17C02E0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2713" w:type="dxa"/>
          </w:tcPr>
          <w:p w14:paraId="42B3960B"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NP_620407</w:t>
            </w:r>
          </w:p>
        </w:tc>
        <w:tc>
          <w:tcPr>
            <w:tcW w:w="1422" w:type="dxa"/>
          </w:tcPr>
          <w:p w14:paraId="7E8FFE5B"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6FN5</w:t>
            </w:r>
          </w:p>
        </w:tc>
      </w:tr>
      <w:tr w:rsidR="008C2160" w:rsidRPr="00E27817" w14:paraId="55CD1ACC" w14:textId="77777777" w:rsidTr="006E0A9F">
        <w:tc>
          <w:tcPr>
            <w:tcW w:w="2070" w:type="dxa"/>
          </w:tcPr>
          <w:p w14:paraId="17E0BD36" w14:textId="77777777" w:rsidR="008C2160" w:rsidRPr="00E27817" w:rsidRDefault="008C2160" w:rsidP="006E0A9F">
            <w:pPr>
              <w:snapToGrid w:val="0"/>
              <w:spacing w:line="480" w:lineRule="auto"/>
              <w:textAlignment w:val="baseline"/>
              <w:rPr>
                <w:color w:val="00000A"/>
                <w:sz w:val="24"/>
                <w:szCs w:val="24"/>
              </w:rPr>
            </w:pPr>
            <w:proofErr w:type="spellStart"/>
            <w:r w:rsidRPr="00E27817">
              <w:rPr>
                <w:color w:val="00000A"/>
                <w:sz w:val="24"/>
                <w:szCs w:val="24"/>
              </w:rPr>
              <w:t>MreB</w:t>
            </w:r>
            <w:proofErr w:type="spellEnd"/>
          </w:p>
        </w:tc>
        <w:tc>
          <w:tcPr>
            <w:tcW w:w="3145" w:type="dxa"/>
          </w:tcPr>
          <w:p w14:paraId="23C77226"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2713" w:type="dxa"/>
          </w:tcPr>
          <w:p w14:paraId="3572D1C1"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NP_417717</w:t>
            </w:r>
          </w:p>
        </w:tc>
        <w:tc>
          <w:tcPr>
            <w:tcW w:w="1422" w:type="dxa"/>
          </w:tcPr>
          <w:p w14:paraId="10E5AA9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2WUS, 1JCG, 4CZE</w:t>
            </w:r>
          </w:p>
        </w:tc>
      </w:tr>
      <w:tr w:rsidR="008C2160" w:rsidRPr="00E27817" w14:paraId="0357B0C7" w14:textId="77777777" w:rsidTr="006E0A9F">
        <w:tc>
          <w:tcPr>
            <w:tcW w:w="2070" w:type="dxa"/>
          </w:tcPr>
          <w:p w14:paraId="3889DEB3"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Ras</w:t>
            </w:r>
          </w:p>
        </w:tc>
        <w:tc>
          <w:tcPr>
            <w:tcW w:w="3145" w:type="dxa"/>
          </w:tcPr>
          <w:p w14:paraId="1C3143A9"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A0A024W598_PLAFA</w:t>
            </w:r>
          </w:p>
        </w:tc>
        <w:tc>
          <w:tcPr>
            <w:tcW w:w="2713" w:type="dxa"/>
          </w:tcPr>
          <w:p w14:paraId="28FD5A93"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1A888B6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5P21</w:t>
            </w:r>
          </w:p>
        </w:tc>
      </w:tr>
      <w:tr w:rsidR="008C2160" w:rsidRPr="00E27817" w14:paraId="2684B8D3" w14:textId="77777777" w:rsidTr="006E0A9F">
        <w:tc>
          <w:tcPr>
            <w:tcW w:w="2070" w:type="dxa"/>
          </w:tcPr>
          <w:p w14:paraId="56258008"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RNase H</w:t>
            </w:r>
          </w:p>
        </w:tc>
        <w:tc>
          <w:tcPr>
            <w:tcW w:w="3145" w:type="dxa"/>
          </w:tcPr>
          <w:p w14:paraId="77ADA684"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R9T5K3_9EURY</w:t>
            </w:r>
          </w:p>
        </w:tc>
        <w:tc>
          <w:tcPr>
            <w:tcW w:w="2713" w:type="dxa"/>
          </w:tcPr>
          <w:p w14:paraId="5BDA2092"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5A205C6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1F21</w:t>
            </w:r>
          </w:p>
        </w:tc>
      </w:tr>
      <w:tr w:rsidR="008C2160" w:rsidRPr="00E27817" w14:paraId="6356BB4E" w14:textId="77777777" w:rsidTr="006E0A9F">
        <w:tc>
          <w:tcPr>
            <w:tcW w:w="2070" w:type="dxa"/>
          </w:tcPr>
          <w:p w14:paraId="4CB34A59"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SH3</w:t>
            </w:r>
          </w:p>
        </w:tc>
        <w:tc>
          <w:tcPr>
            <w:tcW w:w="3145" w:type="dxa"/>
          </w:tcPr>
          <w:p w14:paraId="15380E0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A0A0K0FYI6_9BILA</w:t>
            </w:r>
          </w:p>
        </w:tc>
        <w:tc>
          <w:tcPr>
            <w:tcW w:w="2713" w:type="dxa"/>
          </w:tcPr>
          <w:p w14:paraId="227FDAC5"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1DF88D7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2HDA</w:t>
            </w:r>
          </w:p>
        </w:tc>
      </w:tr>
      <w:tr w:rsidR="008C2160" w:rsidRPr="00E27817" w14:paraId="7EF9F336" w14:textId="77777777" w:rsidTr="006E0A9F">
        <w:tc>
          <w:tcPr>
            <w:tcW w:w="2070" w:type="dxa"/>
          </w:tcPr>
          <w:p w14:paraId="115C9354"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lastRenderedPageBreak/>
              <w:t>Thioredoxin</w:t>
            </w:r>
          </w:p>
        </w:tc>
        <w:tc>
          <w:tcPr>
            <w:tcW w:w="3145" w:type="dxa"/>
          </w:tcPr>
          <w:p w14:paraId="278CB7E3"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H0ZH31_TAEGU</w:t>
            </w:r>
          </w:p>
        </w:tc>
        <w:tc>
          <w:tcPr>
            <w:tcW w:w="2713" w:type="dxa"/>
          </w:tcPr>
          <w:p w14:paraId="5C77460C"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66C7183E"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1RQM</w:t>
            </w:r>
          </w:p>
        </w:tc>
      </w:tr>
      <w:tr w:rsidR="008C2160" w:rsidRPr="00E27817" w14:paraId="11D949D9" w14:textId="77777777" w:rsidTr="006E0A9F">
        <w:tc>
          <w:tcPr>
            <w:tcW w:w="2070" w:type="dxa"/>
          </w:tcPr>
          <w:p w14:paraId="55F46603"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Trypsin</w:t>
            </w:r>
          </w:p>
        </w:tc>
        <w:tc>
          <w:tcPr>
            <w:tcW w:w="3145" w:type="dxa"/>
          </w:tcPr>
          <w:p w14:paraId="1BFA63A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I3M2H8_ICTTR</w:t>
            </w:r>
          </w:p>
        </w:tc>
        <w:tc>
          <w:tcPr>
            <w:tcW w:w="2713" w:type="dxa"/>
          </w:tcPr>
          <w:p w14:paraId="6FCC9F21"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w:t>
            </w:r>
          </w:p>
        </w:tc>
        <w:tc>
          <w:tcPr>
            <w:tcW w:w="1422" w:type="dxa"/>
          </w:tcPr>
          <w:p w14:paraId="1801A310" w14:textId="77777777" w:rsidR="008C2160" w:rsidRPr="00E27817" w:rsidRDefault="008C2160" w:rsidP="006E0A9F">
            <w:pPr>
              <w:snapToGrid w:val="0"/>
              <w:spacing w:line="480" w:lineRule="auto"/>
              <w:textAlignment w:val="baseline"/>
              <w:rPr>
                <w:color w:val="00000A"/>
                <w:sz w:val="24"/>
                <w:szCs w:val="24"/>
              </w:rPr>
            </w:pPr>
            <w:r w:rsidRPr="00E27817">
              <w:rPr>
                <w:color w:val="00000A"/>
                <w:sz w:val="24"/>
                <w:szCs w:val="24"/>
              </w:rPr>
              <w:t>3TGI</w:t>
            </w:r>
          </w:p>
        </w:tc>
      </w:tr>
    </w:tbl>
    <w:p w14:paraId="57F2C3AD" w14:textId="77777777" w:rsidR="00565353" w:rsidRDefault="008C2160">
      <w:r w:rsidRPr="00E27817">
        <w:rPr>
          <w:b/>
          <w:bCs/>
          <w:color w:val="00000A"/>
          <w:sz w:val="24"/>
          <w:szCs w:val="24"/>
        </w:rPr>
        <w:t>Table S1: Reference sequences and PDB structures.</w:t>
      </w:r>
    </w:p>
    <w:sectPr w:rsidR="00565353" w:rsidSect="002E6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F2C7A"/>
    <w:multiLevelType w:val="multilevel"/>
    <w:tmpl w:val="C862D4BE"/>
    <w:lvl w:ilvl="0">
      <w:start w:val="1"/>
      <w:numFmt w:val="upperLetter"/>
      <w:lvlText w:val="%1)"/>
      <w:lvlJc w:val="left"/>
      <w:pPr>
        <w:ind w:left="720" w:hanging="360"/>
      </w:pPr>
      <w:rPr>
        <w:rFonts w:ascii="Palatino Linotype" w:hAnsi="Palatino Linotyp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782E0A"/>
    <w:multiLevelType w:val="multilevel"/>
    <w:tmpl w:val="E474CF7C"/>
    <w:lvl w:ilvl="0">
      <w:start w:val="1"/>
      <w:numFmt w:val="upperLetter"/>
      <w:lvlText w:val="%1)"/>
      <w:lvlJc w:val="left"/>
      <w:pPr>
        <w:ind w:left="720" w:hanging="360"/>
      </w:pPr>
      <w:rPr>
        <w:rFonts w:ascii="Palatino Linotype" w:hAnsi="Palatino Linotyp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60"/>
    <w:rsid w:val="00010BAF"/>
    <w:rsid w:val="00010F59"/>
    <w:rsid w:val="00022111"/>
    <w:rsid w:val="000268DA"/>
    <w:rsid w:val="00027FF4"/>
    <w:rsid w:val="00051F57"/>
    <w:rsid w:val="00082A4A"/>
    <w:rsid w:val="000B3454"/>
    <w:rsid w:val="000B3ACF"/>
    <w:rsid w:val="000C5DE5"/>
    <w:rsid w:val="000F5EF1"/>
    <w:rsid w:val="00106DB2"/>
    <w:rsid w:val="00107907"/>
    <w:rsid w:val="00130063"/>
    <w:rsid w:val="00131363"/>
    <w:rsid w:val="00147AF3"/>
    <w:rsid w:val="0015603F"/>
    <w:rsid w:val="00164398"/>
    <w:rsid w:val="00175BC2"/>
    <w:rsid w:val="001841EE"/>
    <w:rsid w:val="00184DA6"/>
    <w:rsid w:val="00194A3A"/>
    <w:rsid w:val="0019571C"/>
    <w:rsid w:val="001A2520"/>
    <w:rsid w:val="001A3E12"/>
    <w:rsid w:val="001B6C3C"/>
    <w:rsid w:val="001D395B"/>
    <w:rsid w:val="001D3F89"/>
    <w:rsid w:val="001D5BFF"/>
    <w:rsid w:val="001D717F"/>
    <w:rsid w:val="002039C7"/>
    <w:rsid w:val="00223388"/>
    <w:rsid w:val="002277D0"/>
    <w:rsid w:val="00247E5D"/>
    <w:rsid w:val="00263013"/>
    <w:rsid w:val="002E2BE2"/>
    <w:rsid w:val="002E5262"/>
    <w:rsid w:val="002E66ED"/>
    <w:rsid w:val="002F2E63"/>
    <w:rsid w:val="00300D6D"/>
    <w:rsid w:val="00316F30"/>
    <w:rsid w:val="00364CB7"/>
    <w:rsid w:val="00365C37"/>
    <w:rsid w:val="003808E9"/>
    <w:rsid w:val="00383A50"/>
    <w:rsid w:val="00390BFD"/>
    <w:rsid w:val="00397D5E"/>
    <w:rsid w:val="003B1695"/>
    <w:rsid w:val="003C1521"/>
    <w:rsid w:val="003D2303"/>
    <w:rsid w:val="003D2613"/>
    <w:rsid w:val="003D28B8"/>
    <w:rsid w:val="003F043E"/>
    <w:rsid w:val="003F546C"/>
    <w:rsid w:val="00401DF1"/>
    <w:rsid w:val="00427253"/>
    <w:rsid w:val="0047114C"/>
    <w:rsid w:val="00475D52"/>
    <w:rsid w:val="00484B0D"/>
    <w:rsid w:val="004874CF"/>
    <w:rsid w:val="004A586D"/>
    <w:rsid w:val="004A5F45"/>
    <w:rsid w:val="004A7698"/>
    <w:rsid w:val="004C3FB1"/>
    <w:rsid w:val="004D2ADF"/>
    <w:rsid w:val="004E27C3"/>
    <w:rsid w:val="00511592"/>
    <w:rsid w:val="00555F41"/>
    <w:rsid w:val="00560ADE"/>
    <w:rsid w:val="005656D3"/>
    <w:rsid w:val="00596328"/>
    <w:rsid w:val="005A1029"/>
    <w:rsid w:val="005B2BA0"/>
    <w:rsid w:val="005C13AE"/>
    <w:rsid w:val="005E0C15"/>
    <w:rsid w:val="00647821"/>
    <w:rsid w:val="006804D5"/>
    <w:rsid w:val="00693AEC"/>
    <w:rsid w:val="006A5381"/>
    <w:rsid w:val="006B2E3A"/>
    <w:rsid w:val="006B7648"/>
    <w:rsid w:val="006C11CC"/>
    <w:rsid w:val="006C4955"/>
    <w:rsid w:val="006E73FB"/>
    <w:rsid w:val="006E78A1"/>
    <w:rsid w:val="00706F4D"/>
    <w:rsid w:val="007138B9"/>
    <w:rsid w:val="00716C0C"/>
    <w:rsid w:val="00727467"/>
    <w:rsid w:val="007439C7"/>
    <w:rsid w:val="00787BCF"/>
    <w:rsid w:val="007942C7"/>
    <w:rsid w:val="007A0259"/>
    <w:rsid w:val="007F1D5D"/>
    <w:rsid w:val="00827F26"/>
    <w:rsid w:val="008537DE"/>
    <w:rsid w:val="0087143A"/>
    <w:rsid w:val="008775AA"/>
    <w:rsid w:val="00884985"/>
    <w:rsid w:val="008C2160"/>
    <w:rsid w:val="008C6795"/>
    <w:rsid w:val="008C6834"/>
    <w:rsid w:val="008E3F57"/>
    <w:rsid w:val="008F1A9D"/>
    <w:rsid w:val="00914346"/>
    <w:rsid w:val="00920D4B"/>
    <w:rsid w:val="00924A71"/>
    <w:rsid w:val="009339F2"/>
    <w:rsid w:val="009D4F7D"/>
    <w:rsid w:val="009D66C1"/>
    <w:rsid w:val="00A134BF"/>
    <w:rsid w:val="00A31A6B"/>
    <w:rsid w:val="00A42C4D"/>
    <w:rsid w:val="00A447C3"/>
    <w:rsid w:val="00A508E9"/>
    <w:rsid w:val="00A50AE4"/>
    <w:rsid w:val="00A72262"/>
    <w:rsid w:val="00A76CFD"/>
    <w:rsid w:val="00A93F39"/>
    <w:rsid w:val="00A967AB"/>
    <w:rsid w:val="00AF21FB"/>
    <w:rsid w:val="00AF7384"/>
    <w:rsid w:val="00B16188"/>
    <w:rsid w:val="00B21F8B"/>
    <w:rsid w:val="00B30827"/>
    <w:rsid w:val="00B6250E"/>
    <w:rsid w:val="00B70B08"/>
    <w:rsid w:val="00BB2648"/>
    <w:rsid w:val="00BC52B4"/>
    <w:rsid w:val="00BC7113"/>
    <w:rsid w:val="00BC71AE"/>
    <w:rsid w:val="00BD332D"/>
    <w:rsid w:val="00BF79CE"/>
    <w:rsid w:val="00C01BD7"/>
    <w:rsid w:val="00C02842"/>
    <w:rsid w:val="00C22CBB"/>
    <w:rsid w:val="00C265E6"/>
    <w:rsid w:val="00C31636"/>
    <w:rsid w:val="00C33F6F"/>
    <w:rsid w:val="00C83190"/>
    <w:rsid w:val="00C873FE"/>
    <w:rsid w:val="00CB5C54"/>
    <w:rsid w:val="00CC01C5"/>
    <w:rsid w:val="00CE3C1E"/>
    <w:rsid w:val="00CF0A76"/>
    <w:rsid w:val="00D3186B"/>
    <w:rsid w:val="00D50F76"/>
    <w:rsid w:val="00D8138E"/>
    <w:rsid w:val="00D9013B"/>
    <w:rsid w:val="00DA3ABF"/>
    <w:rsid w:val="00DB038A"/>
    <w:rsid w:val="00DB5BDB"/>
    <w:rsid w:val="00DE151F"/>
    <w:rsid w:val="00DF0B5D"/>
    <w:rsid w:val="00DF696D"/>
    <w:rsid w:val="00E2094B"/>
    <w:rsid w:val="00EC053B"/>
    <w:rsid w:val="00EC2E87"/>
    <w:rsid w:val="00EF26C2"/>
    <w:rsid w:val="00F035EB"/>
    <w:rsid w:val="00F05365"/>
    <w:rsid w:val="00F14FEC"/>
    <w:rsid w:val="00F20EBF"/>
    <w:rsid w:val="00F223BC"/>
    <w:rsid w:val="00F23AE3"/>
    <w:rsid w:val="00F609B0"/>
    <w:rsid w:val="00F73B84"/>
    <w:rsid w:val="00F749F2"/>
    <w:rsid w:val="00F75FFD"/>
    <w:rsid w:val="00F9409D"/>
    <w:rsid w:val="00FC49A4"/>
    <w:rsid w:val="00FC4FE6"/>
    <w:rsid w:val="00FE1DAD"/>
    <w:rsid w:val="00FE7B70"/>
    <w:rsid w:val="00FF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64D116"/>
  <w15:chartTrackingRefBased/>
  <w15:docId w15:val="{EA552550-B433-3D4A-A9D6-00DFA431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60"/>
    <w:rPr>
      <w:rFonts w:ascii="Palatino Linotype" w:eastAsia="Arial Unicode MS" w:hAnsi="Palatino Linotype" w:cs="Calibri"/>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79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6795"/>
    <w:rPr>
      <w:rFonts w:ascii="Times New Roman" w:hAnsi="Times New Roman" w:cs="Times New Roman"/>
      <w:sz w:val="18"/>
      <w:szCs w:val="18"/>
    </w:rPr>
  </w:style>
  <w:style w:type="paragraph" w:styleId="ListParagraph">
    <w:name w:val="List Paragraph"/>
    <w:qFormat/>
    <w:rsid w:val="008C2160"/>
    <w:pPr>
      <w:ind w:left="720"/>
    </w:pPr>
    <w:rPr>
      <w:rFonts w:ascii="Calibri" w:eastAsia="Calibri" w:hAnsi="Calibri" w:cs="Calibri"/>
      <w:color w:val="000000"/>
    </w:rPr>
  </w:style>
  <w:style w:type="table" w:styleId="TableGrid">
    <w:name w:val="Table Grid"/>
    <w:basedOn w:val="TableNormal"/>
    <w:uiPriority w:val="39"/>
    <w:rsid w:val="008C2160"/>
    <w:rPr>
      <w:rFonts w:ascii="Palatino Linotype" w:eastAsia="Arial Unicode MS" w:hAnsi="Palatino Linotype"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qFormat/>
    <w:rsid w:val="008C2160"/>
    <w:rPr>
      <w:rFonts w:ascii="Calibri" w:eastAsia="Calibri" w:hAnsi="Calibri" w:cs="Calibri"/>
      <w:color w:val="000000"/>
    </w:rPr>
  </w:style>
  <w:style w:type="character" w:styleId="Hyperlink">
    <w:name w:val="Hyperlink"/>
    <w:basedOn w:val="DefaultParagraphFont"/>
    <w:uiPriority w:val="99"/>
    <w:unhideWhenUsed/>
    <w:rsid w:val="008C2160"/>
    <w:rPr>
      <w:color w:val="0563C1" w:themeColor="hyperlink"/>
      <w:u w:val="single"/>
    </w:rPr>
  </w:style>
  <w:style w:type="character" w:styleId="UnresolvedMention">
    <w:name w:val="Unresolved Mention"/>
    <w:basedOn w:val="DefaultParagraphFont"/>
    <w:uiPriority w:val="99"/>
    <w:semiHidden/>
    <w:unhideWhenUsed/>
    <w:rsid w:val="008C2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hyperlink" Target="mailto:kchuang@stanford.ed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Kerwyn C Huang PhD.</dc:creator>
  <cp:keywords/>
  <dc:description/>
  <cp:lastModifiedBy>Kerwyn C Huang PhD.</cp:lastModifiedBy>
  <cp:revision>1</cp:revision>
  <dcterms:created xsi:type="dcterms:W3CDTF">2021-12-02T20:27:00Z</dcterms:created>
  <dcterms:modified xsi:type="dcterms:W3CDTF">2021-12-02T20:29:00Z</dcterms:modified>
</cp:coreProperties>
</file>