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FBDC7" w14:textId="37182988" w:rsidR="0066472A" w:rsidRPr="00EE6A7B" w:rsidRDefault="0066472A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56117A2" w14:textId="762A0C6D" w:rsidR="002351C7" w:rsidRPr="00EE6A7B" w:rsidRDefault="002351C7" w:rsidP="002351C7">
      <w:pPr>
        <w:rPr>
          <w:rFonts w:ascii="Times New Roman" w:hAnsi="Times New Roman" w:cs="Times New Roman"/>
          <w:b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>Supplemental Figure legends</w:t>
      </w:r>
    </w:p>
    <w:p w14:paraId="6C0436AD" w14:textId="77777777" w:rsidR="002351C7" w:rsidRPr="00EE6A7B" w:rsidRDefault="002351C7" w:rsidP="00FA5E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6E39422" w14:textId="01606966" w:rsidR="00FA5E4B" w:rsidRPr="00EE6A7B" w:rsidRDefault="00D4314D" w:rsidP="00FA5E4B">
      <w:pPr>
        <w:rPr>
          <w:rFonts w:ascii="Times New Roman" w:hAnsi="Times New Roman" w:cs="Times New Roman"/>
          <w:bCs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FA5E4B" w:rsidRPr="00EE6A7B">
        <w:rPr>
          <w:rFonts w:ascii="Times New Roman" w:hAnsi="Times New Roman" w:cs="Times New Roman"/>
          <w:b/>
          <w:sz w:val="24"/>
          <w:szCs w:val="24"/>
        </w:rPr>
        <w:t>1</w:t>
      </w:r>
      <w:r w:rsidR="001A28D3" w:rsidRPr="00EE6A7B">
        <w:rPr>
          <w:rFonts w:ascii="Times New Roman" w:hAnsi="Times New Roman" w:cs="Times New Roman"/>
          <w:b/>
          <w:sz w:val="24"/>
          <w:szCs w:val="24"/>
        </w:rPr>
        <w:t>.</w:t>
      </w:r>
      <w:r w:rsidR="006868F5" w:rsidRPr="00EE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A r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egion of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i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nterest (ROI) </w:t>
      </w:r>
      <w:r w:rsidR="00FB78FF" w:rsidRPr="00EE6A7B">
        <w:rPr>
          <w:rFonts w:ascii="Times New Roman" w:hAnsi="Times New Roman" w:cs="Times New Roman"/>
          <w:bCs/>
          <w:sz w:val="24"/>
          <w:szCs w:val="24"/>
        </w:rPr>
        <w:t>placed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over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48D7" w:rsidRPr="00EE6A7B">
        <w:rPr>
          <w:rFonts w:ascii="Times New Roman" w:hAnsi="Times New Roman" w:cs="Times New Roman"/>
          <w:bCs/>
          <w:sz w:val="24"/>
          <w:szCs w:val="24"/>
        </w:rPr>
        <w:t>intra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-a</w:t>
      </w:r>
      <w:r w:rsidR="00A748D7" w:rsidRPr="00EE6A7B">
        <w:rPr>
          <w:rFonts w:ascii="Times New Roman" w:hAnsi="Times New Roman" w:cs="Times New Roman"/>
          <w:bCs/>
          <w:sz w:val="24"/>
          <w:szCs w:val="24"/>
        </w:rPr>
        <w:t>orta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-</w:t>
      </w:r>
      <w:r w:rsidR="00A748D7" w:rsidRPr="00EE6A7B">
        <w:rPr>
          <w:rFonts w:ascii="Times New Roman" w:hAnsi="Times New Roman" w:cs="Times New Roman"/>
          <w:bCs/>
          <w:sz w:val="24"/>
          <w:szCs w:val="24"/>
        </w:rPr>
        <w:t xml:space="preserve">area (orange allow) and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the vertebral body of 5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vertebrae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(Th8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–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Th12</w:t>
      </w:r>
      <w:r w:rsidR="00A748D7" w:rsidRPr="00EE6A7B">
        <w:rPr>
          <w:rFonts w:ascii="Times New Roman" w:hAnsi="Times New Roman" w:cs="Times New Roman"/>
          <w:bCs/>
          <w:sz w:val="24"/>
          <w:szCs w:val="24"/>
        </w:rPr>
        <w:t>, blue allow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)</w:t>
      </w:r>
      <w:r w:rsidR="00F665EC" w:rsidRPr="00EE6A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B6B3B8" w14:textId="77777777" w:rsidR="00FA5E4B" w:rsidRPr="00EE6A7B" w:rsidRDefault="00FA5E4B" w:rsidP="00FA5E4B">
      <w:pPr>
        <w:rPr>
          <w:rFonts w:ascii="Times New Roman" w:hAnsi="Times New Roman" w:cs="Times New Roman"/>
          <w:bCs/>
          <w:sz w:val="24"/>
          <w:szCs w:val="24"/>
        </w:rPr>
      </w:pPr>
    </w:p>
    <w:p w14:paraId="6E6FF74E" w14:textId="6B78FEFD" w:rsidR="00551B66" w:rsidRPr="00EE6A7B" w:rsidRDefault="00D4314D" w:rsidP="00551B66">
      <w:pPr>
        <w:rPr>
          <w:rFonts w:ascii="Times New Roman" w:hAnsi="Times New Roman" w:cs="Times New Roman"/>
          <w:bCs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FA5E4B" w:rsidRPr="00EE6A7B">
        <w:rPr>
          <w:rFonts w:ascii="Times New Roman" w:hAnsi="Times New Roman" w:cs="Times New Roman"/>
          <w:b/>
          <w:sz w:val="24"/>
          <w:szCs w:val="24"/>
        </w:rPr>
        <w:t>2</w:t>
      </w:r>
      <w:r w:rsidR="001A28D3" w:rsidRPr="00EE6A7B">
        <w:rPr>
          <w:rFonts w:ascii="Times New Roman" w:hAnsi="Times New Roman" w:cs="Times New Roman"/>
          <w:b/>
          <w:sz w:val="24"/>
          <w:szCs w:val="24"/>
        </w:rPr>
        <w:t>.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Receiver operating characteristic curves for</w:t>
      </w:r>
      <w:r w:rsidR="006A64B6" w:rsidRPr="00EE6A7B">
        <w:rPr>
          <w:rFonts w:ascii="Times New Roman" w:hAnsi="Times New Roman" w:cs="Times New Roman"/>
          <w:bCs/>
          <w:sz w:val="24"/>
          <w:szCs w:val="24"/>
        </w:rPr>
        <w:t xml:space="preserve"> (A) </w:t>
      </w:r>
      <w:r w:rsidR="008C3DE0" w:rsidRPr="00EE6A7B">
        <w:rPr>
          <w:rFonts w:ascii="Times New Roman" w:hAnsi="Times New Roman" w:cs="Times New Roman"/>
          <w:sz w:val="24"/>
          <w:szCs w:val="24"/>
        </w:rPr>
        <w:t xml:space="preserve">maximum standardized uptake value (SUVmax) </w:t>
      </w:r>
      <w:r w:rsidR="006A64B6" w:rsidRPr="00EE6A7B">
        <w:rPr>
          <w:rFonts w:ascii="Times New Roman" w:hAnsi="Times New Roman" w:cs="Times New Roman"/>
          <w:bCs/>
          <w:sz w:val="24"/>
          <w:szCs w:val="24"/>
        </w:rPr>
        <w:t xml:space="preserve">and (B) </w:t>
      </w:r>
      <w:r w:rsidR="008C3DE0" w:rsidRPr="00EE6A7B">
        <w:rPr>
          <w:rFonts w:ascii="Times New Roman" w:hAnsi="Times New Roman" w:cs="Times New Roman"/>
          <w:sz w:val="24"/>
          <w:szCs w:val="24"/>
        </w:rPr>
        <w:t xml:space="preserve">BM-to-aorta uptake ratio (BAR)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for predicting </w:t>
      </w:r>
      <w:r w:rsidR="00623549" w:rsidRPr="00EE6A7B">
        <w:rPr>
          <w:rFonts w:ascii="Times New Roman" w:hAnsi="Times New Roman" w:cs="Times New Roman"/>
          <w:bCs/>
          <w:sz w:val="24"/>
          <w:szCs w:val="24"/>
        </w:rPr>
        <w:t>progression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FEEC2B" w14:textId="77777777" w:rsidR="00FA5E4B" w:rsidRPr="00EE6A7B" w:rsidRDefault="00FA5E4B" w:rsidP="00FA5E4B">
      <w:pPr>
        <w:rPr>
          <w:rFonts w:ascii="Times New Roman" w:hAnsi="Times New Roman" w:cs="Times New Roman"/>
          <w:bCs/>
          <w:sz w:val="24"/>
          <w:szCs w:val="24"/>
        </w:rPr>
      </w:pPr>
    </w:p>
    <w:p w14:paraId="638E638A" w14:textId="591AA7E9" w:rsidR="005E7C0B" w:rsidRPr="00EE6A7B" w:rsidRDefault="00551B66" w:rsidP="00FA5E4B">
      <w:pPr>
        <w:rPr>
          <w:rFonts w:ascii="Times New Roman" w:hAnsi="Times New Roman" w:cs="Times New Roman"/>
          <w:bCs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30749A" w:rsidRPr="00EE6A7B">
        <w:rPr>
          <w:rFonts w:ascii="Times New Roman" w:hAnsi="Times New Roman" w:cs="Times New Roman"/>
          <w:b/>
          <w:sz w:val="24"/>
          <w:szCs w:val="24"/>
        </w:rPr>
        <w:t>3</w:t>
      </w:r>
      <w:r w:rsidR="0067640B" w:rsidRPr="00EE6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 xml:space="preserve">BM FDG-uptake in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 xml:space="preserve">gynecologic cancer. Kaplan–Meier estimates of progression-free survival in (A)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>cervical cancer (hi</w:t>
      </w:r>
      <w:r w:rsidR="00554E56" w:rsidRPr="00EE6A7B">
        <w:rPr>
          <w:rFonts w:ascii="Times New Roman" w:hAnsi="Times New Roman" w:cs="Times New Roman"/>
          <w:bCs/>
          <w:sz w:val="24"/>
          <w:szCs w:val="24"/>
        </w:rPr>
        <w:t>gher-BM SUVmax group vs. lower-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>BM SUVmax group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 xml:space="preserve"> n=231) (B)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>endometrial cancer (higher-BM SUVmax group vs. lower-BM SUVmax group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 xml:space="preserve"> n=161) and (C) 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>ovarian cancer (higher-BM SUVmax group vs. lower- BM SUVmax group</w:t>
      </w:r>
      <w:r w:rsidR="008C3DE0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 xml:space="preserve"> n=167).</w:t>
      </w:r>
    </w:p>
    <w:p w14:paraId="688D8F4E" w14:textId="77777777" w:rsidR="005E7C0B" w:rsidRPr="00EE6A7B" w:rsidRDefault="005E7C0B" w:rsidP="00FA5E4B">
      <w:pPr>
        <w:rPr>
          <w:rFonts w:ascii="Times New Roman" w:hAnsi="Times New Roman" w:cs="Times New Roman"/>
          <w:bCs/>
          <w:sz w:val="24"/>
          <w:szCs w:val="24"/>
        </w:rPr>
      </w:pPr>
    </w:p>
    <w:p w14:paraId="28B70524" w14:textId="45F451FB" w:rsidR="00FA5E4B" w:rsidRPr="00EE6A7B" w:rsidRDefault="00D4314D" w:rsidP="00551B66">
      <w:pPr>
        <w:rPr>
          <w:rFonts w:ascii="Times New Roman" w:hAnsi="Times New Roman" w:cs="Times New Roman"/>
          <w:bCs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30749A" w:rsidRPr="00EE6A7B">
        <w:rPr>
          <w:rFonts w:ascii="Times New Roman" w:hAnsi="Times New Roman" w:cs="Times New Roman"/>
          <w:b/>
          <w:sz w:val="24"/>
          <w:szCs w:val="24"/>
        </w:rPr>
        <w:t>4</w:t>
      </w:r>
      <w:r w:rsidR="001A28D3" w:rsidRPr="00EE6A7B">
        <w:rPr>
          <w:rFonts w:ascii="Times New Roman" w:hAnsi="Times New Roman" w:cs="Times New Roman"/>
          <w:b/>
          <w:sz w:val="24"/>
          <w:szCs w:val="24"/>
        </w:rPr>
        <w:t>.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7C0B" w:rsidRPr="00EE6A7B">
        <w:rPr>
          <w:rFonts w:ascii="Times New Roman" w:hAnsi="Times New Roman" w:cs="Times New Roman"/>
          <w:bCs/>
          <w:sz w:val="24"/>
          <w:szCs w:val="24"/>
        </w:rPr>
        <w:t xml:space="preserve">BAR </w:t>
      </w:r>
      <w:r w:rsidR="004C03FD" w:rsidRPr="00EE6A7B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4C03FD" w:rsidRPr="00EE6A7B">
        <w:rPr>
          <w:rFonts w:ascii="Times New Roman" w:hAnsi="Times New Roman" w:cs="Times New Roman"/>
          <w:bCs/>
          <w:sz w:val="24"/>
          <w:szCs w:val="24"/>
        </w:rPr>
        <w:t xml:space="preserve">gynecologic cancer.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(A) Kaplan–Meier estimates of progression-free survival in (i)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early stage ovarian cancer (higher-BAR group vs. lower-BAR group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n=80) and (ii) all </w:t>
      </w:r>
      <w:r w:rsidR="00E07344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ovarian cancer (higher-BAR group vs. lower-BAR group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n=167) (B) Kaplan–Meier estimates of progression-free survival in (i)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early stage endometrial cancer (higher-BAR group vs. lower-BAR group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n=48) and (ii) all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>endometrial cancer (higher-BAR group vs. lower-BAR group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;</w:t>
      </w:r>
      <w:r w:rsidR="00FA5E4B" w:rsidRPr="00EE6A7B">
        <w:rPr>
          <w:rFonts w:ascii="Times New Roman" w:hAnsi="Times New Roman" w:cs="Times New Roman"/>
          <w:bCs/>
          <w:sz w:val="24"/>
          <w:szCs w:val="24"/>
        </w:rPr>
        <w:t xml:space="preserve"> n=161)</w:t>
      </w:r>
      <w:r w:rsidR="00F665EC" w:rsidRPr="00EE6A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4CEF8D" w14:textId="77777777" w:rsidR="00FA5E4B" w:rsidRPr="00EE6A7B" w:rsidRDefault="00FA5E4B" w:rsidP="00FA5E4B">
      <w:pPr>
        <w:rPr>
          <w:rFonts w:ascii="Times New Roman" w:hAnsi="Times New Roman" w:cs="Times New Roman"/>
          <w:bCs/>
          <w:sz w:val="24"/>
          <w:szCs w:val="24"/>
        </w:rPr>
      </w:pPr>
    </w:p>
    <w:p w14:paraId="51B1226D" w14:textId="36F8A611" w:rsidR="00200803" w:rsidRPr="00EE6A7B" w:rsidRDefault="00FA5E4B" w:rsidP="00FA5E4B">
      <w:pPr>
        <w:rPr>
          <w:rFonts w:ascii="Times New Roman" w:hAnsi="Times New Roman" w:cs="Times New Roman"/>
          <w:bCs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>Supplementa</w:t>
      </w:r>
      <w:r w:rsidR="00D4314D" w:rsidRPr="00EE6A7B">
        <w:rPr>
          <w:rFonts w:ascii="Times New Roman" w:hAnsi="Times New Roman" w:cs="Times New Roman"/>
          <w:b/>
          <w:sz w:val="24"/>
          <w:szCs w:val="24"/>
        </w:rPr>
        <w:t xml:space="preserve">l Figure </w:t>
      </w:r>
      <w:r w:rsidR="0030749A" w:rsidRPr="00EE6A7B">
        <w:rPr>
          <w:rFonts w:ascii="Times New Roman" w:hAnsi="Times New Roman" w:cs="Times New Roman"/>
          <w:b/>
          <w:sz w:val="24"/>
          <w:szCs w:val="24"/>
        </w:rPr>
        <w:t>5</w:t>
      </w:r>
      <w:r w:rsidR="001A28D3" w:rsidRPr="00EE6A7B">
        <w:rPr>
          <w:rFonts w:ascii="Times New Roman" w:hAnsi="Times New Roman" w:cs="Times New Roman"/>
          <w:b/>
          <w:sz w:val="24"/>
          <w:szCs w:val="24"/>
        </w:rPr>
        <w:t>.</w:t>
      </w:r>
      <w:r w:rsidRPr="00EE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Correlation between BAR with hematologic parameters in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 xml:space="preserve">patients with 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cervical cancer. (A) Hemoglobin level, (B)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platelets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, (C) RBC count, (D)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lymphocytes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, (E)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monocytes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, (F)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eosinophils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, and (G) </w:t>
      </w:r>
      <w:r w:rsidR="00AE4C62" w:rsidRPr="00EE6A7B">
        <w:rPr>
          <w:rFonts w:ascii="Times New Roman" w:hAnsi="Times New Roman" w:cs="Times New Roman"/>
          <w:bCs/>
          <w:sz w:val="24"/>
          <w:szCs w:val="24"/>
        </w:rPr>
        <w:t>basophils</w:t>
      </w:r>
      <w:r w:rsidRPr="00EE6A7B">
        <w:rPr>
          <w:rFonts w:ascii="Times New Roman" w:hAnsi="Times New Roman" w:cs="Times New Roman"/>
          <w:bCs/>
          <w:sz w:val="24"/>
          <w:szCs w:val="24"/>
        </w:rPr>
        <w:t>. Spearman correlation coefficient was used for analysis.</w:t>
      </w:r>
      <w:r w:rsidR="006E6EA4" w:rsidRPr="00EE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EA4" w:rsidRPr="00EE6A7B">
        <w:rPr>
          <w:rFonts w:ascii="Times New Roman" w:eastAsia="MS PGothic" w:hAnsi="Times New Roman" w:cs="Times New Roman"/>
          <w:kern w:val="0"/>
          <w:sz w:val="24"/>
          <w:szCs w:val="24"/>
        </w:rPr>
        <w:t>The black circle</w:t>
      </w:r>
      <w:r w:rsidR="006E6EA4" w:rsidRPr="00EE6A7B">
        <w:rPr>
          <w:rFonts w:ascii="Times New Roman" w:eastAsia="MS PGothic" w:hAnsi="Times New Roman" w:cs="Times New Roman" w:hint="eastAsia"/>
          <w:kern w:val="0"/>
          <w:sz w:val="24"/>
          <w:szCs w:val="24"/>
        </w:rPr>
        <w:t>;</w:t>
      </w:r>
      <w:r w:rsidR="006E6EA4" w:rsidRPr="00EE6A7B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 a density ellipse indicating correlation with a 95% confidence interval.</w:t>
      </w:r>
    </w:p>
    <w:p w14:paraId="592CFF5C" w14:textId="77777777" w:rsidR="00B925F1" w:rsidRPr="00EE6A7B" w:rsidRDefault="00B925F1" w:rsidP="00FA5E4B">
      <w:pPr>
        <w:rPr>
          <w:rFonts w:ascii="Times New Roman" w:hAnsi="Times New Roman" w:cs="Times New Roman"/>
          <w:b/>
          <w:sz w:val="24"/>
          <w:szCs w:val="24"/>
        </w:rPr>
      </w:pPr>
    </w:p>
    <w:p w14:paraId="58243EC2" w14:textId="5B136B34" w:rsidR="001D36ED" w:rsidRPr="00EE6A7B" w:rsidRDefault="00B21CE1" w:rsidP="00FA5E4B">
      <w:pPr>
        <w:rPr>
          <w:rFonts w:ascii="Times New Roman" w:hAnsi="Times New Roman"/>
          <w:sz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>Supplemental Figure</w:t>
      </w:r>
      <w:r w:rsidR="00551B66" w:rsidRPr="00EE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749A" w:rsidRPr="00EE6A7B">
        <w:rPr>
          <w:rFonts w:ascii="Times New Roman" w:hAnsi="Times New Roman" w:cs="Times New Roman"/>
          <w:b/>
          <w:sz w:val="24"/>
          <w:szCs w:val="24"/>
        </w:rPr>
        <w:t>6</w:t>
      </w:r>
      <w:r w:rsidR="00B925F1" w:rsidRPr="00EE6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1B66" w:rsidRPr="00EE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6ED" w:rsidRPr="00EE6A7B">
        <w:rPr>
          <w:rFonts w:ascii="Times New Roman" w:hAnsi="Times New Roman"/>
          <w:sz w:val="24"/>
        </w:rPr>
        <w:t>(</w:t>
      </w:r>
      <w:r w:rsidR="001D36ED" w:rsidRPr="00EE6A7B">
        <w:rPr>
          <w:rFonts w:ascii="Times New Roman" w:hAnsi="Times New Roman" w:hint="eastAsia"/>
          <w:sz w:val="24"/>
        </w:rPr>
        <w:t>A</w:t>
      </w:r>
      <w:r w:rsidR="001D36ED" w:rsidRPr="00EE6A7B">
        <w:rPr>
          <w:rFonts w:ascii="Times New Roman" w:hAnsi="Times New Roman"/>
          <w:sz w:val="24"/>
        </w:rPr>
        <w:t>)</w:t>
      </w:r>
      <w:r w:rsidR="001D36ED" w:rsidRPr="002E235E">
        <w:rPr>
          <w:rFonts w:ascii="Times New Roman" w:hAnsi="Times New Roman"/>
          <w:color w:val="000000" w:themeColor="text1"/>
          <w:sz w:val="24"/>
        </w:rPr>
        <w:t xml:space="preserve"> </w:t>
      </w:r>
      <w:r w:rsidR="008C3DF4" w:rsidRPr="002E235E">
        <w:rPr>
          <w:rFonts w:ascii="Times New Roman" w:hAnsi="Times New Roman"/>
          <w:color w:val="000000" w:themeColor="text1"/>
          <w:sz w:val="24"/>
        </w:rPr>
        <w:t xml:space="preserve">Full-length agarose gel electrophoresis of RT-PCR products for the expressions of G-CSF mRNA </w:t>
      </w:r>
      <w:r w:rsidR="001D36ED" w:rsidRPr="002E235E">
        <w:rPr>
          <w:rFonts w:ascii="Times New Roman" w:hAnsi="Times New Roman"/>
          <w:color w:val="000000" w:themeColor="text1"/>
          <w:sz w:val="24"/>
        </w:rPr>
        <w:t xml:space="preserve">in </w:t>
      </w:r>
      <w:r w:rsidR="008C3DF4" w:rsidRPr="002E235E">
        <w:rPr>
          <w:rFonts w:ascii="Times New Roman" w:hAnsi="Times New Roman"/>
          <w:color w:val="000000" w:themeColor="text1"/>
          <w:sz w:val="24"/>
        </w:rPr>
        <w:t xml:space="preserve">ME-180-G-CSF, ME-180-control, ID-8-G-CSF, ID-8-control, Ishikawa-G-CSF or </w:t>
      </w:r>
      <w:r w:rsidR="001D36ED" w:rsidRPr="002E235E">
        <w:rPr>
          <w:rFonts w:ascii="Times New Roman" w:hAnsi="Times New Roman"/>
          <w:color w:val="000000" w:themeColor="text1"/>
          <w:sz w:val="24"/>
        </w:rPr>
        <w:t>Ishikawa</w:t>
      </w:r>
      <w:r w:rsidR="008C3DF4" w:rsidRPr="002E235E">
        <w:rPr>
          <w:rFonts w:ascii="Times New Roman" w:hAnsi="Times New Roman"/>
          <w:color w:val="000000" w:themeColor="text1"/>
          <w:sz w:val="24"/>
        </w:rPr>
        <w:t xml:space="preserve">-control </w:t>
      </w:r>
      <w:r w:rsidR="001D36ED" w:rsidRPr="002E235E">
        <w:rPr>
          <w:rFonts w:ascii="Times New Roman" w:hAnsi="Times New Roman"/>
          <w:color w:val="000000" w:themeColor="text1"/>
          <w:sz w:val="24"/>
        </w:rPr>
        <w:t>cell</w:t>
      </w:r>
      <w:r w:rsidR="001D36ED" w:rsidRPr="002E235E">
        <w:rPr>
          <w:rFonts w:ascii="Times New Roman" w:hAnsi="Times New Roman" w:hint="eastAsia"/>
          <w:color w:val="000000" w:themeColor="text1"/>
          <w:sz w:val="24"/>
        </w:rPr>
        <w:t>s.</w:t>
      </w:r>
      <w:r w:rsidR="001D36ED" w:rsidRPr="002E235E">
        <w:rPr>
          <w:rFonts w:ascii="Times New Roman" w:hAnsi="Times New Roman"/>
          <w:color w:val="000000" w:themeColor="text1"/>
          <w:sz w:val="24"/>
        </w:rPr>
        <w:t xml:space="preserve"> G-CSF and</w:t>
      </w:r>
      <w:r w:rsidR="002E235E">
        <w:rPr>
          <w:rFonts w:ascii="Times New Roman" w:hAnsi="Times New Roman"/>
          <w:color w:val="000000" w:themeColor="text1"/>
          <w:sz w:val="24"/>
        </w:rPr>
        <w:t xml:space="preserve"> </w:t>
      </w:r>
      <w:r w:rsidR="002E235E" w:rsidRPr="002E235E">
        <w:rPr>
          <w:rFonts w:ascii="Symbol" w:hAnsi="Symbol"/>
          <w:color w:val="000000" w:themeColor="text1"/>
          <w:sz w:val="24"/>
        </w:rPr>
        <w:t></w:t>
      </w:r>
      <w:r w:rsidR="008C3DF4" w:rsidRPr="002E235E">
        <w:rPr>
          <w:rFonts w:ascii="Times New Roman" w:hAnsi="Times New Roman"/>
          <w:color w:val="000000" w:themeColor="text1"/>
          <w:sz w:val="24"/>
        </w:rPr>
        <w:t>-actin mRNA levels of</w:t>
      </w:r>
      <w:r w:rsidR="001D36ED" w:rsidRPr="002E235E">
        <w:rPr>
          <w:rFonts w:ascii="Times New Roman" w:hAnsi="Times New Roman"/>
          <w:color w:val="000000" w:themeColor="text1"/>
          <w:sz w:val="24"/>
        </w:rPr>
        <w:t xml:space="preserve"> cells that had been incubated in the presence of 10% of FBS were assessed by RT-PCR. </w:t>
      </w:r>
      <w:r w:rsidR="001D36ED" w:rsidRPr="002E235E">
        <w:rPr>
          <w:rFonts w:ascii="Times New Roman" w:hAnsi="Times New Roman" w:hint="eastAsia"/>
          <w:color w:val="000000" w:themeColor="text1"/>
          <w:sz w:val="24"/>
        </w:rPr>
        <w:t xml:space="preserve">(B) </w:t>
      </w:r>
      <w:r w:rsidR="001D36ED" w:rsidRPr="002E2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effect of tumor-derived G-CSF on the BM FDG-uptake in </w:t>
      </w:r>
      <w:r w:rsidR="001D36ED" w:rsidRPr="002E235E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en</w:t>
      </w:r>
      <w:r w:rsidR="001D36ED" w:rsidRPr="002E2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="001D36ED" w:rsidRPr="002E235E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ometrial</w:t>
      </w:r>
      <w:r w:rsidR="001D36ED" w:rsidRPr="002E2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cancer model rats.</w:t>
      </w:r>
    </w:p>
    <w:p w14:paraId="6B7974E1" w14:textId="77777777" w:rsidR="001D36ED" w:rsidRPr="00EE6A7B" w:rsidRDefault="001D36ED" w:rsidP="00FA5E4B">
      <w:pPr>
        <w:rPr>
          <w:rFonts w:ascii="Times New Roman" w:hAnsi="Times New Roman" w:cs="Times New Roman"/>
          <w:b/>
          <w:sz w:val="24"/>
          <w:szCs w:val="24"/>
        </w:rPr>
      </w:pPr>
    </w:p>
    <w:p w14:paraId="4752F3A7" w14:textId="2A4555CE" w:rsidR="00B925F1" w:rsidRPr="00EE6A7B" w:rsidRDefault="001D36ED" w:rsidP="00FA5E4B">
      <w:pPr>
        <w:rPr>
          <w:rFonts w:ascii="Times New Roman" w:hAnsi="Times New Roman" w:cs="Times New Roman"/>
          <w:bCs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30749A" w:rsidRPr="00EE6A7B">
        <w:rPr>
          <w:rFonts w:ascii="Times New Roman" w:hAnsi="Times New Roman" w:cs="Times New Roman"/>
          <w:b/>
          <w:sz w:val="24"/>
          <w:szCs w:val="24"/>
        </w:rPr>
        <w:t>7</w:t>
      </w:r>
      <w:r w:rsidRPr="00EE6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25F1" w:rsidRPr="00EE6A7B">
        <w:rPr>
          <w:rFonts w:ascii="Times New Roman" w:hAnsi="Times New Roman" w:cs="Times New Roman"/>
          <w:bCs/>
          <w:sz w:val="24"/>
          <w:szCs w:val="24"/>
        </w:rPr>
        <w:t xml:space="preserve">The effect of tumor-derived G-CSF on MDSC accumulation in subcutaneously inoculated tumors (mouse model of cervical cancer). ME180-G-CSF or ME180-control cells were subcutaneously inoculated into C57BL/6 mice (n=6, for each group). Three weeks after the inoculation, their </w:t>
      </w:r>
      <w:r w:rsidR="000B59DC" w:rsidRPr="00EE6A7B">
        <w:rPr>
          <w:rFonts w:ascii="Times New Roman" w:hAnsi="Times New Roman" w:cs="Times New Roman"/>
          <w:bCs/>
          <w:sz w:val="24"/>
          <w:szCs w:val="24"/>
        </w:rPr>
        <w:t xml:space="preserve">tumor cells </w:t>
      </w:r>
      <w:r w:rsidR="00B925F1" w:rsidRPr="00EE6A7B">
        <w:rPr>
          <w:rFonts w:ascii="Times New Roman" w:hAnsi="Times New Roman" w:cs="Times New Roman"/>
          <w:bCs/>
          <w:sz w:val="24"/>
          <w:szCs w:val="24"/>
        </w:rPr>
        <w:t>w</w:t>
      </w:r>
      <w:r w:rsidR="000B59DC" w:rsidRPr="00EE6A7B">
        <w:rPr>
          <w:rFonts w:ascii="Times New Roman" w:hAnsi="Times New Roman" w:cs="Times New Roman"/>
          <w:bCs/>
          <w:sz w:val="24"/>
          <w:szCs w:val="24"/>
        </w:rPr>
        <w:t>ere</w:t>
      </w:r>
      <w:r w:rsidR="00B925F1" w:rsidRPr="00EE6A7B">
        <w:rPr>
          <w:rFonts w:ascii="Times New Roman" w:hAnsi="Times New Roman" w:cs="Times New Roman"/>
          <w:bCs/>
          <w:sz w:val="24"/>
          <w:szCs w:val="24"/>
        </w:rPr>
        <w:t xml:space="preserve"> collected for analyses. (i) CD11b</w:t>
      </w:r>
      <w:r w:rsidR="00B925F1" w:rsidRPr="00EE6A7B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="00B925F1" w:rsidRPr="00EE6A7B">
        <w:rPr>
          <w:rFonts w:ascii="Times New Roman" w:hAnsi="Times New Roman" w:cs="Times New Roman"/>
          <w:bCs/>
          <w:sz w:val="24"/>
          <w:szCs w:val="24"/>
        </w:rPr>
        <w:t xml:space="preserve"> Gr-1</w:t>
      </w:r>
      <w:r w:rsidR="00B925F1" w:rsidRPr="00EE6A7B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="00B925F1" w:rsidRPr="00EE6A7B">
        <w:rPr>
          <w:rFonts w:ascii="Times New Roman" w:hAnsi="Times New Roman" w:cs="Times New Roman"/>
          <w:bCs/>
          <w:sz w:val="24"/>
          <w:szCs w:val="24"/>
        </w:rPr>
        <w:t xml:space="preserve"> cell pop</w:t>
      </w:r>
      <w:r w:rsidR="00551B66" w:rsidRPr="00EE6A7B">
        <w:rPr>
          <w:rFonts w:ascii="Times New Roman" w:hAnsi="Times New Roman" w:cs="Times New Roman"/>
          <w:bCs/>
          <w:sz w:val="24"/>
          <w:szCs w:val="24"/>
        </w:rPr>
        <w:t>ulations in tumors. Bars, SD. *p</w:t>
      </w:r>
      <w:r w:rsidR="00B925F1" w:rsidRPr="00EE6A7B">
        <w:rPr>
          <w:rFonts w:ascii="Times New Roman" w:hAnsi="Times New Roman" w:cs="Times New Roman"/>
          <w:bCs/>
          <w:sz w:val="24"/>
          <w:szCs w:val="24"/>
        </w:rPr>
        <w:t xml:space="preserve"> &lt; 0.05, Two-sided Student t test. (ii) Representative dot plot.</w:t>
      </w:r>
    </w:p>
    <w:p w14:paraId="63CF14DA" w14:textId="77777777" w:rsidR="0026505C" w:rsidRPr="00EE6A7B" w:rsidRDefault="0026505C" w:rsidP="00FA5E4B">
      <w:pPr>
        <w:rPr>
          <w:rFonts w:ascii="Times New Roman" w:hAnsi="Times New Roman" w:cs="Times New Roman"/>
          <w:bCs/>
          <w:sz w:val="24"/>
          <w:szCs w:val="24"/>
        </w:rPr>
      </w:pPr>
    </w:p>
    <w:p w14:paraId="30A7B37F" w14:textId="18B6AEB6" w:rsidR="0030749A" w:rsidRPr="00EE6A7B" w:rsidRDefault="0030749A" w:rsidP="00FA5E4B">
      <w:pPr>
        <w:rPr>
          <w:rFonts w:ascii="Times New Roman" w:hAnsi="Times New Roman" w:cs="Times New Roman"/>
          <w:b/>
          <w:sz w:val="24"/>
          <w:szCs w:val="24"/>
        </w:rPr>
      </w:pPr>
      <w:r w:rsidRPr="00EE6A7B">
        <w:rPr>
          <w:rFonts w:ascii="Times New Roman" w:hAnsi="Times New Roman" w:cs="Times New Roman"/>
          <w:b/>
          <w:sz w:val="24"/>
          <w:szCs w:val="24"/>
        </w:rPr>
        <w:t>Supplemental Figure 8.</w:t>
      </w:r>
    </w:p>
    <w:p w14:paraId="01EC088B" w14:textId="57C448DB" w:rsidR="0030749A" w:rsidRPr="00D52724" w:rsidRDefault="00FA1FE1" w:rsidP="00FA5E4B">
      <w:pPr>
        <w:rPr>
          <w:rFonts w:ascii="Times New Roman" w:hAnsi="Times New Roman" w:cs="Times New Roman"/>
          <w:sz w:val="24"/>
          <w:szCs w:val="24"/>
        </w:rPr>
      </w:pPr>
      <w:r w:rsidRPr="00EE6A7B">
        <w:rPr>
          <w:rFonts w:ascii="Times New Roman" w:hAnsi="Times New Roman" w:cs="Times New Roman"/>
          <w:sz w:val="24"/>
          <w:szCs w:val="24"/>
        </w:rPr>
        <w:t xml:space="preserve">The prognostic significance of FDG-uptake of the primary tumor. A cut-off value of SUVmax of the primary tumor for predicting </w:t>
      </w:r>
      <w:r w:rsidR="00623549" w:rsidRPr="00EE6A7B">
        <w:rPr>
          <w:rFonts w:ascii="Times New Roman" w:hAnsi="Times New Roman" w:cs="Times New Roman"/>
          <w:sz w:val="24"/>
          <w:szCs w:val="24"/>
        </w:rPr>
        <w:t>progression</w:t>
      </w:r>
      <w:r w:rsidRPr="00EE6A7B">
        <w:rPr>
          <w:rFonts w:ascii="Times New Roman" w:hAnsi="Times New Roman" w:cs="Times New Roman"/>
          <w:sz w:val="24"/>
          <w:szCs w:val="24"/>
        </w:rPr>
        <w:t xml:space="preserve"> was determined using ROC analysis, and the optimal cut-off value was defined as 8.6.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 (A) Kaplan–Meier estimates of progression-free survival in cervical cancer</w:t>
      </w:r>
      <w:r w:rsidRPr="00EE6A7B">
        <w:rPr>
          <w:rFonts w:ascii="Times New Roman" w:hAnsi="Times New Roman" w:cs="Times New Roman"/>
          <w:sz w:val="24"/>
          <w:szCs w:val="24"/>
        </w:rPr>
        <w:t xml:space="preserve"> patients. 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(i) all patients </w:t>
      </w:r>
      <w:r w:rsidRPr="00EE6A7B">
        <w:rPr>
          <w:rFonts w:ascii="Times New Roman" w:hAnsi="Times New Roman" w:cs="Times New Roman"/>
          <w:sz w:val="24"/>
          <w:szCs w:val="24"/>
        </w:rPr>
        <w:t>[higher-FDG uptake group (n=119) vs. lower-FDG uptake group (n=112)], (ii)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 early stage </w:t>
      </w:r>
      <w:r w:rsidRPr="00EE6A7B">
        <w:rPr>
          <w:rFonts w:ascii="Times New Roman" w:hAnsi="Times New Roman" w:cs="Times New Roman"/>
          <w:sz w:val="24"/>
          <w:szCs w:val="24"/>
        </w:rPr>
        <w:t xml:space="preserve">[higher-FDG uptake group (n=89) vs. lower-FDG uptake group (n=86)], (iii) </w:t>
      </w:r>
      <w:r w:rsidRPr="00EE6A7B">
        <w:rPr>
          <w:rFonts w:ascii="Times New Roman" w:hAnsi="Times New Roman" w:cs="Times New Roman"/>
          <w:bCs/>
          <w:sz w:val="24"/>
          <w:szCs w:val="24"/>
        </w:rPr>
        <w:t>advanced stage cervical cancer</w:t>
      </w:r>
      <w:r w:rsidRPr="00EE6A7B">
        <w:rPr>
          <w:rFonts w:ascii="Times New Roman" w:hAnsi="Times New Roman" w:cs="Times New Roman"/>
          <w:sz w:val="24"/>
          <w:szCs w:val="24"/>
        </w:rPr>
        <w:t xml:space="preserve">[higher-FDG uptake group (n=22) vs. lower-FDG uptake group (n=34)].  (B) </w:t>
      </w:r>
      <w:r w:rsidRPr="00EE6A7B">
        <w:rPr>
          <w:rFonts w:ascii="Times New Roman" w:hAnsi="Times New Roman" w:cs="Times New Roman"/>
          <w:bCs/>
          <w:sz w:val="24"/>
          <w:szCs w:val="24"/>
        </w:rPr>
        <w:t>Kaplan–Meier estimates of progression-free survival in ovarian cancer</w:t>
      </w:r>
      <w:r w:rsidRPr="00EE6A7B">
        <w:rPr>
          <w:rFonts w:ascii="Times New Roman" w:hAnsi="Times New Roman" w:cs="Times New Roman"/>
          <w:sz w:val="24"/>
          <w:szCs w:val="24"/>
        </w:rPr>
        <w:t xml:space="preserve"> patients. 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(i) all patients </w:t>
      </w:r>
      <w:r w:rsidRPr="00EE6A7B">
        <w:rPr>
          <w:rFonts w:ascii="Times New Roman" w:hAnsi="Times New Roman" w:cs="Times New Roman"/>
          <w:sz w:val="24"/>
          <w:szCs w:val="24"/>
        </w:rPr>
        <w:t>[higher-FDG uptake group (n=67) vs. lower-FDG uptake group (n=100)], (ii)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 early stage </w:t>
      </w:r>
      <w:r w:rsidRPr="00EE6A7B">
        <w:rPr>
          <w:rFonts w:ascii="Times New Roman" w:hAnsi="Times New Roman" w:cs="Times New Roman"/>
          <w:sz w:val="24"/>
          <w:szCs w:val="24"/>
        </w:rPr>
        <w:t xml:space="preserve">[higher-FDG uptake group (n=24) vs. lower-FDG uptake group (n=56)], (iii) </w:t>
      </w:r>
      <w:r w:rsidRPr="00EE6A7B">
        <w:rPr>
          <w:rFonts w:ascii="Times New Roman" w:hAnsi="Times New Roman" w:cs="Times New Roman"/>
          <w:bCs/>
          <w:sz w:val="24"/>
          <w:szCs w:val="24"/>
        </w:rPr>
        <w:t>advanced stage cervical cancer</w:t>
      </w:r>
      <w:r w:rsidRPr="00EE6A7B">
        <w:rPr>
          <w:rFonts w:ascii="Times New Roman" w:hAnsi="Times New Roman" w:cs="Times New Roman"/>
          <w:sz w:val="24"/>
          <w:szCs w:val="24"/>
        </w:rPr>
        <w:t xml:space="preserve">[higher-FDG uptake group (n=43) vs. lower-FDG uptake group (n=44)]. (C) </w:t>
      </w:r>
      <w:r w:rsidRPr="00EE6A7B">
        <w:rPr>
          <w:rFonts w:ascii="Times New Roman" w:hAnsi="Times New Roman" w:cs="Times New Roman"/>
          <w:bCs/>
          <w:sz w:val="24"/>
          <w:szCs w:val="24"/>
        </w:rPr>
        <w:t>Kaplan–Meier estimates of progression-free survival in endmetrial cancer</w:t>
      </w:r>
      <w:r w:rsidRPr="00EE6A7B">
        <w:rPr>
          <w:rFonts w:ascii="Times New Roman" w:hAnsi="Times New Roman" w:cs="Times New Roman"/>
          <w:sz w:val="24"/>
          <w:szCs w:val="24"/>
        </w:rPr>
        <w:t xml:space="preserve"> patients. 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(i) all patients </w:t>
      </w:r>
      <w:r w:rsidRPr="00EE6A7B">
        <w:rPr>
          <w:rFonts w:ascii="Times New Roman" w:hAnsi="Times New Roman" w:cs="Times New Roman"/>
          <w:sz w:val="24"/>
          <w:szCs w:val="24"/>
        </w:rPr>
        <w:t>[higher-FDG uptake group (n=77) vs. lower-FDG uptake group (n=84)], (ii)</w:t>
      </w:r>
      <w:r w:rsidRPr="00EE6A7B">
        <w:rPr>
          <w:rFonts w:ascii="Times New Roman" w:hAnsi="Times New Roman" w:cs="Times New Roman"/>
          <w:bCs/>
          <w:sz w:val="24"/>
          <w:szCs w:val="24"/>
        </w:rPr>
        <w:t xml:space="preserve"> early stage </w:t>
      </w:r>
      <w:r w:rsidRPr="00EE6A7B">
        <w:rPr>
          <w:rFonts w:ascii="Times New Roman" w:hAnsi="Times New Roman" w:cs="Times New Roman"/>
          <w:sz w:val="24"/>
          <w:szCs w:val="24"/>
        </w:rPr>
        <w:t xml:space="preserve">[higher-FDG uptake group (n=24) vs. lower-FDG uptake group (n=24)], (iii) </w:t>
      </w:r>
      <w:r w:rsidRPr="00EE6A7B">
        <w:rPr>
          <w:rFonts w:ascii="Times New Roman" w:hAnsi="Times New Roman" w:cs="Times New Roman"/>
          <w:bCs/>
          <w:sz w:val="24"/>
          <w:szCs w:val="24"/>
        </w:rPr>
        <w:t>advanced stage cervical cancer</w:t>
      </w:r>
      <w:r w:rsidRPr="00EE6A7B">
        <w:rPr>
          <w:rFonts w:ascii="Times New Roman" w:hAnsi="Times New Roman" w:cs="Times New Roman"/>
          <w:sz w:val="24"/>
          <w:szCs w:val="24"/>
        </w:rPr>
        <w:t>[higher-FDG uptake group (n=55) vs. lower-FDG uptake group (n=60)</w:t>
      </w:r>
      <w:r w:rsidRPr="00D52724">
        <w:rPr>
          <w:rFonts w:ascii="Times New Roman" w:hAnsi="Times New Roman" w:cs="Times New Roman"/>
          <w:sz w:val="24"/>
          <w:szCs w:val="24"/>
        </w:rPr>
        <w:t>].</w:t>
      </w:r>
    </w:p>
    <w:sectPr w:rsidR="0030749A" w:rsidRPr="00D52724" w:rsidSect="00B70992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7E522" w16cex:dateUtc="2020-07-13T2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703BA6" w16cid:durableId="22B7E52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3F0A9" w14:textId="77777777" w:rsidR="00BF2BEA" w:rsidRDefault="00BF2BEA" w:rsidP="00E96E7A">
      <w:r>
        <w:separator/>
      </w:r>
    </w:p>
  </w:endnote>
  <w:endnote w:type="continuationSeparator" w:id="0">
    <w:p w14:paraId="7AE267EA" w14:textId="77777777" w:rsidR="00BF2BEA" w:rsidRDefault="00BF2BEA" w:rsidP="00E9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altName w:val="MS Gothic"/>
    <w:charset w:val="80"/>
    <w:family w:val="modern"/>
    <w:pitch w:val="variable"/>
    <w:sig w:usb0="E00002FF" w:usb1="2AC7FDFF" w:usb2="00000016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58391332"/>
      <w:docPartObj>
        <w:docPartGallery w:val="Page Numbers (Bottom of Page)"/>
        <w:docPartUnique/>
      </w:docPartObj>
    </w:sdtPr>
    <w:sdtEndPr/>
    <w:sdtContent>
      <w:p w14:paraId="5AD70C5B" w14:textId="6860BADE" w:rsidR="008C24A7" w:rsidRPr="00300CF7" w:rsidRDefault="008C24A7" w:rsidP="00300CF7">
        <w:pPr>
          <w:pStyle w:val="Footer"/>
          <w:jc w:val="center"/>
          <w:rPr>
            <w:rFonts w:ascii="Times New Roman" w:hAnsi="Times New Roman" w:cs="Times New Roman"/>
          </w:rPr>
        </w:pPr>
        <w:r w:rsidRPr="00300CF7">
          <w:rPr>
            <w:rFonts w:ascii="Times New Roman" w:hAnsi="Times New Roman" w:cs="Times New Roman"/>
          </w:rPr>
          <w:fldChar w:fldCharType="begin"/>
        </w:r>
        <w:r w:rsidRPr="00300CF7">
          <w:rPr>
            <w:rFonts w:ascii="Times New Roman" w:hAnsi="Times New Roman" w:cs="Times New Roman"/>
          </w:rPr>
          <w:instrText>PAGE   \* MERGEFORMAT</w:instrText>
        </w:r>
        <w:r w:rsidRPr="00300CF7">
          <w:rPr>
            <w:rFonts w:ascii="Times New Roman" w:hAnsi="Times New Roman" w:cs="Times New Roman"/>
          </w:rPr>
          <w:fldChar w:fldCharType="separate"/>
        </w:r>
        <w:r w:rsidR="00B70992" w:rsidRPr="00B70992">
          <w:rPr>
            <w:rFonts w:ascii="Times New Roman" w:hAnsi="Times New Roman" w:cs="Times New Roman"/>
            <w:noProof/>
            <w:lang w:val="ja-JP"/>
          </w:rPr>
          <w:t>2</w:t>
        </w:r>
        <w:r w:rsidRPr="00300CF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9F53A" w14:textId="77777777" w:rsidR="00BF2BEA" w:rsidRDefault="00BF2BEA" w:rsidP="00E96E7A">
      <w:r>
        <w:separator/>
      </w:r>
    </w:p>
  </w:footnote>
  <w:footnote w:type="continuationSeparator" w:id="0">
    <w:p w14:paraId="2444C754" w14:textId="77777777" w:rsidR="00BF2BEA" w:rsidRDefault="00BF2BEA" w:rsidP="00E9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232F2"/>
    <w:multiLevelType w:val="hybridMultilevel"/>
    <w:tmpl w:val="4ACE3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0560609"/>
    <w:multiLevelType w:val="hybridMultilevel"/>
    <w:tmpl w:val="80D873B0"/>
    <w:lvl w:ilvl="0" w:tplc="C622C0F2">
      <w:start w:val="1"/>
      <w:numFmt w:val="upperLetter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51A02FCE"/>
    <w:multiLevelType w:val="hybridMultilevel"/>
    <w:tmpl w:val="9AB83516"/>
    <w:lvl w:ilvl="0" w:tplc="86E68EEC">
      <w:start w:val="1"/>
      <w:numFmt w:val="upperLetter"/>
      <w:lvlText w:val="(%1)"/>
      <w:lvlJc w:val="left"/>
      <w:pPr>
        <w:ind w:left="440" w:hanging="44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6EFD3AEE"/>
    <w:multiLevelType w:val="hybridMultilevel"/>
    <w:tmpl w:val="5C7C6FF6"/>
    <w:lvl w:ilvl="0" w:tplc="9E4A296C">
      <w:start w:val="1"/>
      <w:numFmt w:val="lowerRoman"/>
      <w:lvlText w:val="(%1)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7" w:tentative="1">
      <w:start w:val="1"/>
      <w:numFmt w:val="aiueoFullWidth"/>
      <w:lvlText w:val="(%5)"/>
      <w:lvlJc w:val="left"/>
      <w:pPr>
        <w:ind w:left="28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7" w:tentative="1">
      <w:start w:val="1"/>
      <w:numFmt w:val="aiueoFullWidth"/>
      <w:lvlText w:val="(%8)"/>
      <w:lvlJc w:val="left"/>
      <w:pPr>
        <w:ind w:left="42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6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91"/>
    <w:rsid w:val="00000C73"/>
    <w:rsid w:val="00016F2E"/>
    <w:rsid w:val="00021320"/>
    <w:rsid w:val="000217C2"/>
    <w:rsid w:val="000408C2"/>
    <w:rsid w:val="00044156"/>
    <w:rsid w:val="0005306F"/>
    <w:rsid w:val="000555EE"/>
    <w:rsid w:val="00055918"/>
    <w:rsid w:val="00057836"/>
    <w:rsid w:val="00062C2C"/>
    <w:rsid w:val="00063125"/>
    <w:rsid w:val="00072A99"/>
    <w:rsid w:val="000750B3"/>
    <w:rsid w:val="00083C0E"/>
    <w:rsid w:val="00084C47"/>
    <w:rsid w:val="000A1475"/>
    <w:rsid w:val="000A7991"/>
    <w:rsid w:val="000A7ABC"/>
    <w:rsid w:val="000B59DC"/>
    <w:rsid w:val="000C07BC"/>
    <w:rsid w:val="000C615D"/>
    <w:rsid w:val="000C63FF"/>
    <w:rsid w:val="000C73C6"/>
    <w:rsid w:val="000D4B81"/>
    <w:rsid w:val="000E22B0"/>
    <w:rsid w:val="000F2E39"/>
    <w:rsid w:val="000F4189"/>
    <w:rsid w:val="00101BA8"/>
    <w:rsid w:val="00107C63"/>
    <w:rsid w:val="00115350"/>
    <w:rsid w:val="00121F86"/>
    <w:rsid w:val="00130897"/>
    <w:rsid w:val="0013701D"/>
    <w:rsid w:val="001373EF"/>
    <w:rsid w:val="00162E46"/>
    <w:rsid w:val="00162FD0"/>
    <w:rsid w:val="0016595C"/>
    <w:rsid w:val="00170E27"/>
    <w:rsid w:val="0018250C"/>
    <w:rsid w:val="001859EF"/>
    <w:rsid w:val="0019161B"/>
    <w:rsid w:val="001A28D3"/>
    <w:rsid w:val="001A43FD"/>
    <w:rsid w:val="001A77F0"/>
    <w:rsid w:val="001B63AA"/>
    <w:rsid w:val="001B723D"/>
    <w:rsid w:val="001C46D7"/>
    <w:rsid w:val="001D17C8"/>
    <w:rsid w:val="001D36ED"/>
    <w:rsid w:val="001D7C7D"/>
    <w:rsid w:val="001E352A"/>
    <w:rsid w:val="001F5B80"/>
    <w:rsid w:val="001F61F3"/>
    <w:rsid w:val="00200803"/>
    <w:rsid w:val="00206640"/>
    <w:rsid w:val="00214214"/>
    <w:rsid w:val="00227751"/>
    <w:rsid w:val="002351C7"/>
    <w:rsid w:val="00240209"/>
    <w:rsid w:val="00243C10"/>
    <w:rsid w:val="002465CA"/>
    <w:rsid w:val="00257B22"/>
    <w:rsid w:val="00257F19"/>
    <w:rsid w:val="002622B7"/>
    <w:rsid w:val="0026505C"/>
    <w:rsid w:val="00267388"/>
    <w:rsid w:val="00270BD7"/>
    <w:rsid w:val="002A010C"/>
    <w:rsid w:val="002A4D1B"/>
    <w:rsid w:val="002B6D8B"/>
    <w:rsid w:val="002C1AF9"/>
    <w:rsid w:val="002C4C17"/>
    <w:rsid w:val="002D0C10"/>
    <w:rsid w:val="002D1CB3"/>
    <w:rsid w:val="002E235E"/>
    <w:rsid w:val="002F0BEA"/>
    <w:rsid w:val="002F2FA2"/>
    <w:rsid w:val="002F5D27"/>
    <w:rsid w:val="00300CF7"/>
    <w:rsid w:val="00302404"/>
    <w:rsid w:val="0030749A"/>
    <w:rsid w:val="00310280"/>
    <w:rsid w:val="003159F4"/>
    <w:rsid w:val="003252E0"/>
    <w:rsid w:val="00334CF7"/>
    <w:rsid w:val="00351201"/>
    <w:rsid w:val="00352407"/>
    <w:rsid w:val="0036480F"/>
    <w:rsid w:val="0036523D"/>
    <w:rsid w:val="00365325"/>
    <w:rsid w:val="003667BE"/>
    <w:rsid w:val="00370389"/>
    <w:rsid w:val="00371F5A"/>
    <w:rsid w:val="00373471"/>
    <w:rsid w:val="0037576F"/>
    <w:rsid w:val="00380397"/>
    <w:rsid w:val="003842EB"/>
    <w:rsid w:val="003873DD"/>
    <w:rsid w:val="00387F04"/>
    <w:rsid w:val="003924EA"/>
    <w:rsid w:val="00393055"/>
    <w:rsid w:val="00395432"/>
    <w:rsid w:val="003A6394"/>
    <w:rsid w:val="003A74B5"/>
    <w:rsid w:val="003A7FA2"/>
    <w:rsid w:val="003B3543"/>
    <w:rsid w:val="003C2E8D"/>
    <w:rsid w:val="003D6EDD"/>
    <w:rsid w:val="003E469B"/>
    <w:rsid w:val="003E4D38"/>
    <w:rsid w:val="003F5859"/>
    <w:rsid w:val="003F5926"/>
    <w:rsid w:val="003F5A57"/>
    <w:rsid w:val="00401C2A"/>
    <w:rsid w:val="00402594"/>
    <w:rsid w:val="004123A8"/>
    <w:rsid w:val="0043114D"/>
    <w:rsid w:val="0043404E"/>
    <w:rsid w:val="00440936"/>
    <w:rsid w:val="00445317"/>
    <w:rsid w:val="004474EC"/>
    <w:rsid w:val="00450844"/>
    <w:rsid w:val="004611D6"/>
    <w:rsid w:val="00484CA2"/>
    <w:rsid w:val="004918EA"/>
    <w:rsid w:val="004A2F47"/>
    <w:rsid w:val="004A4CE7"/>
    <w:rsid w:val="004A7E6C"/>
    <w:rsid w:val="004B5870"/>
    <w:rsid w:val="004C03FD"/>
    <w:rsid w:val="004C0D95"/>
    <w:rsid w:val="004C1BAA"/>
    <w:rsid w:val="004C3B73"/>
    <w:rsid w:val="004C787A"/>
    <w:rsid w:val="004D6EDC"/>
    <w:rsid w:val="004E3667"/>
    <w:rsid w:val="00503F07"/>
    <w:rsid w:val="005067AD"/>
    <w:rsid w:val="00506E55"/>
    <w:rsid w:val="005127D1"/>
    <w:rsid w:val="0051480C"/>
    <w:rsid w:val="00520E66"/>
    <w:rsid w:val="00522090"/>
    <w:rsid w:val="00535DB2"/>
    <w:rsid w:val="005466D6"/>
    <w:rsid w:val="00551B66"/>
    <w:rsid w:val="00554C37"/>
    <w:rsid w:val="00554E56"/>
    <w:rsid w:val="00565C2C"/>
    <w:rsid w:val="005756CD"/>
    <w:rsid w:val="00577778"/>
    <w:rsid w:val="00581C0E"/>
    <w:rsid w:val="005A30C5"/>
    <w:rsid w:val="005B79D3"/>
    <w:rsid w:val="005C1A07"/>
    <w:rsid w:val="005C4239"/>
    <w:rsid w:val="005C4B3B"/>
    <w:rsid w:val="005C6952"/>
    <w:rsid w:val="005C744B"/>
    <w:rsid w:val="005D2F6A"/>
    <w:rsid w:val="005D6831"/>
    <w:rsid w:val="005E7C0B"/>
    <w:rsid w:val="005F500A"/>
    <w:rsid w:val="0060325C"/>
    <w:rsid w:val="00603EDA"/>
    <w:rsid w:val="0060453C"/>
    <w:rsid w:val="00607C6E"/>
    <w:rsid w:val="00610952"/>
    <w:rsid w:val="00614A15"/>
    <w:rsid w:val="0062037B"/>
    <w:rsid w:val="00623549"/>
    <w:rsid w:val="0062484D"/>
    <w:rsid w:val="0063401E"/>
    <w:rsid w:val="00635246"/>
    <w:rsid w:val="00643B74"/>
    <w:rsid w:val="006441C9"/>
    <w:rsid w:val="00647CFB"/>
    <w:rsid w:val="00660061"/>
    <w:rsid w:val="00661AE4"/>
    <w:rsid w:val="0066472A"/>
    <w:rsid w:val="00665632"/>
    <w:rsid w:val="0067548D"/>
    <w:rsid w:val="0067640B"/>
    <w:rsid w:val="006774B0"/>
    <w:rsid w:val="00682357"/>
    <w:rsid w:val="00683C9E"/>
    <w:rsid w:val="0068425F"/>
    <w:rsid w:val="006868F5"/>
    <w:rsid w:val="00695FAF"/>
    <w:rsid w:val="006A3438"/>
    <w:rsid w:val="006A57B2"/>
    <w:rsid w:val="006A64B6"/>
    <w:rsid w:val="006B35D6"/>
    <w:rsid w:val="006D3773"/>
    <w:rsid w:val="006D47F2"/>
    <w:rsid w:val="006E6E3D"/>
    <w:rsid w:val="006E6EA4"/>
    <w:rsid w:val="006E73D6"/>
    <w:rsid w:val="006E79E8"/>
    <w:rsid w:val="006E7DB1"/>
    <w:rsid w:val="006F1F51"/>
    <w:rsid w:val="006F3BDD"/>
    <w:rsid w:val="007015A3"/>
    <w:rsid w:val="007031D9"/>
    <w:rsid w:val="00707F1C"/>
    <w:rsid w:val="00712316"/>
    <w:rsid w:val="00714DB8"/>
    <w:rsid w:val="007164D4"/>
    <w:rsid w:val="00722319"/>
    <w:rsid w:val="00723834"/>
    <w:rsid w:val="00724570"/>
    <w:rsid w:val="00730E8F"/>
    <w:rsid w:val="007346EE"/>
    <w:rsid w:val="00735AD5"/>
    <w:rsid w:val="00740DB4"/>
    <w:rsid w:val="007512AC"/>
    <w:rsid w:val="00752ED0"/>
    <w:rsid w:val="00761745"/>
    <w:rsid w:val="00766E46"/>
    <w:rsid w:val="00774586"/>
    <w:rsid w:val="00781FED"/>
    <w:rsid w:val="00782C56"/>
    <w:rsid w:val="00784F07"/>
    <w:rsid w:val="007862AD"/>
    <w:rsid w:val="00786A3E"/>
    <w:rsid w:val="00794D31"/>
    <w:rsid w:val="007A10D1"/>
    <w:rsid w:val="007B5861"/>
    <w:rsid w:val="007B74D1"/>
    <w:rsid w:val="007C26D9"/>
    <w:rsid w:val="007C31CD"/>
    <w:rsid w:val="007D2233"/>
    <w:rsid w:val="007D7D4B"/>
    <w:rsid w:val="007E4841"/>
    <w:rsid w:val="007E4C9C"/>
    <w:rsid w:val="007E59AE"/>
    <w:rsid w:val="007F646E"/>
    <w:rsid w:val="008125BA"/>
    <w:rsid w:val="008151D6"/>
    <w:rsid w:val="008202A5"/>
    <w:rsid w:val="00825B16"/>
    <w:rsid w:val="00827317"/>
    <w:rsid w:val="0083586E"/>
    <w:rsid w:val="00836272"/>
    <w:rsid w:val="00843D78"/>
    <w:rsid w:val="00844404"/>
    <w:rsid w:val="0085587C"/>
    <w:rsid w:val="00865890"/>
    <w:rsid w:val="008715A7"/>
    <w:rsid w:val="0087392B"/>
    <w:rsid w:val="0087693C"/>
    <w:rsid w:val="00876E36"/>
    <w:rsid w:val="00882E52"/>
    <w:rsid w:val="00890513"/>
    <w:rsid w:val="008916A9"/>
    <w:rsid w:val="008933ED"/>
    <w:rsid w:val="0089384F"/>
    <w:rsid w:val="00895B1C"/>
    <w:rsid w:val="00897DFF"/>
    <w:rsid w:val="008A1DC9"/>
    <w:rsid w:val="008B2992"/>
    <w:rsid w:val="008B7EEE"/>
    <w:rsid w:val="008C24A7"/>
    <w:rsid w:val="008C3DE0"/>
    <w:rsid w:val="008C3DF4"/>
    <w:rsid w:val="008C4622"/>
    <w:rsid w:val="008C63D7"/>
    <w:rsid w:val="008D13ED"/>
    <w:rsid w:val="008D2F76"/>
    <w:rsid w:val="008D72BA"/>
    <w:rsid w:val="008E3F77"/>
    <w:rsid w:val="008F2CE2"/>
    <w:rsid w:val="009001C6"/>
    <w:rsid w:val="009079BE"/>
    <w:rsid w:val="00910725"/>
    <w:rsid w:val="00911395"/>
    <w:rsid w:val="009158A9"/>
    <w:rsid w:val="00917CC6"/>
    <w:rsid w:val="0092454F"/>
    <w:rsid w:val="00925128"/>
    <w:rsid w:val="009441A3"/>
    <w:rsid w:val="00951D30"/>
    <w:rsid w:val="00967BD8"/>
    <w:rsid w:val="00974B4B"/>
    <w:rsid w:val="0097586B"/>
    <w:rsid w:val="009824ED"/>
    <w:rsid w:val="009858A7"/>
    <w:rsid w:val="00985FB6"/>
    <w:rsid w:val="00992385"/>
    <w:rsid w:val="009936C5"/>
    <w:rsid w:val="00996393"/>
    <w:rsid w:val="009A2CD8"/>
    <w:rsid w:val="009A38FF"/>
    <w:rsid w:val="009A5B25"/>
    <w:rsid w:val="009B4EC0"/>
    <w:rsid w:val="009B5B12"/>
    <w:rsid w:val="009D64BC"/>
    <w:rsid w:val="009F232F"/>
    <w:rsid w:val="009F2A0A"/>
    <w:rsid w:val="009F6434"/>
    <w:rsid w:val="00A0146F"/>
    <w:rsid w:val="00A0557D"/>
    <w:rsid w:val="00A05A55"/>
    <w:rsid w:val="00A114C3"/>
    <w:rsid w:val="00A139F6"/>
    <w:rsid w:val="00A13BB8"/>
    <w:rsid w:val="00A14D57"/>
    <w:rsid w:val="00A20E21"/>
    <w:rsid w:val="00A21017"/>
    <w:rsid w:val="00A3090A"/>
    <w:rsid w:val="00A32F9E"/>
    <w:rsid w:val="00A3569E"/>
    <w:rsid w:val="00A36256"/>
    <w:rsid w:val="00A42D81"/>
    <w:rsid w:val="00A44DC3"/>
    <w:rsid w:val="00A5016F"/>
    <w:rsid w:val="00A67A68"/>
    <w:rsid w:val="00A718DD"/>
    <w:rsid w:val="00A7305A"/>
    <w:rsid w:val="00A748D7"/>
    <w:rsid w:val="00A80544"/>
    <w:rsid w:val="00A8054A"/>
    <w:rsid w:val="00A84E56"/>
    <w:rsid w:val="00A91ED3"/>
    <w:rsid w:val="00AA42CE"/>
    <w:rsid w:val="00AB033F"/>
    <w:rsid w:val="00AB0BD9"/>
    <w:rsid w:val="00AC03C8"/>
    <w:rsid w:val="00AD01A6"/>
    <w:rsid w:val="00AD0C1C"/>
    <w:rsid w:val="00AD25CE"/>
    <w:rsid w:val="00AE3C85"/>
    <w:rsid w:val="00AE4C02"/>
    <w:rsid w:val="00AE4C62"/>
    <w:rsid w:val="00AF14C9"/>
    <w:rsid w:val="00AF4491"/>
    <w:rsid w:val="00B0447F"/>
    <w:rsid w:val="00B05191"/>
    <w:rsid w:val="00B05E47"/>
    <w:rsid w:val="00B11CF0"/>
    <w:rsid w:val="00B21CE1"/>
    <w:rsid w:val="00B21EBC"/>
    <w:rsid w:val="00B360A4"/>
    <w:rsid w:val="00B40D47"/>
    <w:rsid w:val="00B42C32"/>
    <w:rsid w:val="00B53889"/>
    <w:rsid w:val="00B57F7A"/>
    <w:rsid w:val="00B614C6"/>
    <w:rsid w:val="00B675A7"/>
    <w:rsid w:val="00B70992"/>
    <w:rsid w:val="00B714A5"/>
    <w:rsid w:val="00B72DE6"/>
    <w:rsid w:val="00B74A0C"/>
    <w:rsid w:val="00B75056"/>
    <w:rsid w:val="00B76856"/>
    <w:rsid w:val="00B8186B"/>
    <w:rsid w:val="00B83912"/>
    <w:rsid w:val="00B83A17"/>
    <w:rsid w:val="00B84C3B"/>
    <w:rsid w:val="00B85DBF"/>
    <w:rsid w:val="00B870BB"/>
    <w:rsid w:val="00B91823"/>
    <w:rsid w:val="00B925F1"/>
    <w:rsid w:val="00B97042"/>
    <w:rsid w:val="00BA06E1"/>
    <w:rsid w:val="00BC284C"/>
    <w:rsid w:val="00BC2877"/>
    <w:rsid w:val="00BC3186"/>
    <w:rsid w:val="00BC583D"/>
    <w:rsid w:val="00BD073B"/>
    <w:rsid w:val="00BD30C6"/>
    <w:rsid w:val="00BD3F72"/>
    <w:rsid w:val="00BD42C5"/>
    <w:rsid w:val="00BD6EB7"/>
    <w:rsid w:val="00BE4F32"/>
    <w:rsid w:val="00BF1BC8"/>
    <w:rsid w:val="00BF2BEA"/>
    <w:rsid w:val="00C04749"/>
    <w:rsid w:val="00C049F7"/>
    <w:rsid w:val="00C10894"/>
    <w:rsid w:val="00C1288D"/>
    <w:rsid w:val="00C130E9"/>
    <w:rsid w:val="00C13D61"/>
    <w:rsid w:val="00C225CB"/>
    <w:rsid w:val="00C23131"/>
    <w:rsid w:val="00C32955"/>
    <w:rsid w:val="00C41ECD"/>
    <w:rsid w:val="00C450EC"/>
    <w:rsid w:val="00C46D5A"/>
    <w:rsid w:val="00C53324"/>
    <w:rsid w:val="00C75A5F"/>
    <w:rsid w:val="00CA3C1F"/>
    <w:rsid w:val="00CC19A9"/>
    <w:rsid w:val="00CC2F27"/>
    <w:rsid w:val="00CC2F8A"/>
    <w:rsid w:val="00CE016D"/>
    <w:rsid w:val="00CE2257"/>
    <w:rsid w:val="00CE3A2F"/>
    <w:rsid w:val="00CE6960"/>
    <w:rsid w:val="00D03DC4"/>
    <w:rsid w:val="00D130B2"/>
    <w:rsid w:val="00D1492E"/>
    <w:rsid w:val="00D17F48"/>
    <w:rsid w:val="00D20BC9"/>
    <w:rsid w:val="00D25B9A"/>
    <w:rsid w:val="00D3600A"/>
    <w:rsid w:val="00D4314D"/>
    <w:rsid w:val="00D43D5E"/>
    <w:rsid w:val="00D47AEA"/>
    <w:rsid w:val="00D47B7F"/>
    <w:rsid w:val="00D52724"/>
    <w:rsid w:val="00D54178"/>
    <w:rsid w:val="00D728BA"/>
    <w:rsid w:val="00D81AF2"/>
    <w:rsid w:val="00D95D0E"/>
    <w:rsid w:val="00D95EB2"/>
    <w:rsid w:val="00D9684A"/>
    <w:rsid w:val="00D9795C"/>
    <w:rsid w:val="00DA03EB"/>
    <w:rsid w:val="00DA2A06"/>
    <w:rsid w:val="00DA5F27"/>
    <w:rsid w:val="00DB511A"/>
    <w:rsid w:val="00DB5294"/>
    <w:rsid w:val="00DB5885"/>
    <w:rsid w:val="00DC1DB7"/>
    <w:rsid w:val="00DC6A16"/>
    <w:rsid w:val="00DE0A36"/>
    <w:rsid w:val="00DE0A80"/>
    <w:rsid w:val="00DE158E"/>
    <w:rsid w:val="00DF0B3C"/>
    <w:rsid w:val="00DF3A0B"/>
    <w:rsid w:val="00E02619"/>
    <w:rsid w:val="00E036E6"/>
    <w:rsid w:val="00E04F10"/>
    <w:rsid w:val="00E07344"/>
    <w:rsid w:val="00E17826"/>
    <w:rsid w:val="00E26FB5"/>
    <w:rsid w:val="00E3016E"/>
    <w:rsid w:val="00E33490"/>
    <w:rsid w:val="00E37384"/>
    <w:rsid w:val="00E37AD6"/>
    <w:rsid w:val="00E44124"/>
    <w:rsid w:val="00E461BB"/>
    <w:rsid w:val="00E51321"/>
    <w:rsid w:val="00E522E5"/>
    <w:rsid w:val="00E548CA"/>
    <w:rsid w:val="00E5783F"/>
    <w:rsid w:val="00E605D6"/>
    <w:rsid w:val="00E60B7C"/>
    <w:rsid w:val="00E64A50"/>
    <w:rsid w:val="00E6543C"/>
    <w:rsid w:val="00E70D34"/>
    <w:rsid w:val="00E765DB"/>
    <w:rsid w:val="00E87263"/>
    <w:rsid w:val="00E9552D"/>
    <w:rsid w:val="00E9577F"/>
    <w:rsid w:val="00E962F0"/>
    <w:rsid w:val="00E96E7A"/>
    <w:rsid w:val="00EA5370"/>
    <w:rsid w:val="00EA57D4"/>
    <w:rsid w:val="00EB5850"/>
    <w:rsid w:val="00EB7570"/>
    <w:rsid w:val="00EB77BA"/>
    <w:rsid w:val="00EC5AFC"/>
    <w:rsid w:val="00ED19C2"/>
    <w:rsid w:val="00ED3EBE"/>
    <w:rsid w:val="00EE3953"/>
    <w:rsid w:val="00EE45DD"/>
    <w:rsid w:val="00EE6A7A"/>
    <w:rsid w:val="00EE6A7B"/>
    <w:rsid w:val="00EF6AE3"/>
    <w:rsid w:val="00F01C9E"/>
    <w:rsid w:val="00F0674F"/>
    <w:rsid w:val="00F07E70"/>
    <w:rsid w:val="00F10710"/>
    <w:rsid w:val="00F149F8"/>
    <w:rsid w:val="00F15046"/>
    <w:rsid w:val="00F261D4"/>
    <w:rsid w:val="00F2651A"/>
    <w:rsid w:val="00F276B7"/>
    <w:rsid w:val="00F3768B"/>
    <w:rsid w:val="00F40089"/>
    <w:rsid w:val="00F40F96"/>
    <w:rsid w:val="00F47A59"/>
    <w:rsid w:val="00F52FFB"/>
    <w:rsid w:val="00F55BB7"/>
    <w:rsid w:val="00F56917"/>
    <w:rsid w:val="00F56C97"/>
    <w:rsid w:val="00F64EBF"/>
    <w:rsid w:val="00F65639"/>
    <w:rsid w:val="00F665EC"/>
    <w:rsid w:val="00F8005B"/>
    <w:rsid w:val="00F81161"/>
    <w:rsid w:val="00F91139"/>
    <w:rsid w:val="00F92BD8"/>
    <w:rsid w:val="00F95FCE"/>
    <w:rsid w:val="00FA1FE1"/>
    <w:rsid w:val="00FA5E4B"/>
    <w:rsid w:val="00FB079C"/>
    <w:rsid w:val="00FB38DF"/>
    <w:rsid w:val="00FB49FC"/>
    <w:rsid w:val="00FB64A1"/>
    <w:rsid w:val="00FB78FF"/>
    <w:rsid w:val="00FC62E0"/>
    <w:rsid w:val="00FD69DD"/>
    <w:rsid w:val="00FE29D2"/>
    <w:rsid w:val="00FF1F30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24B5DC"/>
  <w15:docId w15:val="{B4DA6F01-033D-470C-8E03-5CE0CCC9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2A4D1B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25C"/>
    <w:rPr>
      <w:color w:val="0000FF"/>
      <w:u w:val="single"/>
    </w:rPr>
  </w:style>
  <w:style w:type="character" w:customStyle="1" w:styleId="highlight">
    <w:name w:val="highlight"/>
    <w:basedOn w:val="DefaultParagraphFont"/>
    <w:rsid w:val="0060325C"/>
  </w:style>
  <w:style w:type="paragraph" w:styleId="ListParagraph">
    <w:name w:val="List Paragraph"/>
    <w:basedOn w:val="Normal"/>
    <w:uiPriority w:val="34"/>
    <w:qFormat/>
    <w:rsid w:val="002B6D8B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E96E7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96E7A"/>
  </w:style>
  <w:style w:type="paragraph" w:styleId="Footer">
    <w:name w:val="footer"/>
    <w:basedOn w:val="Normal"/>
    <w:link w:val="FooterChar"/>
    <w:uiPriority w:val="99"/>
    <w:unhideWhenUsed/>
    <w:rsid w:val="00E96E7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96E7A"/>
  </w:style>
  <w:style w:type="paragraph" w:customStyle="1" w:styleId="1">
    <w:name w:val="表題1"/>
    <w:basedOn w:val="Normal"/>
    <w:rsid w:val="002A4D1B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sc">
    <w:name w:val="desc"/>
    <w:basedOn w:val="Normal"/>
    <w:rsid w:val="002A4D1B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details">
    <w:name w:val="details"/>
    <w:basedOn w:val="Normal"/>
    <w:rsid w:val="002A4D1B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jrnl">
    <w:name w:val="jrnl"/>
    <w:basedOn w:val="DefaultParagraphFont"/>
    <w:rsid w:val="002A4D1B"/>
  </w:style>
  <w:style w:type="character" w:customStyle="1" w:styleId="Heading1Char">
    <w:name w:val="Heading 1 Char"/>
    <w:basedOn w:val="DefaultParagraphFont"/>
    <w:link w:val="Heading1"/>
    <w:uiPriority w:val="9"/>
    <w:rsid w:val="002A4D1B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AB0B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B0BD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B0B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861"/>
    <w:rPr>
      <w:b/>
      <w:bCs/>
    </w:rPr>
  </w:style>
  <w:style w:type="paragraph" w:styleId="Revision">
    <w:name w:val="Revision"/>
    <w:hidden/>
    <w:uiPriority w:val="99"/>
    <w:semiHidden/>
    <w:rsid w:val="007B5861"/>
  </w:style>
  <w:style w:type="paragraph" w:styleId="BalloonText">
    <w:name w:val="Balloon Text"/>
    <w:basedOn w:val="Normal"/>
    <w:link w:val="BalloonTextChar"/>
    <w:uiPriority w:val="99"/>
    <w:semiHidden/>
    <w:unhideWhenUsed/>
    <w:rsid w:val="007B5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61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5B1C"/>
    <w:pPr>
      <w:widowControl/>
      <w:spacing w:before="100" w:beforeAutospacing="1" w:after="100" w:afterAutospacing="1"/>
      <w:jc w:val="left"/>
    </w:pPr>
    <w:rPr>
      <w:rFonts w:ascii="MS Mincho" w:eastAsia="MS Mincho" w:hAnsi="MS Mincho" w:cs="Times New Roman"/>
      <w:kern w:val="0"/>
      <w:sz w:val="20"/>
      <w:szCs w:val="20"/>
    </w:rPr>
  </w:style>
  <w:style w:type="table" w:styleId="TableGrid">
    <w:name w:val="Table Grid"/>
    <w:basedOn w:val="TableNormal"/>
    <w:uiPriority w:val="59"/>
    <w:rsid w:val="00A05A55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51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99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64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2778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1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41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2603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18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2102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9476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2E26E-B6E3-4B23-8A67-18226A8E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Seiji Mabuchi</dc:creator>
  <cp:keywords/>
  <dc:description/>
  <cp:lastModifiedBy>Bhuvaneswari A.</cp:lastModifiedBy>
  <cp:revision>3</cp:revision>
  <cp:lastPrinted>2020-01-06T02:58:00Z</cp:lastPrinted>
  <dcterms:created xsi:type="dcterms:W3CDTF">2020-08-28T06:57:00Z</dcterms:created>
  <dcterms:modified xsi:type="dcterms:W3CDTF">2021-01-06T11:43:00Z</dcterms:modified>
</cp:coreProperties>
</file>