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30A0" w:rsidRPr="003E753C" w:rsidRDefault="007030A0" w:rsidP="00703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outlineLvl w:val="0"/>
        <w:rPr>
          <w:rFonts w:ascii="Arial" w:hAnsi="Arial" w:cs="Arial"/>
          <w:b/>
          <w:bCs/>
          <w:lang w:val="en-US"/>
        </w:rPr>
      </w:pPr>
      <w:r w:rsidRPr="003E753C">
        <w:rPr>
          <w:rFonts w:ascii="Arial" w:hAnsi="Arial" w:cs="Arial"/>
          <w:b/>
          <w:bCs/>
          <w:lang w:val="en-US"/>
        </w:rPr>
        <w:t>-Original Article-</w:t>
      </w:r>
    </w:p>
    <w:p w:rsidR="007030A0" w:rsidRPr="004E5C7B" w:rsidRDefault="007030A0" w:rsidP="00703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outlineLvl w:val="0"/>
        <w:rPr>
          <w:rFonts w:ascii="Arial" w:hAnsi="Arial" w:cs="Arial"/>
          <w:b/>
          <w:bCs/>
          <w:lang w:val="en-US"/>
        </w:rPr>
      </w:pPr>
      <w:r w:rsidRPr="004E5C7B">
        <w:rPr>
          <w:rFonts w:ascii="Arial" w:hAnsi="Arial" w:cs="Arial"/>
          <w:b/>
          <w:bCs/>
          <w:lang w:val="en-US"/>
        </w:rPr>
        <w:t>Subthreshold laser treatment for reticular pseudodrusen secondary to age-related macular degeneration</w:t>
      </w:r>
      <w:bookmarkStart w:id="0" w:name="_GoBack"/>
      <w:bookmarkEnd w:id="0"/>
    </w:p>
    <w:p w:rsidR="007030A0" w:rsidRPr="006550E1" w:rsidRDefault="007030A0" w:rsidP="00703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center"/>
        <w:outlineLvl w:val="0"/>
        <w:rPr>
          <w:rFonts w:ascii="Arial" w:hAnsi="Arial" w:cs="Arial"/>
          <w:b/>
          <w:bCs/>
          <w:lang w:val="en-US"/>
        </w:rPr>
      </w:pPr>
    </w:p>
    <w:p w:rsidR="007030A0" w:rsidRDefault="007030A0" w:rsidP="00703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356"/>
        </w:tabs>
        <w:autoSpaceDE w:val="0"/>
        <w:autoSpaceDN w:val="0"/>
        <w:adjustRightInd w:val="0"/>
        <w:spacing w:line="480" w:lineRule="auto"/>
        <w:ind w:right="-1"/>
        <w:contextualSpacing/>
        <w:rPr>
          <w:rFonts w:ascii="Arial" w:hAnsi="Arial" w:cs="Arial"/>
        </w:rPr>
      </w:pPr>
      <w:r w:rsidRPr="00425F8E">
        <w:rPr>
          <w:rFonts w:ascii="Arial" w:hAnsi="Arial" w:cs="Arial"/>
        </w:rPr>
        <w:t>Giuseppe Querques, MD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PhD</w:t>
      </w:r>
      <w:proofErr w:type="spellEnd"/>
      <w:r w:rsidRPr="00425F8E">
        <w:rPr>
          <w:rFonts w:ascii="Arial" w:hAnsi="Arial" w:cs="Arial"/>
        </w:rPr>
        <w:t xml:space="preserve"> (1)</w:t>
      </w:r>
      <w:r>
        <w:rPr>
          <w:rFonts w:ascii="Arial" w:hAnsi="Arial" w:cs="Arial"/>
        </w:rPr>
        <w:t>(2)*</w:t>
      </w:r>
      <w:r w:rsidRPr="00425F8E">
        <w:rPr>
          <w:rFonts w:ascii="Arial" w:hAnsi="Arial" w:cs="Arial"/>
        </w:rPr>
        <w:t>, Riccardo Sacconi, MD</w:t>
      </w:r>
      <w:r>
        <w:rPr>
          <w:rFonts w:ascii="Arial" w:hAnsi="Arial" w:cs="Arial"/>
        </w:rPr>
        <w:t>, FEBO</w:t>
      </w:r>
      <w:r w:rsidRPr="00425F8E">
        <w:rPr>
          <w:rFonts w:ascii="Arial" w:hAnsi="Arial" w:cs="Arial"/>
        </w:rPr>
        <w:t xml:space="preserve"> (1)</w:t>
      </w:r>
      <w:r>
        <w:rPr>
          <w:rFonts w:ascii="Arial" w:hAnsi="Arial" w:cs="Arial"/>
        </w:rPr>
        <w:t>(2)*</w:t>
      </w:r>
      <w:r w:rsidRPr="00425F8E">
        <w:rPr>
          <w:rFonts w:ascii="Arial" w:hAnsi="Arial" w:cs="Arial"/>
        </w:rPr>
        <w:t xml:space="preserve">, Francesco </w:t>
      </w:r>
      <w:proofErr w:type="spellStart"/>
      <w:r w:rsidRPr="00425F8E">
        <w:rPr>
          <w:rFonts w:ascii="Arial" w:hAnsi="Arial" w:cs="Arial"/>
        </w:rPr>
        <w:t>Gelormini</w:t>
      </w:r>
      <w:proofErr w:type="spellEnd"/>
      <w:r w:rsidRPr="00425F8E">
        <w:rPr>
          <w:rFonts w:ascii="Arial" w:hAnsi="Arial" w:cs="Arial"/>
        </w:rPr>
        <w:t>, MD (1)</w:t>
      </w:r>
      <w:r>
        <w:rPr>
          <w:rFonts w:ascii="Arial" w:hAnsi="Arial" w:cs="Arial"/>
        </w:rPr>
        <w:t>(2)</w:t>
      </w:r>
      <w:r w:rsidRPr="00425F8E">
        <w:rPr>
          <w:rFonts w:ascii="Arial" w:hAnsi="Arial" w:cs="Arial"/>
        </w:rPr>
        <w:t>, Enrico Borrelli, MD</w:t>
      </w:r>
      <w:r>
        <w:rPr>
          <w:rFonts w:ascii="Arial" w:hAnsi="Arial" w:cs="Arial"/>
        </w:rPr>
        <w:t>, FEBO</w:t>
      </w:r>
      <w:r w:rsidRPr="00425F8E">
        <w:rPr>
          <w:rFonts w:ascii="Arial" w:hAnsi="Arial" w:cs="Arial"/>
        </w:rPr>
        <w:t xml:space="preserve"> (1)</w:t>
      </w:r>
      <w:r>
        <w:rPr>
          <w:rFonts w:ascii="Arial" w:hAnsi="Arial" w:cs="Arial"/>
        </w:rPr>
        <w:t>(2)</w:t>
      </w:r>
      <w:r w:rsidRPr="00425F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Francesco </w:t>
      </w:r>
      <w:proofErr w:type="spellStart"/>
      <w:r>
        <w:rPr>
          <w:rFonts w:ascii="Arial" w:hAnsi="Arial" w:cs="Arial"/>
        </w:rPr>
        <w:t>Prascina</w:t>
      </w:r>
      <w:proofErr w:type="spellEnd"/>
      <w:r>
        <w:rPr>
          <w:rFonts w:ascii="Arial" w:hAnsi="Arial" w:cs="Arial"/>
        </w:rPr>
        <w:t xml:space="preserve">, MD, (2), Ilaria </w:t>
      </w:r>
      <w:proofErr w:type="spellStart"/>
      <w:r>
        <w:rPr>
          <w:rFonts w:ascii="Arial" w:hAnsi="Arial" w:cs="Arial"/>
        </w:rPr>
        <w:t>Zucchiatti</w:t>
      </w:r>
      <w:proofErr w:type="spellEnd"/>
      <w:r>
        <w:rPr>
          <w:rFonts w:ascii="Arial" w:hAnsi="Arial" w:cs="Arial"/>
        </w:rPr>
        <w:t xml:space="preserve">, MD (2), </w:t>
      </w:r>
      <w:r w:rsidRPr="00425F8E">
        <w:rPr>
          <w:rFonts w:ascii="Arial" w:hAnsi="Arial" w:cs="Arial"/>
        </w:rPr>
        <w:t>Lea Querques, MD (</w:t>
      </w:r>
      <w:r>
        <w:rPr>
          <w:rFonts w:ascii="Arial" w:hAnsi="Arial" w:cs="Arial"/>
        </w:rPr>
        <w:t>2</w:t>
      </w:r>
      <w:r w:rsidRPr="00425F8E">
        <w:rPr>
          <w:rFonts w:ascii="Arial" w:hAnsi="Arial" w:cs="Arial"/>
        </w:rPr>
        <w:t xml:space="preserve">), Francesco </w:t>
      </w:r>
      <w:proofErr w:type="spellStart"/>
      <w:r w:rsidRPr="00425F8E">
        <w:rPr>
          <w:rFonts w:ascii="Arial" w:hAnsi="Arial" w:cs="Arial"/>
        </w:rPr>
        <w:t>Bandello</w:t>
      </w:r>
      <w:proofErr w:type="spellEnd"/>
      <w:r w:rsidRPr="00425F8E">
        <w:rPr>
          <w:rFonts w:ascii="Arial" w:hAnsi="Arial" w:cs="Arial"/>
        </w:rPr>
        <w:t>, MD, FEBO (1)</w:t>
      </w:r>
      <w:r>
        <w:rPr>
          <w:rFonts w:ascii="Arial" w:hAnsi="Arial" w:cs="Arial"/>
        </w:rPr>
        <w:t>(2)</w:t>
      </w:r>
    </w:p>
    <w:p w:rsidR="007030A0" w:rsidRPr="00425F8E" w:rsidRDefault="007030A0" w:rsidP="00703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356"/>
        </w:tabs>
        <w:autoSpaceDE w:val="0"/>
        <w:autoSpaceDN w:val="0"/>
        <w:adjustRightInd w:val="0"/>
        <w:spacing w:line="480" w:lineRule="auto"/>
        <w:ind w:right="-1"/>
        <w:contextualSpacing/>
        <w:rPr>
          <w:rFonts w:ascii="Arial" w:hAnsi="Arial" w:cs="Arial"/>
        </w:rPr>
      </w:pPr>
    </w:p>
    <w:p w:rsidR="007030A0" w:rsidRPr="004919BA" w:rsidRDefault="007030A0" w:rsidP="00703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356"/>
        </w:tabs>
        <w:autoSpaceDE w:val="0"/>
        <w:autoSpaceDN w:val="0"/>
        <w:adjustRightInd w:val="0"/>
        <w:spacing w:line="480" w:lineRule="auto"/>
        <w:ind w:right="-1"/>
        <w:contextualSpacing/>
        <w:rPr>
          <w:rFonts w:ascii="Arial" w:hAnsi="Arial" w:cs="Arial"/>
          <w:lang w:val="en-US"/>
        </w:rPr>
      </w:pPr>
      <w:r w:rsidRPr="004919BA">
        <w:rPr>
          <w:rFonts w:ascii="Arial" w:hAnsi="Arial" w:cs="Arial"/>
          <w:lang w:val="en-US"/>
        </w:rPr>
        <w:t>(1) School of Medicine, Vita-Salute San Raffaele University, Milan, Italy</w:t>
      </w:r>
    </w:p>
    <w:p w:rsidR="007030A0" w:rsidRDefault="007030A0" w:rsidP="00703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356"/>
        </w:tabs>
        <w:autoSpaceDE w:val="0"/>
        <w:autoSpaceDN w:val="0"/>
        <w:adjustRightInd w:val="0"/>
        <w:spacing w:line="480" w:lineRule="auto"/>
        <w:ind w:right="-1"/>
        <w:contextualSpacing/>
        <w:rPr>
          <w:rFonts w:ascii="Arial" w:hAnsi="Arial" w:cs="Arial"/>
          <w:lang w:val="en-US"/>
        </w:rPr>
      </w:pPr>
      <w:r w:rsidRPr="004919BA">
        <w:rPr>
          <w:rFonts w:ascii="Arial" w:hAnsi="Arial" w:cs="Arial"/>
          <w:lang w:val="en-US"/>
        </w:rPr>
        <w:t xml:space="preserve">(2) Division of head and neck, Ophthalmology Unit, IRCCS San Raffaele Scientific Institute, Milan, Italy </w:t>
      </w:r>
    </w:p>
    <w:p w:rsidR="007030A0" w:rsidRPr="004919BA" w:rsidRDefault="007030A0" w:rsidP="007030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9356"/>
        </w:tabs>
        <w:autoSpaceDE w:val="0"/>
        <w:autoSpaceDN w:val="0"/>
        <w:adjustRightInd w:val="0"/>
        <w:spacing w:line="480" w:lineRule="auto"/>
        <w:ind w:right="-1"/>
        <w:contextualSpacing/>
        <w:rPr>
          <w:rFonts w:ascii="Arial" w:hAnsi="Arial" w:cs="Arial"/>
          <w:lang w:val="en-US"/>
        </w:rPr>
      </w:pPr>
    </w:p>
    <w:p w:rsidR="007030A0" w:rsidRPr="00B87516" w:rsidRDefault="007030A0" w:rsidP="00B87516">
      <w:pPr>
        <w:suppressLineNumbers/>
        <w:autoSpaceDE w:val="0"/>
        <w:autoSpaceDN w:val="0"/>
        <w:adjustRightInd w:val="0"/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*These authors contributed equally to this study</w:t>
      </w:r>
      <w:r w:rsidRPr="009B3AE2">
        <w:rPr>
          <w:rFonts w:ascii="Arial" w:hAnsi="Arial" w:cs="Arial"/>
          <w:lang w:val="en-US"/>
        </w:rPr>
        <w:t xml:space="preserve"> </w:t>
      </w:r>
      <w:r w:rsidRPr="00144FC7">
        <w:rPr>
          <w:rFonts w:ascii="Arial" w:hAnsi="Arial" w:cs="Arial"/>
          <w:lang w:val="en-US"/>
        </w:rPr>
        <w:t>and should be considered equivalent</w:t>
      </w:r>
      <w:r>
        <w:rPr>
          <w:rFonts w:ascii="Arial" w:hAnsi="Arial" w:cs="Arial"/>
          <w:lang w:val="en-US"/>
        </w:rPr>
        <w:t xml:space="preserve"> </w:t>
      </w:r>
      <w:r w:rsidRPr="00144FC7">
        <w:rPr>
          <w:rFonts w:ascii="Arial" w:hAnsi="Arial" w:cs="Arial"/>
          <w:lang w:val="en-US"/>
        </w:rPr>
        <w:t xml:space="preserve">authors </w:t>
      </w:r>
    </w:p>
    <w:p w:rsidR="00867E6F" w:rsidRDefault="00867E6F" w:rsidP="00D8062C">
      <w:pPr>
        <w:shd w:val="clear" w:color="auto" w:fill="FFFFFF"/>
        <w:spacing w:line="480" w:lineRule="auto"/>
        <w:rPr>
          <w:rFonts w:ascii="Arial" w:eastAsia="Times New Roman" w:hAnsi="Arial" w:cs="Arial"/>
          <w:b/>
          <w:bCs/>
          <w:color w:val="000000"/>
          <w:lang w:val="en-US" w:eastAsia="it-IT"/>
        </w:rPr>
      </w:pPr>
    </w:p>
    <w:p w:rsidR="007030A0" w:rsidRDefault="007030A0" w:rsidP="00D8062C">
      <w:pPr>
        <w:shd w:val="clear" w:color="auto" w:fill="FFFFFF"/>
        <w:spacing w:line="480" w:lineRule="auto"/>
        <w:rPr>
          <w:rFonts w:ascii="Arial" w:eastAsia="Times New Roman" w:hAnsi="Arial" w:cs="Arial"/>
          <w:b/>
          <w:bCs/>
          <w:color w:val="000000"/>
          <w:lang w:val="en-US" w:eastAsia="it-IT"/>
        </w:rPr>
      </w:pPr>
    </w:p>
    <w:p w:rsidR="0035138C" w:rsidRPr="0035138C" w:rsidRDefault="007030A0" w:rsidP="00D8062C">
      <w:pPr>
        <w:shd w:val="clear" w:color="auto" w:fill="FFFFFF"/>
        <w:spacing w:line="480" w:lineRule="auto"/>
        <w:rPr>
          <w:rFonts w:ascii="Arial" w:eastAsia="Times New Roman" w:hAnsi="Arial" w:cs="Arial"/>
          <w:b/>
          <w:bCs/>
          <w:color w:val="000000"/>
          <w:lang w:val="en-US" w:eastAsia="it-IT"/>
        </w:rPr>
      </w:pPr>
      <w:r>
        <w:rPr>
          <w:rFonts w:ascii="Arial" w:eastAsia="Times New Roman" w:hAnsi="Arial" w:cs="Arial"/>
          <w:b/>
          <w:bCs/>
          <w:color w:val="000000"/>
          <w:lang w:val="en-US" w:eastAsia="it-IT"/>
        </w:rPr>
        <w:t>I</w:t>
      </w:r>
      <w:r w:rsidR="0035138C" w:rsidRPr="0035138C">
        <w:rPr>
          <w:rFonts w:ascii="Arial" w:eastAsia="Times New Roman" w:hAnsi="Arial" w:cs="Arial"/>
          <w:b/>
          <w:bCs/>
          <w:color w:val="000000"/>
          <w:lang w:val="en-US" w:eastAsia="it-IT"/>
        </w:rPr>
        <w:t>nclusion and exclusion criteria of the PASCAL clinical trial</w:t>
      </w:r>
    </w:p>
    <w:p w:rsidR="0035138C" w:rsidRDefault="0035138C" w:rsidP="00D8062C">
      <w:p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</w:p>
    <w:p w:rsidR="00D8062C" w:rsidRPr="00D8062C" w:rsidRDefault="00D8062C" w:rsidP="00D8062C">
      <w:p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Inclusion Criteria: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50 years or older;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Diagnosis of dry Age-related Macular Degeneration (AMD);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>
        <w:rPr>
          <w:rFonts w:ascii="Arial" w:eastAsia="Times New Roman" w:hAnsi="Arial" w:cs="Arial"/>
          <w:color w:val="000000"/>
          <w:lang w:val="en-US" w:eastAsia="it-IT"/>
        </w:rPr>
        <w:t>Presence of</w:t>
      </w:r>
      <w:r w:rsidRPr="00D8062C">
        <w:rPr>
          <w:rFonts w:ascii="Arial" w:eastAsia="Times New Roman" w:hAnsi="Arial" w:cs="Arial"/>
          <w:color w:val="000000"/>
          <w:lang w:val="en-US" w:eastAsia="it-IT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it-IT"/>
        </w:rPr>
        <w:t>r</w:t>
      </w:r>
      <w:r w:rsidRPr="00D8062C">
        <w:rPr>
          <w:rFonts w:ascii="Arial" w:eastAsia="Times New Roman" w:hAnsi="Arial" w:cs="Arial"/>
          <w:color w:val="000000"/>
          <w:lang w:val="en-US" w:eastAsia="it-IT"/>
        </w:rPr>
        <w:t>eticular pseudodrusen</w:t>
      </w:r>
      <w:r>
        <w:rPr>
          <w:rFonts w:ascii="Arial" w:eastAsia="Times New Roman" w:hAnsi="Arial" w:cs="Arial"/>
          <w:color w:val="000000"/>
          <w:lang w:val="en-US" w:eastAsia="it-IT"/>
        </w:rPr>
        <w:t xml:space="preserve"> (RPD);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Best corrected visual acuity between 20/20 and 20/400 inclusive</w:t>
      </w:r>
      <w:r>
        <w:rPr>
          <w:rFonts w:ascii="Arial" w:eastAsia="Times New Roman" w:hAnsi="Arial" w:cs="Arial"/>
          <w:color w:val="000000"/>
          <w:lang w:val="en-US" w:eastAsia="it-IT"/>
        </w:rPr>
        <w:t>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Clear ocular media</w:t>
      </w:r>
      <w:r>
        <w:rPr>
          <w:rFonts w:ascii="Arial" w:eastAsia="Times New Roman" w:hAnsi="Arial" w:cs="Arial"/>
          <w:color w:val="000000"/>
          <w:lang w:val="en-US" w:eastAsia="it-IT"/>
        </w:rPr>
        <w:t>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Ability to provide informed consent and attend all study visits</w:t>
      </w:r>
      <w:r>
        <w:rPr>
          <w:rFonts w:ascii="Arial" w:eastAsia="Times New Roman" w:hAnsi="Arial" w:cs="Arial"/>
          <w:color w:val="000000"/>
          <w:lang w:val="en-US" w:eastAsia="it-IT"/>
        </w:rPr>
        <w:t>.</w:t>
      </w:r>
    </w:p>
    <w:p w:rsidR="00D8062C" w:rsidRPr="00D8062C" w:rsidRDefault="00D8062C" w:rsidP="00D8062C">
      <w:p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Exclusion Criteria:</w:t>
      </w:r>
    </w:p>
    <w:p w:rsid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lastRenderedPageBreak/>
        <w:t xml:space="preserve">Evidence of </w:t>
      </w:r>
      <w:r>
        <w:rPr>
          <w:rFonts w:ascii="Arial" w:eastAsia="Times New Roman" w:hAnsi="Arial" w:cs="Arial"/>
          <w:color w:val="000000"/>
          <w:lang w:val="en-US" w:eastAsia="it-IT"/>
        </w:rPr>
        <w:t>late AMD;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>
        <w:rPr>
          <w:rFonts w:ascii="Arial" w:eastAsia="Times New Roman" w:hAnsi="Arial" w:cs="Arial"/>
          <w:color w:val="000000"/>
          <w:lang w:val="en-US" w:eastAsia="it-IT"/>
        </w:rPr>
        <w:t xml:space="preserve">Presence of </w:t>
      </w:r>
      <w:r w:rsidRPr="00D8062C">
        <w:rPr>
          <w:rFonts w:ascii="Arial" w:eastAsia="Times New Roman" w:hAnsi="Arial" w:cs="Arial"/>
          <w:color w:val="000000"/>
          <w:lang w:val="en-US" w:eastAsia="it-IT"/>
        </w:rPr>
        <w:t xml:space="preserve">choroidal neovascularization in </w:t>
      </w:r>
      <w:r>
        <w:rPr>
          <w:rFonts w:ascii="Arial" w:eastAsia="Times New Roman" w:hAnsi="Arial" w:cs="Arial"/>
          <w:color w:val="000000"/>
          <w:lang w:val="en-US" w:eastAsia="it-IT"/>
        </w:rPr>
        <w:t xml:space="preserve">the included </w:t>
      </w:r>
      <w:r w:rsidRPr="00D8062C">
        <w:rPr>
          <w:rFonts w:ascii="Arial" w:eastAsia="Times New Roman" w:hAnsi="Arial" w:cs="Arial"/>
          <w:color w:val="000000"/>
          <w:lang w:val="en-US" w:eastAsia="it-IT"/>
        </w:rPr>
        <w:t>eye</w:t>
      </w:r>
      <w:r w:rsidR="004A3816">
        <w:rPr>
          <w:rFonts w:ascii="Arial" w:eastAsia="Times New Roman" w:hAnsi="Arial" w:cs="Arial"/>
          <w:color w:val="000000"/>
          <w:lang w:val="en-US" w:eastAsia="it-IT"/>
        </w:rPr>
        <w:t>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Any prior treatment for AMD, aside from antioxidants</w:t>
      </w:r>
      <w:r w:rsidR="004A3816">
        <w:rPr>
          <w:rFonts w:ascii="Arial" w:eastAsia="Times New Roman" w:hAnsi="Arial" w:cs="Arial"/>
          <w:color w:val="000000"/>
          <w:lang w:val="en-US" w:eastAsia="it-IT"/>
        </w:rPr>
        <w:t xml:space="preserve"> in the included eye;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Any other ocular condition that would progres</w:t>
      </w:r>
      <w:r w:rsidR="004A3816">
        <w:rPr>
          <w:rFonts w:ascii="Arial" w:eastAsia="Times New Roman" w:hAnsi="Arial" w:cs="Arial"/>
          <w:color w:val="000000"/>
          <w:lang w:val="en-US" w:eastAsia="it-IT"/>
        </w:rPr>
        <w:t>s</w:t>
      </w:r>
      <w:r w:rsidRPr="00D8062C">
        <w:rPr>
          <w:rFonts w:ascii="Arial" w:eastAsia="Times New Roman" w:hAnsi="Arial" w:cs="Arial"/>
          <w:color w:val="000000"/>
          <w:lang w:val="en-US" w:eastAsia="it-IT"/>
        </w:rPr>
        <w:t xml:space="preserve"> in the study period and confound visual acuity assessment</w:t>
      </w:r>
      <w:r w:rsidR="004A3816">
        <w:rPr>
          <w:rFonts w:ascii="Arial" w:eastAsia="Times New Roman" w:hAnsi="Arial" w:cs="Arial"/>
          <w:color w:val="000000"/>
          <w:lang w:val="en-US" w:eastAsia="it-IT"/>
        </w:rPr>
        <w:t>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Any ocular or systemic medication known to be toxic to the lens, retina or optic nerve</w:t>
      </w:r>
      <w:r w:rsidR="004A3816">
        <w:rPr>
          <w:rFonts w:ascii="Arial" w:eastAsia="Times New Roman" w:hAnsi="Arial" w:cs="Arial"/>
          <w:color w:val="000000"/>
          <w:lang w:val="en-US" w:eastAsia="it-IT"/>
        </w:rPr>
        <w:t>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Presence of idiopathic or autoimmune-associated uveitis</w:t>
      </w:r>
      <w:r w:rsidR="004A3816">
        <w:rPr>
          <w:rFonts w:ascii="Arial" w:eastAsia="Times New Roman" w:hAnsi="Arial" w:cs="Arial"/>
          <w:color w:val="000000"/>
          <w:lang w:val="en-US" w:eastAsia="it-IT"/>
        </w:rPr>
        <w:t>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Any intraocular surgery 3 months of entry</w:t>
      </w:r>
      <w:r w:rsidR="004A3816">
        <w:rPr>
          <w:rFonts w:ascii="Arial" w:eastAsia="Times New Roman" w:hAnsi="Arial" w:cs="Arial"/>
          <w:color w:val="000000"/>
          <w:lang w:val="en-US" w:eastAsia="it-IT"/>
        </w:rPr>
        <w:t>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Any prior thermal laser in the macula</w:t>
      </w:r>
      <w:r w:rsidR="004A3816">
        <w:rPr>
          <w:rFonts w:ascii="Arial" w:eastAsia="Times New Roman" w:hAnsi="Arial" w:cs="Arial"/>
          <w:color w:val="000000"/>
          <w:lang w:val="en-US" w:eastAsia="it-IT"/>
        </w:rPr>
        <w:t>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History of vitrectomy, filtering surgery, corneal transplant or retinal detachment surgery</w:t>
      </w:r>
      <w:r w:rsidR="004A3816">
        <w:rPr>
          <w:rFonts w:ascii="Arial" w:eastAsia="Times New Roman" w:hAnsi="Arial" w:cs="Arial"/>
          <w:color w:val="000000"/>
          <w:lang w:val="en-US" w:eastAsia="it-IT"/>
        </w:rPr>
        <w:t>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Previous therapeutic radiation in the ocular region in either eye</w:t>
      </w:r>
      <w:r w:rsidR="004A3816">
        <w:rPr>
          <w:rFonts w:ascii="Arial" w:eastAsia="Times New Roman" w:hAnsi="Arial" w:cs="Arial"/>
          <w:color w:val="000000"/>
          <w:lang w:val="en-US" w:eastAsia="it-IT"/>
        </w:rPr>
        <w:t>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Any treatment with an investigational agent in the previous 60 days before study entry</w:t>
      </w:r>
      <w:r w:rsidR="004A3816">
        <w:rPr>
          <w:rFonts w:ascii="Arial" w:eastAsia="Times New Roman" w:hAnsi="Arial" w:cs="Arial"/>
          <w:color w:val="000000"/>
          <w:lang w:val="en-US" w:eastAsia="it-IT"/>
        </w:rPr>
        <w:t>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Women of child-bearing potential, defined as all women less than 1 year postmenopausal or less than 6 weeks since sterilization at Baseline, unless they are using highly effective methods of contraception during dosing of study treatment</w:t>
      </w:r>
      <w:r w:rsidR="004A3816">
        <w:rPr>
          <w:rFonts w:ascii="Arial" w:eastAsia="Times New Roman" w:hAnsi="Arial" w:cs="Arial"/>
          <w:color w:val="000000"/>
          <w:lang w:val="en-US" w:eastAsia="it-IT"/>
        </w:rPr>
        <w:t>;</w:t>
      </w:r>
    </w:p>
    <w:p w:rsidR="00D8062C" w:rsidRPr="00D8062C" w:rsidRDefault="00D8062C" w:rsidP="00D8062C">
      <w:pPr>
        <w:numPr>
          <w:ilvl w:val="0"/>
          <w:numId w:val="3"/>
        </w:numPr>
        <w:shd w:val="clear" w:color="auto" w:fill="FFFFFF"/>
        <w:spacing w:line="480" w:lineRule="auto"/>
        <w:rPr>
          <w:rFonts w:ascii="Arial" w:eastAsia="Times New Roman" w:hAnsi="Arial" w:cs="Arial"/>
          <w:color w:val="000000"/>
          <w:lang w:val="en-US" w:eastAsia="it-IT"/>
        </w:rPr>
      </w:pPr>
      <w:r w:rsidRPr="00D8062C">
        <w:rPr>
          <w:rFonts w:ascii="Arial" w:eastAsia="Times New Roman" w:hAnsi="Arial" w:cs="Arial"/>
          <w:color w:val="000000"/>
          <w:lang w:val="en-US" w:eastAsia="it-IT"/>
        </w:rPr>
        <w:t>Participation in an investigational drug, biologic, or device study within 6 Months prior to Baseline</w:t>
      </w:r>
      <w:r w:rsidR="00A0447C">
        <w:rPr>
          <w:rFonts w:ascii="Arial" w:eastAsia="Times New Roman" w:hAnsi="Arial" w:cs="Arial"/>
          <w:color w:val="000000"/>
          <w:lang w:val="en-US" w:eastAsia="it-IT"/>
        </w:rPr>
        <w:t>.</w:t>
      </w:r>
    </w:p>
    <w:p w:rsidR="00D8062C" w:rsidRPr="00D8062C" w:rsidRDefault="00D8062C">
      <w:pPr>
        <w:rPr>
          <w:lang w:val="en-US"/>
        </w:rPr>
      </w:pPr>
    </w:p>
    <w:sectPr w:rsidR="00D8062C" w:rsidRPr="00D8062C" w:rsidSect="0094246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7727C"/>
    <w:multiLevelType w:val="multilevel"/>
    <w:tmpl w:val="C04E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186C03"/>
    <w:multiLevelType w:val="hybridMultilevel"/>
    <w:tmpl w:val="F91AE8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466F8"/>
    <w:multiLevelType w:val="multilevel"/>
    <w:tmpl w:val="F44A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2C"/>
    <w:rsid w:val="0035138C"/>
    <w:rsid w:val="004A3816"/>
    <w:rsid w:val="007030A0"/>
    <w:rsid w:val="00867E6F"/>
    <w:rsid w:val="0094246D"/>
    <w:rsid w:val="00A0447C"/>
    <w:rsid w:val="00B87516"/>
    <w:rsid w:val="00D8062C"/>
    <w:rsid w:val="00DD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3448AC"/>
  <w15:chartTrackingRefBased/>
  <w15:docId w15:val="{9E1DCB9B-59B5-604F-87B2-319F6CC9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806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D8062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030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4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Sacconi Riccardo</dc:creator>
  <cp:keywords/>
  <dc:description/>
  <cp:lastModifiedBy>Sacconi Riccardo</cp:lastModifiedBy>
  <cp:revision>7</cp:revision>
  <dcterms:created xsi:type="dcterms:W3CDTF">2020-04-23T18:02:00Z</dcterms:created>
  <dcterms:modified xsi:type="dcterms:W3CDTF">2020-11-03T14:22:00Z</dcterms:modified>
</cp:coreProperties>
</file>