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23F" w:rsidRPr="003E753C" w:rsidRDefault="0079523F" w:rsidP="007952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outlineLvl w:val="0"/>
        <w:rPr>
          <w:rFonts w:ascii="Arial" w:hAnsi="Arial" w:cs="Arial"/>
          <w:b/>
          <w:bCs/>
        </w:rPr>
      </w:pPr>
      <w:bookmarkStart w:id="0" w:name="_Toc224303244"/>
      <w:bookmarkStart w:id="1" w:name="_Toc224981001"/>
      <w:bookmarkStart w:id="2" w:name="_Toc273950612"/>
      <w:bookmarkStart w:id="3" w:name="_Toc330846165"/>
      <w:bookmarkStart w:id="4" w:name="OLE_LINK15"/>
      <w:bookmarkStart w:id="5" w:name="OLE_LINK16"/>
      <w:r w:rsidRPr="003E753C">
        <w:rPr>
          <w:rFonts w:ascii="Arial" w:hAnsi="Arial" w:cs="Arial"/>
          <w:b/>
          <w:bCs/>
        </w:rPr>
        <w:t>-Original Article-</w:t>
      </w:r>
    </w:p>
    <w:p w:rsidR="0079523F" w:rsidRPr="004E5C7B" w:rsidRDefault="0079523F" w:rsidP="007952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outlineLvl w:val="0"/>
        <w:rPr>
          <w:rFonts w:ascii="Arial" w:hAnsi="Arial" w:cs="Arial"/>
          <w:b/>
          <w:bCs/>
        </w:rPr>
      </w:pPr>
      <w:r w:rsidRPr="004E5C7B">
        <w:rPr>
          <w:rFonts w:ascii="Arial" w:hAnsi="Arial" w:cs="Arial"/>
          <w:b/>
          <w:bCs/>
        </w:rPr>
        <w:t>Subthreshold laser treatment for reticul</w:t>
      </w:r>
      <w:bookmarkStart w:id="6" w:name="_GoBack"/>
      <w:bookmarkEnd w:id="6"/>
      <w:r w:rsidRPr="004E5C7B">
        <w:rPr>
          <w:rFonts w:ascii="Arial" w:hAnsi="Arial" w:cs="Arial"/>
          <w:b/>
          <w:bCs/>
        </w:rPr>
        <w:t>ar pseudodrusen secondary to age-related macular degeneration</w:t>
      </w:r>
    </w:p>
    <w:p w:rsidR="0079523F" w:rsidRPr="006550E1" w:rsidRDefault="0079523F" w:rsidP="007952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outlineLvl w:val="0"/>
        <w:rPr>
          <w:rFonts w:ascii="Arial" w:hAnsi="Arial" w:cs="Arial"/>
          <w:b/>
          <w:bCs/>
        </w:rPr>
      </w:pPr>
    </w:p>
    <w:p w:rsidR="0079523F" w:rsidRPr="0079523F" w:rsidRDefault="0079523F" w:rsidP="007952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9356"/>
        </w:tabs>
        <w:autoSpaceDE w:val="0"/>
        <w:autoSpaceDN w:val="0"/>
        <w:adjustRightInd w:val="0"/>
        <w:spacing w:line="480" w:lineRule="auto"/>
        <w:ind w:right="-1"/>
        <w:contextualSpacing/>
        <w:rPr>
          <w:rFonts w:ascii="Arial" w:hAnsi="Arial" w:cs="Arial"/>
          <w:lang w:val="it-IT"/>
        </w:rPr>
      </w:pPr>
      <w:r w:rsidRPr="0079523F">
        <w:rPr>
          <w:rFonts w:ascii="Arial" w:hAnsi="Arial" w:cs="Arial"/>
          <w:lang w:val="it-IT"/>
        </w:rPr>
        <w:t>Giuseppe Querques, MD, PhD (1)(2)*, Riccardo Sacconi, MD, FEBO (1)(2)*, Francesco Gelormini, MD (1)(2), Enrico Borrelli, MD, FEBO (1)(2), Francesco Prascina, MD, (2), Ilaria Zucchiatti, MD (2), Lea Querques, MD (2), Francesco Bandello, MD, FEBO (1)(2)</w:t>
      </w:r>
    </w:p>
    <w:p w:rsidR="0079523F" w:rsidRPr="0079523F" w:rsidRDefault="0079523F" w:rsidP="007952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9356"/>
        </w:tabs>
        <w:autoSpaceDE w:val="0"/>
        <w:autoSpaceDN w:val="0"/>
        <w:adjustRightInd w:val="0"/>
        <w:spacing w:line="480" w:lineRule="auto"/>
        <w:ind w:right="-1"/>
        <w:contextualSpacing/>
        <w:rPr>
          <w:rFonts w:ascii="Arial" w:hAnsi="Arial" w:cs="Arial"/>
          <w:lang w:val="it-IT"/>
        </w:rPr>
      </w:pPr>
    </w:p>
    <w:p w:rsidR="0079523F" w:rsidRPr="004919BA" w:rsidRDefault="0079523F" w:rsidP="007952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9356"/>
        </w:tabs>
        <w:autoSpaceDE w:val="0"/>
        <w:autoSpaceDN w:val="0"/>
        <w:adjustRightInd w:val="0"/>
        <w:spacing w:line="480" w:lineRule="auto"/>
        <w:ind w:right="-1"/>
        <w:contextualSpacing/>
        <w:rPr>
          <w:rFonts w:ascii="Arial" w:hAnsi="Arial" w:cs="Arial"/>
        </w:rPr>
      </w:pPr>
      <w:r w:rsidRPr="004919BA">
        <w:rPr>
          <w:rFonts w:ascii="Arial" w:hAnsi="Arial" w:cs="Arial"/>
        </w:rPr>
        <w:t>(1) School of Medicine, Vita-Salute San Raffaele University, Milan, Italy</w:t>
      </w:r>
    </w:p>
    <w:p w:rsidR="0079523F" w:rsidRDefault="0079523F" w:rsidP="007952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9356"/>
        </w:tabs>
        <w:autoSpaceDE w:val="0"/>
        <w:autoSpaceDN w:val="0"/>
        <w:adjustRightInd w:val="0"/>
        <w:spacing w:line="480" w:lineRule="auto"/>
        <w:ind w:right="-1"/>
        <w:contextualSpacing/>
        <w:rPr>
          <w:rFonts w:ascii="Arial" w:hAnsi="Arial" w:cs="Arial"/>
        </w:rPr>
      </w:pPr>
      <w:r w:rsidRPr="004919BA">
        <w:rPr>
          <w:rFonts w:ascii="Arial" w:hAnsi="Arial" w:cs="Arial"/>
        </w:rPr>
        <w:t xml:space="preserve">(2) Division of head and neck, Ophthalmology Unit, IRCCS San Raffaele Scientific Institute, Milan, Italy </w:t>
      </w:r>
    </w:p>
    <w:p w:rsidR="0079523F" w:rsidRPr="004919BA" w:rsidRDefault="0079523F" w:rsidP="007952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9356"/>
        </w:tabs>
        <w:autoSpaceDE w:val="0"/>
        <w:autoSpaceDN w:val="0"/>
        <w:adjustRightInd w:val="0"/>
        <w:spacing w:line="480" w:lineRule="auto"/>
        <w:ind w:right="-1"/>
        <w:contextualSpacing/>
        <w:rPr>
          <w:rFonts w:ascii="Arial" w:hAnsi="Arial" w:cs="Arial"/>
        </w:rPr>
      </w:pPr>
    </w:p>
    <w:p w:rsidR="0079523F" w:rsidRDefault="0079523F" w:rsidP="0079523F">
      <w:pPr>
        <w:suppressLineNumbers/>
        <w:autoSpaceDE w:val="0"/>
        <w:autoSpaceDN w:val="0"/>
        <w:adjustRightInd w:val="0"/>
        <w:spacing w:line="480" w:lineRule="auto"/>
        <w:rPr>
          <w:rFonts w:ascii="Arial" w:hAnsi="Arial" w:cs="Arial"/>
        </w:rPr>
      </w:pPr>
      <w:r>
        <w:rPr>
          <w:rFonts w:ascii="Arial" w:hAnsi="Arial" w:cs="Arial"/>
        </w:rPr>
        <w:t>*These authors contributed equally to this study</w:t>
      </w:r>
      <w:r w:rsidRPr="009B3AE2">
        <w:rPr>
          <w:rFonts w:ascii="Arial" w:hAnsi="Arial" w:cs="Arial"/>
        </w:rPr>
        <w:t xml:space="preserve"> </w:t>
      </w:r>
      <w:r w:rsidRPr="00144FC7">
        <w:rPr>
          <w:rFonts w:ascii="Arial" w:hAnsi="Arial" w:cs="Arial"/>
        </w:rPr>
        <w:t>and should be considered equivalent</w:t>
      </w:r>
      <w:r>
        <w:rPr>
          <w:rFonts w:ascii="Arial" w:hAnsi="Arial" w:cs="Arial"/>
        </w:rPr>
        <w:t xml:space="preserve"> </w:t>
      </w:r>
      <w:r w:rsidRPr="00144FC7">
        <w:rPr>
          <w:rFonts w:ascii="Arial" w:hAnsi="Arial" w:cs="Arial"/>
        </w:rPr>
        <w:t xml:space="preserve">authors </w:t>
      </w:r>
    </w:p>
    <w:p w:rsidR="00E75E54" w:rsidRDefault="00E75E54" w:rsidP="00BD3928">
      <w:pPr>
        <w:pStyle w:val="Heading1"/>
        <w:numPr>
          <w:ilvl w:val="0"/>
          <w:numId w:val="0"/>
        </w:numPr>
      </w:pPr>
    </w:p>
    <w:p w:rsidR="00BD3928" w:rsidRPr="00826CD8" w:rsidRDefault="00BD3928" w:rsidP="00BD3928">
      <w:pPr>
        <w:pStyle w:val="Heading1"/>
        <w:numPr>
          <w:ilvl w:val="0"/>
          <w:numId w:val="0"/>
        </w:numPr>
        <w:rPr>
          <w:lang w:val="it-IT"/>
        </w:rPr>
      </w:pPr>
      <w:r w:rsidRPr="00826CD8">
        <w:rPr>
          <w:lang w:val="it-IT"/>
        </w:rPr>
        <w:t>PROTOCOL SUMMARY</w:t>
      </w:r>
      <w:bookmarkEnd w:id="0"/>
      <w:bookmarkEnd w:id="1"/>
      <w:bookmarkEnd w:id="2"/>
      <w:bookmarkEnd w:id="3"/>
      <w:r w:rsidR="00826CD8" w:rsidRPr="00826CD8">
        <w:rPr>
          <w:lang w:val="it-IT"/>
        </w:rPr>
        <w:t xml:space="preserve"> </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587"/>
      </w:tblGrid>
      <w:tr w:rsidR="00D43E5C" w:rsidRPr="001E0965" w:rsidTr="00D43E5C">
        <w:trPr>
          <w:trHeight w:val="477"/>
        </w:trPr>
        <w:tc>
          <w:tcPr>
            <w:tcW w:w="3168" w:type="dxa"/>
          </w:tcPr>
          <w:p w:rsidR="00D43E5C" w:rsidRPr="00D43E5C" w:rsidRDefault="00D43E5C" w:rsidP="001E0965">
            <w:pPr>
              <w:pStyle w:val="Header"/>
              <w:tabs>
                <w:tab w:val="clear" w:pos="4320"/>
                <w:tab w:val="clear" w:pos="8640"/>
              </w:tabs>
              <w:rPr>
                <w:rStyle w:val="BodyTextCharChar"/>
                <w:rFonts w:asciiTheme="majorHAnsi" w:hAnsiTheme="majorHAnsi"/>
                <w:b/>
              </w:rPr>
            </w:pPr>
            <w:r w:rsidRPr="00D43E5C">
              <w:rPr>
                <w:rStyle w:val="BodyTextCharChar"/>
                <w:rFonts w:asciiTheme="majorHAnsi" w:hAnsiTheme="majorHAnsi"/>
                <w:b/>
              </w:rPr>
              <w:t>Title</w:t>
            </w:r>
          </w:p>
        </w:tc>
        <w:tc>
          <w:tcPr>
            <w:tcW w:w="5587" w:type="dxa"/>
          </w:tcPr>
          <w:p w:rsidR="00D43E5C" w:rsidRPr="00D43E5C" w:rsidRDefault="00D43E5C" w:rsidP="001E0965">
            <w:pPr>
              <w:rPr>
                <w:rFonts w:asciiTheme="majorHAnsi" w:hAnsiTheme="majorHAnsi"/>
                <w:spacing w:val="-2"/>
              </w:rPr>
            </w:pPr>
            <w:r w:rsidRPr="00D43E5C">
              <w:rPr>
                <w:rFonts w:asciiTheme="majorHAnsi" w:hAnsiTheme="majorHAnsi"/>
                <w:spacing w:val="-2"/>
              </w:rPr>
              <w:t>Subthreshold laser treatment for reticular pseudodrusen secondary to age-related macular degeneration: the PASCAL clinical trial</w:t>
            </w:r>
          </w:p>
        </w:tc>
      </w:tr>
      <w:tr w:rsidR="00D43E5C" w:rsidRPr="001E0965" w:rsidTr="00D43E5C">
        <w:trPr>
          <w:trHeight w:val="509"/>
        </w:trPr>
        <w:tc>
          <w:tcPr>
            <w:tcW w:w="3168" w:type="dxa"/>
          </w:tcPr>
          <w:p w:rsidR="00D43E5C" w:rsidRPr="0049428C" w:rsidRDefault="00D43E5C" w:rsidP="001E0965">
            <w:pPr>
              <w:rPr>
                <w:rFonts w:asciiTheme="majorHAnsi" w:hAnsiTheme="majorHAnsi"/>
                <w:b/>
                <w:bCs/>
              </w:rPr>
            </w:pPr>
            <w:r w:rsidRPr="0049428C">
              <w:rPr>
                <w:rFonts w:asciiTheme="majorHAnsi" w:hAnsiTheme="majorHAnsi"/>
                <w:b/>
                <w:bCs/>
              </w:rPr>
              <w:t>Objectives</w:t>
            </w:r>
          </w:p>
        </w:tc>
        <w:tc>
          <w:tcPr>
            <w:tcW w:w="5587" w:type="dxa"/>
          </w:tcPr>
          <w:p w:rsidR="00D43E5C" w:rsidRPr="0049428C" w:rsidRDefault="00D43E5C" w:rsidP="00123DFA">
            <w:pPr>
              <w:autoSpaceDE w:val="0"/>
              <w:autoSpaceDN w:val="0"/>
              <w:adjustRightInd w:val="0"/>
              <w:jc w:val="both"/>
              <w:rPr>
                <w:rFonts w:asciiTheme="majorHAnsi" w:hAnsiTheme="majorHAnsi"/>
              </w:rPr>
            </w:pPr>
            <w:r w:rsidRPr="0049428C">
              <w:rPr>
                <w:rFonts w:asciiTheme="majorHAnsi" w:hAnsiTheme="majorHAnsi"/>
              </w:rPr>
              <w:t xml:space="preserve">To evaluate the </w:t>
            </w:r>
            <w:r w:rsidRPr="007A1BA4">
              <w:rPr>
                <w:rFonts w:asciiTheme="majorHAnsi" w:hAnsiTheme="majorHAnsi"/>
              </w:rPr>
              <w:t>effectiveness</w:t>
            </w:r>
            <w:r w:rsidRPr="00F57C4F">
              <w:rPr>
                <w:rFonts w:asciiTheme="majorHAnsi" w:hAnsiTheme="majorHAnsi"/>
              </w:rPr>
              <w:t xml:space="preserve"> </w:t>
            </w:r>
            <w:r w:rsidRPr="0049428C">
              <w:rPr>
                <w:rFonts w:asciiTheme="majorHAnsi" w:hAnsiTheme="majorHAnsi"/>
              </w:rPr>
              <w:t>of subthreshold laser treatment on retinal sensitivity in patients with reticular pseudodrusen secondary to AMD. Secondary objective is to investigate changes in best-corrected visual acuity, atrophy progression and safety</w:t>
            </w:r>
          </w:p>
        </w:tc>
      </w:tr>
      <w:tr w:rsidR="00D43E5C" w:rsidRPr="001E0965" w:rsidTr="00D43E5C">
        <w:trPr>
          <w:trHeight w:val="1187"/>
        </w:trPr>
        <w:tc>
          <w:tcPr>
            <w:tcW w:w="3168" w:type="dxa"/>
          </w:tcPr>
          <w:p w:rsidR="00D43E5C" w:rsidRPr="0049428C" w:rsidRDefault="00D43E5C" w:rsidP="001E0965">
            <w:pPr>
              <w:rPr>
                <w:rFonts w:asciiTheme="majorHAnsi" w:hAnsiTheme="majorHAnsi"/>
                <w:b/>
                <w:bCs/>
              </w:rPr>
            </w:pPr>
            <w:r w:rsidRPr="0049428C">
              <w:rPr>
                <w:rFonts w:asciiTheme="majorHAnsi" w:hAnsiTheme="majorHAnsi"/>
                <w:b/>
                <w:bCs/>
              </w:rPr>
              <w:t>Study Design</w:t>
            </w:r>
          </w:p>
        </w:tc>
        <w:tc>
          <w:tcPr>
            <w:tcW w:w="5587" w:type="dxa"/>
          </w:tcPr>
          <w:p w:rsidR="00D43E5C" w:rsidRPr="0049428C" w:rsidRDefault="00D43E5C" w:rsidP="00123DFA">
            <w:pPr>
              <w:autoSpaceDE w:val="0"/>
              <w:autoSpaceDN w:val="0"/>
              <w:adjustRightInd w:val="0"/>
              <w:jc w:val="both"/>
              <w:rPr>
                <w:rFonts w:asciiTheme="majorHAnsi" w:hAnsiTheme="majorHAnsi"/>
                <w:lang w:val="en-GB" w:eastAsia="it-IT"/>
              </w:rPr>
            </w:pPr>
            <w:r w:rsidRPr="0049428C">
              <w:rPr>
                <w:rFonts w:asciiTheme="majorHAnsi" w:hAnsiTheme="majorHAnsi"/>
                <w:bCs/>
                <w:iCs/>
              </w:rPr>
              <w:t xml:space="preserve">Pilot, single-center, interventional </w:t>
            </w:r>
            <w:r w:rsidRPr="006C0623">
              <w:rPr>
                <w:rFonts w:asciiTheme="majorHAnsi" w:hAnsiTheme="majorHAnsi"/>
                <w:bCs/>
                <w:iCs/>
              </w:rPr>
              <w:t>clinical trial</w:t>
            </w:r>
            <w:r w:rsidRPr="0049428C">
              <w:rPr>
                <w:rFonts w:asciiTheme="majorHAnsi" w:hAnsiTheme="majorHAnsi"/>
                <w:bCs/>
                <w:iCs/>
              </w:rPr>
              <w:t xml:space="preserve"> in which subjects will receive subthreshold laser treatment on a customized extramacular area of 1,27 </w:t>
            </w:r>
            <w:r>
              <w:rPr>
                <w:rFonts w:asciiTheme="majorHAnsi" w:hAnsiTheme="majorHAnsi"/>
                <w:bCs/>
                <w:iCs/>
              </w:rPr>
              <w:t>m</w:t>
            </w:r>
            <w:r w:rsidRPr="0049428C">
              <w:rPr>
                <w:rFonts w:asciiTheme="majorHAnsi" w:hAnsiTheme="majorHAnsi"/>
                <w:bCs/>
                <w:iCs/>
              </w:rPr>
              <w:t>m</w:t>
            </w:r>
            <w:r w:rsidRPr="0049428C">
              <w:rPr>
                <w:rFonts w:asciiTheme="majorHAnsi" w:hAnsiTheme="majorHAnsi"/>
                <w:bCs/>
                <w:iCs/>
                <w:vertAlign w:val="superscript"/>
              </w:rPr>
              <w:t xml:space="preserve">2 </w:t>
            </w:r>
          </w:p>
        </w:tc>
      </w:tr>
      <w:tr w:rsidR="00D43E5C" w:rsidRPr="001E0965" w:rsidTr="00D43E5C">
        <w:trPr>
          <w:trHeight w:val="1070"/>
        </w:trPr>
        <w:tc>
          <w:tcPr>
            <w:tcW w:w="3168" w:type="dxa"/>
          </w:tcPr>
          <w:p w:rsidR="00D43E5C" w:rsidRPr="0049428C" w:rsidRDefault="00D43E5C" w:rsidP="001E0965">
            <w:pPr>
              <w:rPr>
                <w:rFonts w:asciiTheme="majorHAnsi" w:hAnsiTheme="majorHAnsi"/>
                <w:b/>
                <w:bCs/>
              </w:rPr>
            </w:pPr>
            <w:r w:rsidRPr="0049428C">
              <w:rPr>
                <w:rFonts w:asciiTheme="majorHAnsi" w:hAnsiTheme="majorHAnsi"/>
                <w:b/>
                <w:bCs/>
              </w:rPr>
              <w:t>Study Population</w:t>
            </w:r>
          </w:p>
        </w:tc>
        <w:tc>
          <w:tcPr>
            <w:tcW w:w="5587" w:type="dxa"/>
          </w:tcPr>
          <w:p w:rsidR="00D43E5C" w:rsidRPr="0049428C" w:rsidRDefault="00D43E5C" w:rsidP="00F91BB1">
            <w:pPr>
              <w:rPr>
                <w:rFonts w:asciiTheme="majorHAnsi" w:hAnsiTheme="majorHAnsi"/>
                <w:bCs/>
                <w:iCs/>
              </w:rPr>
            </w:pPr>
            <w:r w:rsidRPr="0049428C">
              <w:rPr>
                <w:rFonts w:asciiTheme="majorHAnsi" w:hAnsiTheme="majorHAnsi"/>
              </w:rPr>
              <w:t>Patients with reticular pseudodrusen.</w:t>
            </w:r>
          </w:p>
        </w:tc>
      </w:tr>
      <w:tr w:rsidR="00D43E5C" w:rsidRPr="001E0965" w:rsidTr="00D43E5C">
        <w:tc>
          <w:tcPr>
            <w:tcW w:w="3168" w:type="dxa"/>
          </w:tcPr>
          <w:p w:rsidR="00D43E5C" w:rsidRPr="0049428C" w:rsidRDefault="00D43E5C" w:rsidP="001E0965">
            <w:pPr>
              <w:rPr>
                <w:rFonts w:asciiTheme="majorHAnsi" w:hAnsiTheme="majorHAnsi"/>
                <w:b/>
                <w:bCs/>
              </w:rPr>
            </w:pPr>
            <w:r w:rsidRPr="0049428C">
              <w:rPr>
                <w:rFonts w:asciiTheme="majorHAnsi" w:hAnsiTheme="majorHAnsi"/>
                <w:b/>
                <w:bCs/>
              </w:rPr>
              <w:t>Number of Subjects</w:t>
            </w:r>
          </w:p>
        </w:tc>
        <w:tc>
          <w:tcPr>
            <w:tcW w:w="5587" w:type="dxa"/>
          </w:tcPr>
          <w:p w:rsidR="00D43E5C" w:rsidRPr="0049428C" w:rsidRDefault="00D43E5C" w:rsidP="001E0965">
            <w:pPr>
              <w:jc w:val="both"/>
              <w:rPr>
                <w:rFonts w:asciiTheme="majorHAnsi" w:hAnsiTheme="majorHAnsi"/>
              </w:rPr>
            </w:pPr>
            <w:r>
              <w:rPr>
                <w:rFonts w:asciiTheme="majorHAnsi" w:hAnsiTheme="majorHAnsi"/>
              </w:rPr>
              <w:t>2</w:t>
            </w:r>
            <w:r w:rsidRPr="0049428C">
              <w:rPr>
                <w:rFonts w:asciiTheme="majorHAnsi" w:hAnsiTheme="majorHAnsi"/>
              </w:rPr>
              <w:t>0 subjects</w:t>
            </w:r>
          </w:p>
          <w:p w:rsidR="00D43E5C" w:rsidRPr="0049428C" w:rsidRDefault="00D43E5C" w:rsidP="00123DFA">
            <w:pPr>
              <w:rPr>
                <w:rFonts w:asciiTheme="majorHAnsi" w:hAnsiTheme="majorHAnsi"/>
              </w:rPr>
            </w:pPr>
          </w:p>
        </w:tc>
      </w:tr>
      <w:tr w:rsidR="00D43E5C" w:rsidRPr="001E0965" w:rsidTr="00D43E5C">
        <w:tc>
          <w:tcPr>
            <w:tcW w:w="3168" w:type="dxa"/>
          </w:tcPr>
          <w:p w:rsidR="00D43E5C" w:rsidRPr="0049428C" w:rsidRDefault="00D43E5C" w:rsidP="001E0965">
            <w:pPr>
              <w:tabs>
                <w:tab w:val="left" w:pos="1440"/>
              </w:tabs>
              <w:rPr>
                <w:rFonts w:asciiTheme="majorHAnsi" w:hAnsiTheme="majorHAnsi"/>
                <w:b/>
                <w:bCs/>
              </w:rPr>
            </w:pPr>
            <w:r w:rsidRPr="0049428C">
              <w:rPr>
                <w:rFonts w:asciiTheme="majorHAnsi" w:hAnsiTheme="majorHAnsi"/>
                <w:b/>
                <w:bCs/>
              </w:rPr>
              <w:lastRenderedPageBreak/>
              <w:t>Gender/Age</w:t>
            </w:r>
          </w:p>
        </w:tc>
        <w:tc>
          <w:tcPr>
            <w:tcW w:w="5587" w:type="dxa"/>
          </w:tcPr>
          <w:p w:rsidR="00D43E5C" w:rsidRPr="0049428C" w:rsidRDefault="00D43E5C" w:rsidP="001E0965">
            <w:pPr>
              <w:jc w:val="both"/>
              <w:rPr>
                <w:rFonts w:asciiTheme="majorHAnsi" w:hAnsiTheme="majorHAnsi"/>
              </w:rPr>
            </w:pPr>
            <w:r w:rsidRPr="0049428C">
              <w:rPr>
                <w:rFonts w:asciiTheme="majorHAnsi" w:hAnsiTheme="majorHAnsi"/>
              </w:rPr>
              <w:t xml:space="preserve">Males and females, </w:t>
            </w:r>
            <w:r w:rsidRPr="006C0623">
              <w:rPr>
                <w:rFonts w:asciiTheme="majorHAnsi" w:hAnsiTheme="majorHAnsi"/>
              </w:rPr>
              <w:t>50 years of age or older</w:t>
            </w:r>
            <w:r w:rsidRPr="0049428C">
              <w:rPr>
                <w:rFonts w:asciiTheme="majorHAnsi" w:hAnsiTheme="majorHAnsi"/>
              </w:rPr>
              <w:t>.</w:t>
            </w:r>
          </w:p>
          <w:p w:rsidR="00D43E5C" w:rsidRPr="0049428C" w:rsidRDefault="00D43E5C" w:rsidP="001E0965">
            <w:pPr>
              <w:tabs>
                <w:tab w:val="left" w:pos="1590"/>
                <w:tab w:val="left" w:pos="9270"/>
              </w:tabs>
              <w:ind w:right="72"/>
              <w:jc w:val="both"/>
              <w:rPr>
                <w:rFonts w:asciiTheme="majorHAnsi" w:hAnsiTheme="majorHAnsi"/>
              </w:rPr>
            </w:pPr>
          </w:p>
        </w:tc>
      </w:tr>
      <w:tr w:rsidR="00D43E5C" w:rsidRPr="001E0965" w:rsidTr="00D43E5C">
        <w:tc>
          <w:tcPr>
            <w:tcW w:w="3168" w:type="dxa"/>
          </w:tcPr>
          <w:p w:rsidR="00D43E5C" w:rsidRPr="0049428C" w:rsidRDefault="00D43E5C" w:rsidP="001E0965">
            <w:pPr>
              <w:tabs>
                <w:tab w:val="left" w:pos="1440"/>
              </w:tabs>
              <w:rPr>
                <w:rFonts w:asciiTheme="majorHAnsi" w:hAnsiTheme="majorHAnsi"/>
                <w:b/>
                <w:bCs/>
              </w:rPr>
            </w:pPr>
            <w:r w:rsidRPr="0049428C">
              <w:rPr>
                <w:rFonts w:asciiTheme="majorHAnsi" w:hAnsiTheme="majorHAnsi"/>
                <w:b/>
                <w:bCs/>
              </w:rPr>
              <w:t>Number of Centers</w:t>
            </w:r>
          </w:p>
        </w:tc>
        <w:tc>
          <w:tcPr>
            <w:tcW w:w="5587" w:type="dxa"/>
          </w:tcPr>
          <w:p w:rsidR="00D43E5C" w:rsidRPr="0049428C" w:rsidRDefault="00D43E5C" w:rsidP="001E0965">
            <w:pPr>
              <w:jc w:val="both"/>
              <w:rPr>
                <w:rFonts w:asciiTheme="majorHAnsi" w:hAnsiTheme="majorHAnsi"/>
              </w:rPr>
            </w:pPr>
            <w:r w:rsidRPr="0049428C">
              <w:rPr>
                <w:rFonts w:asciiTheme="majorHAnsi" w:hAnsiTheme="majorHAnsi"/>
              </w:rPr>
              <w:t>Single site.</w:t>
            </w:r>
          </w:p>
          <w:p w:rsidR="00D43E5C" w:rsidRPr="0049428C" w:rsidRDefault="00D43E5C" w:rsidP="001E0965">
            <w:pPr>
              <w:jc w:val="both"/>
              <w:rPr>
                <w:rFonts w:asciiTheme="majorHAnsi" w:hAnsiTheme="majorHAnsi" w:cs="Arial"/>
                <w:b/>
                <w:bCs/>
                <w:spacing w:val="4"/>
                <w:u w:color="000000"/>
              </w:rPr>
            </w:pPr>
          </w:p>
        </w:tc>
      </w:tr>
      <w:tr w:rsidR="00D43E5C" w:rsidRPr="001E0965" w:rsidTr="00D43E5C">
        <w:tc>
          <w:tcPr>
            <w:tcW w:w="3168" w:type="dxa"/>
          </w:tcPr>
          <w:p w:rsidR="00D43E5C" w:rsidRPr="0049428C" w:rsidRDefault="00D43E5C" w:rsidP="001E0965">
            <w:pPr>
              <w:tabs>
                <w:tab w:val="left" w:pos="1440"/>
              </w:tabs>
              <w:rPr>
                <w:rFonts w:asciiTheme="majorHAnsi" w:hAnsiTheme="majorHAnsi"/>
                <w:b/>
                <w:bCs/>
              </w:rPr>
            </w:pPr>
            <w:r w:rsidRPr="0049428C">
              <w:rPr>
                <w:rFonts w:asciiTheme="majorHAnsi" w:hAnsiTheme="majorHAnsi"/>
                <w:b/>
                <w:bCs/>
              </w:rPr>
              <w:t>Key Eligibility Criteria</w:t>
            </w:r>
          </w:p>
        </w:tc>
        <w:tc>
          <w:tcPr>
            <w:tcW w:w="5587" w:type="dxa"/>
          </w:tcPr>
          <w:p w:rsidR="00D43E5C" w:rsidRPr="0049428C" w:rsidRDefault="00D43E5C" w:rsidP="001E0965">
            <w:pPr>
              <w:widowControl w:val="0"/>
              <w:autoSpaceDE w:val="0"/>
              <w:autoSpaceDN w:val="0"/>
              <w:adjustRightInd w:val="0"/>
              <w:spacing w:after="240"/>
              <w:rPr>
                <w:rFonts w:asciiTheme="majorHAnsi" w:eastAsiaTheme="minorEastAsia" w:hAnsiTheme="majorHAnsi" w:cs="Times"/>
                <w:lang w:val="it-IT" w:eastAsia="it-IT"/>
              </w:rPr>
            </w:pPr>
            <w:r w:rsidRPr="0049428C">
              <w:rPr>
                <w:rFonts w:asciiTheme="majorHAnsi" w:eastAsiaTheme="minorEastAsia" w:hAnsiTheme="majorHAnsi" w:cs="Arial"/>
                <w:lang w:val="it-IT" w:eastAsia="it-IT"/>
              </w:rPr>
              <w:t xml:space="preserve">Inclusion Criteria: </w:t>
            </w:r>
          </w:p>
          <w:p w:rsidR="00D43E5C" w:rsidRPr="006C0623" w:rsidRDefault="00D43E5C" w:rsidP="00630554">
            <w:pPr>
              <w:pStyle w:val="ListParagraph"/>
              <w:widowControl w:val="0"/>
              <w:numPr>
                <w:ilvl w:val="0"/>
                <w:numId w:val="3"/>
              </w:numPr>
              <w:autoSpaceDE w:val="0"/>
              <w:autoSpaceDN w:val="0"/>
              <w:adjustRightInd w:val="0"/>
              <w:spacing w:after="240"/>
              <w:rPr>
                <w:rFonts w:asciiTheme="majorHAnsi" w:eastAsiaTheme="minorEastAsia" w:hAnsiTheme="majorHAnsi" w:cs="Times"/>
                <w:lang w:eastAsia="it-IT"/>
              </w:rPr>
            </w:pPr>
            <w:r w:rsidRPr="006C0623">
              <w:rPr>
                <w:rFonts w:asciiTheme="majorHAnsi" w:eastAsiaTheme="minorEastAsia" w:hAnsiTheme="majorHAnsi" w:cs="Arial"/>
                <w:lang w:eastAsia="it-IT"/>
              </w:rPr>
              <w:t xml:space="preserve">Reticular pseudodrusen </w:t>
            </w:r>
          </w:p>
          <w:p w:rsidR="00D43E5C" w:rsidRPr="0049428C" w:rsidRDefault="00D43E5C" w:rsidP="001E0965">
            <w:pPr>
              <w:pStyle w:val="ListParagraph"/>
              <w:widowControl w:val="0"/>
              <w:numPr>
                <w:ilvl w:val="0"/>
                <w:numId w:val="3"/>
              </w:numPr>
              <w:autoSpaceDE w:val="0"/>
              <w:autoSpaceDN w:val="0"/>
              <w:adjustRightInd w:val="0"/>
              <w:spacing w:after="240"/>
              <w:rPr>
                <w:rFonts w:asciiTheme="majorHAnsi" w:eastAsiaTheme="minorEastAsia" w:hAnsiTheme="majorHAnsi" w:cs="Times"/>
                <w:lang w:val="it-IT" w:eastAsia="it-IT"/>
              </w:rPr>
            </w:pPr>
            <w:r w:rsidRPr="0049428C">
              <w:rPr>
                <w:rFonts w:asciiTheme="majorHAnsi" w:eastAsiaTheme="minorEastAsia" w:hAnsiTheme="majorHAnsi" w:cs="Arial"/>
                <w:lang w:val="it-IT" w:eastAsia="it-IT"/>
              </w:rPr>
              <w:t>50 years or older </w:t>
            </w:r>
          </w:p>
          <w:p w:rsidR="00D43E5C" w:rsidRPr="006C0623" w:rsidRDefault="00D43E5C" w:rsidP="001E0965">
            <w:pPr>
              <w:pStyle w:val="ListParagraph"/>
              <w:widowControl w:val="0"/>
              <w:numPr>
                <w:ilvl w:val="0"/>
                <w:numId w:val="3"/>
              </w:numPr>
              <w:autoSpaceDE w:val="0"/>
              <w:autoSpaceDN w:val="0"/>
              <w:adjustRightInd w:val="0"/>
              <w:spacing w:after="240"/>
              <w:rPr>
                <w:rFonts w:asciiTheme="majorHAnsi" w:eastAsiaTheme="minorEastAsia" w:hAnsiTheme="majorHAnsi" w:cs="Times"/>
                <w:lang w:eastAsia="it-IT"/>
              </w:rPr>
            </w:pPr>
            <w:r w:rsidRPr="006C0623">
              <w:rPr>
                <w:rFonts w:asciiTheme="majorHAnsi" w:eastAsiaTheme="minorEastAsia" w:hAnsiTheme="majorHAnsi" w:cs="Arial"/>
                <w:lang w:eastAsia="it-IT"/>
              </w:rPr>
              <w:t xml:space="preserve">The periphery of the atrophic lesions must demonstrate increased autofluorescence </w:t>
            </w:r>
          </w:p>
          <w:p w:rsidR="00D43E5C" w:rsidRPr="006C0623" w:rsidRDefault="00D43E5C" w:rsidP="001E0965">
            <w:pPr>
              <w:pStyle w:val="ListParagraph"/>
              <w:widowControl w:val="0"/>
              <w:numPr>
                <w:ilvl w:val="0"/>
                <w:numId w:val="3"/>
              </w:numPr>
              <w:autoSpaceDE w:val="0"/>
              <w:autoSpaceDN w:val="0"/>
              <w:adjustRightInd w:val="0"/>
              <w:spacing w:after="240"/>
              <w:rPr>
                <w:rFonts w:asciiTheme="majorHAnsi" w:eastAsiaTheme="minorEastAsia" w:hAnsiTheme="majorHAnsi" w:cs="Times"/>
                <w:lang w:eastAsia="it-IT"/>
              </w:rPr>
            </w:pPr>
            <w:r w:rsidRPr="006C0623">
              <w:rPr>
                <w:rFonts w:asciiTheme="majorHAnsi" w:eastAsiaTheme="minorEastAsia" w:hAnsiTheme="majorHAnsi" w:cs="Arial"/>
                <w:lang w:eastAsia="it-IT"/>
              </w:rPr>
              <w:t>Best corrected visual acuity between 20/20 and 20/400 inclusive </w:t>
            </w:r>
          </w:p>
          <w:p w:rsidR="00D43E5C" w:rsidRPr="0049428C" w:rsidRDefault="00D43E5C" w:rsidP="001E0965">
            <w:pPr>
              <w:pStyle w:val="ListParagraph"/>
              <w:widowControl w:val="0"/>
              <w:numPr>
                <w:ilvl w:val="0"/>
                <w:numId w:val="3"/>
              </w:numPr>
              <w:autoSpaceDE w:val="0"/>
              <w:autoSpaceDN w:val="0"/>
              <w:adjustRightInd w:val="0"/>
              <w:spacing w:after="240"/>
              <w:rPr>
                <w:rFonts w:asciiTheme="majorHAnsi" w:eastAsiaTheme="minorEastAsia" w:hAnsiTheme="majorHAnsi" w:cs="Times"/>
                <w:lang w:val="it-IT" w:eastAsia="it-IT"/>
              </w:rPr>
            </w:pPr>
            <w:r w:rsidRPr="0049428C">
              <w:rPr>
                <w:rFonts w:asciiTheme="majorHAnsi" w:eastAsiaTheme="minorEastAsia" w:hAnsiTheme="majorHAnsi" w:cs="Arial"/>
                <w:lang w:val="it-IT" w:eastAsia="it-IT"/>
              </w:rPr>
              <w:t>Clear ocular media </w:t>
            </w:r>
          </w:p>
          <w:p w:rsidR="00D43E5C" w:rsidRPr="006C0623" w:rsidRDefault="00D43E5C" w:rsidP="001E0965">
            <w:pPr>
              <w:pStyle w:val="ListParagraph"/>
              <w:widowControl w:val="0"/>
              <w:numPr>
                <w:ilvl w:val="0"/>
                <w:numId w:val="3"/>
              </w:numPr>
              <w:autoSpaceDE w:val="0"/>
              <w:autoSpaceDN w:val="0"/>
              <w:adjustRightInd w:val="0"/>
              <w:spacing w:after="240"/>
              <w:rPr>
                <w:rFonts w:asciiTheme="majorHAnsi" w:eastAsiaTheme="minorEastAsia" w:hAnsiTheme="majorHAnsi" w:cs="Times"/>
                <w:lang w:eastAsia="it-IT"/>
              </w:rPr>
            </w:pPr>
            <w:r w:rsidRPr="006C0623">
              <w:rPr>
                <w:rFonts w:asciiTheme="majorHAnsi" w:eastAsiaTheme="minorEastAsia" w:hAnsiTheme="majorHAnsi" w:cs="Arial"/>
                <w:lang w:eastAsia="it-IT"/>
              </w:rPr>
              <w:t xml:space="preserve">Ability to provide informed consent and attend all study visits </w:t>
            </w:r>
          </w:p>
          <w:p w:rsidR="00D43E5C" w:rsidRPr="0049428C" w:rsidRDefault="00D43E5C" w:rsidP="001E0965">
            <w:pPr>
              <w:widowControl w:val="0"/>
              <w:autoSpaceDE w:val="0"/>
              <w:autoSpaceDN w:val="0"/>
              <w:adjustRightInd w:val="0"/>
              <w:spacing w:after="240"/>
              <w:rPr>
                <w:rFonts w:asciiTheme="majorHAnsi" w:eastAsiaTheme="minorEastAsia" w:hAnsiTheme="majorHAnsi" w:cs="Arial"/>
                <w:lang w:val="it-IT" w:eastAsia="it-IT"/>
              </w:rPr>
            </w:pPr>
            <w:r w:rsidRPr="0049428C">
              <w:rPr>
                <w:rFonts w:asciiTheme="majorHAnsi" w:eastAsiaTheme="minorEastAsia" w:hAnsiTheme="majorHAnsi" w:cs="Arial"/>
                <w:lang w:val="it-IT" w:eastAsia="it-IT"/>
              </w:rPr>
              <w:t>Exclusion Criteria: </w:t>
            </w:r>
          </w:p>
          <w:p w:rsidR="00D43E5C" w:rsidRPr="00EB411F" w:rsidRDefault="00D43E5C" w:rsidP="00EB411F">
            <w:pPr>
              <w:pStyle w:val="ListParagraph"/>
              <w:widowControl w:val="0"/>
              <w:numPr>
                <w:ilvl w:val="0"/>
                <w:numId w:val="4"/>
              </w:numPr>
              <w:autoSpaceDE w:val="0"/>
              <w:autoSpaceDN w:val="0"/>
              <w:adjustRightInd w:val="0"/>
              <w:spacing w:after="240"/>
              <w:rPr>
                <w:rFonts w:asciiTheme="majorHAnsi" w:eastAsiaTheme="minorEastAsia" w:hAnsiTheme="majorHAnsi" w:cs="Arial"/>
                <w:lang w:eastAsia="it-IT"/>
              </w:rPr>
            </w:pPr>
            <w:r w:rsidRPr="006C0623">
              <w:rPr>
                <w:rFonts w:asciiTheme="majorHAnsi" w:eastAsiaTheme="minorEastAsia" w:hAnsiTheme="majorHAnsi" w:cs="Arial"/>
                <w:lang w:eastAsia="it-IT"/>
              </w:rPr>
              <w:t>GA secondary to other causes aside from AM</w:t>
            </w:r>
            <w:r w:rsidR="00EB411F">
              <w:rPr>
                <w:rFonts w:asciiTheme="majorHAnsi" w:eastAsiaTheme="minorEastAsia" w:hAnsiTheme="majorHAnsi" w:cs="Arial"/>
                <w:lang w:eastAsia="it-IT"/>
              </w:rPr>
              <w:t>D</w:t>
            </w:r>
          </w:p>
          <w:p w:rsidR="00D43E5C" w:rsidRDefault="00D43E5C" w:rsidP="00EB78AA">
            <w:pPr>
              <w:pStyle w:val="ListParagraph"/>
              <w:widowControl w:val="0"/>
              <w:numPr>
                <w:ilvl w:val="0"/>
                <w:numId w:val="4"/>
              </w:numPr>
              <w:autoSpaceDE w:val="0"/>
              <w:autoSpaceDN w:val="0"/>
              <w:adjustRightInd w:val="0"/>
              <w:spacing w:after="240"/>
              <w:rPr>
                <w:rFonts w:asciiTheme="majorHAnsi" w:eastAsiaTheme="minorEastAsia" w:hAnsiTheme="majorHAnsi" w:cs="Arial"/>
                <w:lang w:eastAsia="it-IT"/>
              </w:rPr>
            </w:pPr>
            <w:r w:rsidRPr="006C0623">
              <w:rPr>
                <w:rFonts w:asciiTheme="majorHAnsi" w:eastAsiaTheme="minorEastAsia" w:hAnsiTheme="majorHAnsi" w:cs="Arial"/>
                <w:lang w:eastAsia="it-IT"/>
              </w:rPr>
              <w:t>Any prior treatment for AMD, aside from antioxidants </w:t>
            </w:r>
          </w:p>
          <w:p w:rsidR="00D43E5C" w:rsidRPr="00FF10BF" w:rsidRDefault="00D43E5C" w:rsidP="00FF10BF">
            <w:pPr>
              <w:pStyle w:val="ListParagraph"/>
              <w:widowControl w:val="0"/>
              <w:numPr>
                <w:ilvl w:val="0"/>
                <w:numId w:val="4"/>
              </w:numPr>
              <w:autoSpaceDE w:val="0"/>
              <w:autoSpaceDN w:val="0"/>
              <w:adjustRightInd w:val="0"/>
              <w:spacing w:after="240"/>
              <w:rPr>
                <w:rFonts w:asciiTheme="majorHAnsi" w:eastAsiaTheme="minorEastAsia" w:hAnsiTheme="majorHAnsi" w:cs="Arial"/>
                <w:lang w:eastAsia="it-IT"/>
              </w:rPr>
            </w:pPr>
            <w:r w:rsidRPr="00FF10BF">
              <w:rPr>
                <w:rFonts w:asciiTheme="majorHAnsi" w:eastAsiaTheme="minorEastAsia" w:hAnsiTheme="majorHAnsi" w:cs="Arial"/>
                <w:lang w:eastAsia="it-IT"/>
              </w:rPr>
              <w:t>Any corneal opacity, cataract formation and hemorrhage in the vitreous body, which may interfere with viewing by the laser surgeon of the target structures</w:t>
            </w:r>
          </w:p>
          <w:p w:rsidR="00D43E5C" w:rsidRPr="00FF10BF" w:rsidRDefault="00D43E5C" w:rsidP="00FF10BF">
            <w:pPr>
              <w:pStyle w:val="ListParagraph"/>
              <w:widowControl w:val="0"/>
              <w:numPr>
                <w:ilvl w:val="0"/>
                <w:numId w:val="4"/>
              </w:numPr>
              <w:autoSpaceDE w:val="0"/>
              <w:autoSpaceDN w:val="0"/>
              <w:adjustRightInd w:val="0"/>
              <w:spacing w:after="240"/>
              <w:rPr>
                <w:lang w:eastAsia="it-IT"/>
              </w:rPr>
            </w:pPr>
            <w:r w:rsidRPr="00FF10BF">
              <w:rPr>
                <w:rFonts w:asciiTheme="majorHAnsi" w:eastAsiaTheme="minorEastAsia" w:hAnsiTheme="majorHAnsi" w:cs="Arial"/>
                <w:lang w:eastAsia="it-IT"/>
              </w:rPr>
              <w:t>Aphakic eye with vitreous in the anterior chamber</w:t>
            </w:r>
          </w:p>
          <w:p w:rsidR="00D43E5C" w:rsidRPr="00FF10BF" w:rsidRDefault="00D43E5C" w:rsidP="00FF10BF">
            <w:pPr>
              <w:pStyle w:val="ListParagraph"/>
              <w:widowControl w:val="0"/>
              <w:numPr>
                <w:ilvl w:val="0"/>
                <w:numId w:val="4"/>
              </w:numPr>
              <w:autoSpaceDE w:val="0"/>
              <w:autoSpaceDN w:val="0"/>
              <w:adjustRightInd w:val="0"/>
              <w:spacing w:after="240"/>
              <w:rPr>
                <w:rFonts w:asciiTheme="majorHAnsi" w:eastAsiaTheme="minorEastAsia" w:hAnsiTheme="majorHAnsi" w:cs="Arial"/>
                <w:lang w:eastAsia="it-IT"/>
              </w:rPr>
            </w:pPr>
            <w:r w:rsidRPr="00FF10BF">
              <w:rPr>
                <w:rFonts w:asciiTheme="majorHAnsi" w:eastAsiaTheme="minorEastAsia" w:hAnsiTheme="majorHAnsi" w:cs="Arial"/>
                <w:lang w:eastAsia="it-IT"/>
              </w:rPr>
              <w:t xml:space="preserve">Neovascular Glaucoma </w:t>
            </w:r>
          </w:p>
          <w:p w:rsidR="00D43E5C" w:rsidRPr="00FF10BF" w:rsidRDefault="00D43E5C" w:rsidP="00FF10BF">
            <w:pPr>
              <w:pStyle w:val="ListParagraph"/>
              <w:widowControl w:val="0"/>
              <w:numPr>
                <w:ilvl w:val="0"/>
                <w:numId w:val="4"/>
              </w:numPr>
              <w:autoSpaceDE w:val="0"/>
              <w:autoSpaceDN w:val="0"/>
              <w:adjustRightInd w:val="0"/>
              <w:spacing w:after="240"/>
              <w:rPr>
                <w:rFonts w:asciiTheme="majorHAnsi" w:eastAsiaTheme="minorEastAsia" w:hAnsiTheme="majorHAnsi" w:cs="Arial"/>
                <w:lang w:eastAsia="it-IT"/>
              </w:rPr>
            </w:pPr>
            <w:r w:rsidRPr="00FF10BF">
              <w:rPr>
                <w:rFonts w:asciiTheme="majorHAnsi" w:eastAsiaTheme="minorEastAsia" w:hAnsiTheme="majorHAnsi" w:cs="Arial"/>
                <w:lang w:eastAsia="it-IT"/>
              </w:rPr>
              <w:t>Glaucoma caused by congenital angle anomalies</w:t>
            </w:r>
          </w:p>
          <w:p w:rsidR="00D43E5C" w:rsidRPr="00FF10BF" w:rsidRDefault="00D43E5C" w:rsidP="00FF10BF">
            <w:pPr>
              <w:pStyle w:val="ListParagraph"/>
              <w:widowControl w:val="0"/>
              <w:numPr>
                <w:ilvl w:val="0"/>
                <w:numId w:val="4"/>
              </w:numPr>
              <w:autoSpaceDE w:val="0"/>
              <w:autoSpaceDN w:val="0"/>
              <w:adjustRightInd w:val="0"/>
              <w:spacing w:after="240"/>
              <w:rPr>
                <w:rFonts w:asciiTheme="majorHAnsi" w:eastAsiaTheme="minorEastAsia" w:hAnsiTheme="majorHAnsi" w:cs="Arial"/>
                <w:lang w:eastAsia="it-IT"/>
              </w:rPr>
            </w:pPr>
            <w:r w:rsidRPr="00FF10BF">
              <w:rPr>
                <w:rFonts w:asciiTheme="majorHAnsi" w:eastAsiaTheme="minorEastAsia" w:hAnsiTheme="majorHAnsi" w:cs="Arial"/>
                <w:lang w:eastAsia="it-IT"/>
              </w:rPr>
              <w:t>Open angle of less than 90º or extensive peripheral anterior and low synechia, present circumferentially around the corner</w:t>
            </w:r>
          </w:p>
          <w:p w:rsidR="00D43E5C" w:rsidRPr="00FF10BF" w:rsidRDefault="00D43E5C" w:rsidP="00FF10BF">
            <w:pPr>
              <w:pStyle w:val="ListParagraph"/>
              <w:widowControl w:val="0"/>
              <w:numPr>
                <w:ilvl w:val="0"/>
                <w:numId w:val="4"/>
              </w:numPr>
              <w:autoSpaceDE w:val="0"/>
              <w:autoSpaceDN w:val="0"/>
              <w:adjustRightInd w:val="0"/>
              <w:spacing w:after="240"/>
              <w:rPr>
                <w:rFonts w:asciiTheme="majorHAnsi" w:eastAsiaTheme="minorEastAsia" w:hAnsiTheme="majorHAnsi" w:cs="Arial"/>
                <w:lang w:eastAsia="it-IT"/>
              </w:rPr>
            </w:pPr>
            <w:r w:rsidRPr="00FF10BF">
              <w:rPr>
                <w:rFonts w:asciiTheme="majorHAnsi" w:eastAsiaTheme="minorEastAsia" w:hAnsiTheme="majorHAnsi" w:cs="Arial"/>
                <w:lang w:eastAsia="it-IT"/>
              </w:rPr>
              <w:t>Significant corneal edema or reduced water clarity that obscures the view angle in detail</w:t>
            </w:r>
          </w:p>
          <w:p w:rsidR="00D43E5C" w:rsidRPr="006C0623" w:rsidRDefault="00D43E5C" w:rsidP="00FF10BF">
            <w:pPr>
              <w:pStyle w:val="ListParagraph"/>
              <w:widowControl w:val="0"/>
              <w:numPr>
                <w:ilvl w:val="0"/>
                <w:numId w:val="4"/>
              </w:numPr>
              <w:autoSpaceDE w:val="0"/>
              <w:autoSpaceDN w:val="0"/>
              <w:adjustRightInd w:val="0"/>
              <w:spacing w:after="240"/>
              <w:rPr>
                <w:rFonts w:asciiTheme="majorHAnsi" w:eastAsiaTheme="minorEastAsia" w:hAnsiTheme="majorHAnsi" w:cs="Arial"/>
                <w:lang w:eastAsia="it-IT"/>
              </w:rPr>
            </w:pPr>
            <w:r w:rsidRPr="00FF10BF">
              <w:rPr>
                <w:rFonts w:asciiTheme="majorHAnsi" w:eastAsiaTheme="minorEastAsia" w:hAnsiTheme="majorHAnsi" w:cs="Arial"/>
                <w:lang w:eastAsia="it-IT"/>
              </w:rPr>
              <w:t>Glaucoma secondary to active uveitis</w:t>
            </w:r>
          </w:p>
          <w:p w:rsidR="00D43E5C" w:rsidRPr="006C0623" w:rsidRDefault="00D43E5C" w:rsidP="00EB78AA">
            <w:pPr>
              <w:pStyle w:val="ListParagraph"/>
              <w:widowControl w:val="0"/>
              <w:numPr>
                <w:ilvl w:val="0"/>
                <w:numId w:val="4"/>
              </w:numPr>
              <w:autoSpaceDE w:val="0"/>
              <w:autoSpaceDN w:val="0"/>
              <w:adjustRightInd w:val="0"/>
              <w:spacing w:after="240"/>
              <w:rPr>
                <w:rFonts w:asciiTheme="majorHAnsi" w:eastAsiaTheme="minorEastAsia" w:hAnsiTheme="majorHAnsi" w:cs="Arial"/>
                <w:lang w:eastAsia="it-IT"/>
              </w:rPr>
            </w:pPr>
            <w:r w:rsidRPr="006C0623">
              <w:rPr>
                <w:rFonts w:asciiTheme="majorHAnsi" w:eastAsiaTheme="minorEastAsia" w:hAnsiTheme="majorHAnsi" w:cs="Arial"/>
                <w:lang w:eastAsia="it-IT"/>
              </w:rPr>
              <w:t xml:space="preserve">Any other ocular condition that would progress in the study period and confound visual acuity assessment </w:t>
            </w:r>
          </w:p>
          <w:p w:rsidR="00D43E5C" w:rsidRPr="006C0623" w:rsidRDefault="00D43E5C" w:rsidP="00EB78AA">
            <w:pPr>
              <w:pStyle w:val="ListParagraph"/>
              <w:widowControl w:val="0"/>
              <w:numPr>
                <w:ilvl w:val="0"/>
                <w:numId w:val="4"/>
              </w:numPr>
              <w:autoSpaceDE w:val="0"/>
              <w:autoSpaceDN w:val="0"/>
              <w:adjustRightInd w:val="0"/>
              <w:spacing w:after="240"/>
              <w:rPr>
                <w:rFonts w:asciiTheme="majorHAnsi" w:eastAsiaTheme="minorEastAsia" w:hAnsiTheme="majorHAnsi" w:cs="Arial"/>
                <w:lang w:eastAsia="it-IT"/>
              </w:rPr>
            </w:pPr>
            <w:r w:rsidRPr="006C0623">
              <w:rPr>
                <w:rFonts w:asciiTheme="majorHAnsi" w:eastAsiaTheme="minorEastAsia" w:hAnsiTheme="majorHAnsi" w:cs="Arial"/>
                <w:lang w:eastAsia="it-IT"/>
              </w:rPr>
              <w:t>Any ocular or systemic medication known to be toxic to the lens, retina or optic nerve Presence of idiopathic or autoimmune-associated uveitis </w:t>
            </w:r>
          </w:p>
          <w:p w:rsidR="00D43E5C" w:rsidRPr="006C0623" w:rsidRDefault="00D43E5C" w:rsidP="00EB78AA">
            <w:pPr>
              <w:pStyle w:val="ListParagraph"/>
              <w:widowControl w:val="0"/>
              <w:numPr>
                <w:ilvl w:val="0"/>
                <w:numId w:val="4"/>
              </w:numPr>
              <w:autoSpaceDE w:val="0"/>
              <w:autoSpaceDN w:val="0"/>
              <w:adjustRightInd w:val="0"/>
              <w:spacing w:after="240"/>
              <w:rPr>
                <w:rFonts w:asciiTheme="majorHAnsi" w:eastAsiaTheme="minorEastAsia" w:hAnsiTheme="majorHAnsi" w:cs="Arial"/>
                <w:lang w:eastAsia="it-IT"/>
              </w:rPr>
            </w:pPr>
            <w:r w:rsidRPr="006C0623">
              <w:rPr>
                <w:rFonts w:asciiTheme="majorHAnsi" w:eastAsiaTheme="minorEastAsia" w:hAnsiTheme="majorHAnsi" w:cs="Arial"/>
                <w:lang w:eastAsia="it-IT"/>
              </w:rPr>
              <w:t>Any intraocular surgery 3 months of entry </w:t>
            </w:r>
          </w:p>
          <w:p w:rsidR="00D43E5C" w:rsidRPr="006C0623" w:rsidRDefault="00D43E5C" w:rsidP="00EB78AA">
            <w:pPr>
              <w:pStyle w:val="ListParagraph"/>
              <w:widowControl w:val="0"/>
              <w:numPr>
                <w:ilvl w:val="0"/>
                <w:numId w:val="4"/>
              </w:numPr>
              <w:autoSpaceDE w:val="0"/>
              <w:autoSpaceDN w:val="0"/>
              <w:adjustRightInd w:val="0"/>
              <w:spacing w:after="240"/>
              <w:rPr>
                <w:rFonts w:asciiTheme="majorHAnsi" w:eastAsiaTheme="minorEastAsia" w:hAnsiTheme="majorHAnsi" w:cs="Arial"/>
                <w:lang w:eastAsia="it-IT"/>
              </w:rPr>
            </w:pPr>
            <w:r w:rsidRPr="006C0623">
              <w:rPr>
                <w:rFonts w:asciiTheme="majorHAnsi" w:eastAsiaTheme="minorEastAsia" w:hAnsiTheme="majorHAnsi" w:cs="Arial"/>
                <w:lang w:eastAsia="it-IT"/>
              </w:rPr>
              <w:t>Any prior thermal laser in the macula </w:t>
            </w:r>
          </w:p>
          <w:p w:rsidR="00D43E5C" w:rsidRPr="006C0623" w:rsidRDefault="00D43E5C" w:rsidP="00EB78AA">
            <w:pPr>
              <w:pStyle w:val="ListParagraph"/>
              <w:widowControl w:val="0"/>
              <w:numPr>
                <w:ilvl w:val="0"/>
                <w:numId w:val="4"/>
              </w:numPr>
              <w:autoSpaceDE w:val="0"/>
              <w:autoSpaceDN w:val="0"/>
              <w:adjustRightInd w:val="0"/>
              <w:spacing w:after="240"/>
              <w:rPr>
                <w:rFonts w:asciiTheme="majorHAnsi" w:eastAsiaTheme="minorEastAsia" w:hAnsiTheme="majorHAnsi" w:cs="Arial"/>
                <w:lang w:eastAsia="it-IT"/>
              </w:rPr>
            </w:pPr>
            <w:r w:rsidRPr="006C0623">
              <w:rPr>
                <w:rFonts w:asciiTheme="majorHAnsi" w:eastAsiaTheme="minorEastAsia" w:hAnsiTheme="majorHAnsi" w:cs="Arial"/>
                <w:lang w:eastAsia="it-IT"/>
              </w:rPr>
              <w:t>History of vitrectomy, filtering surgery, corneal transplant or retinal detachment surgery</w:t>
            </w:r>
          </w:p>
          <w:p w:rsidR="00D43E5C" w:rsidRPr="006C0623" w:rsidRDefault="00D43E5C" w:rsidP="00EB78AA">
            <w:pPr>
              <w:pStyle w:val="ListParagraph"/>
              <w:widowControl w:val="0"/>
              <w:numPr>
                <w:ilvl w:val="0"/>
                <w:numId w:val="4"/>
              </w:numPr>
              <w:autoSpaceDE w:val="0"/>
              <w:autoSpaceDN w:val="0"/>
              <w:adjustRightInd w:val="0"/>
              <w:spacing w:after="240"/>
              <w:rPr>
                <w:rFonts w:asciiTheme="majorHAnsi" w:eastAsiaTheme="minorEastAsia" w:hAnsiTheme="majorHAnsi" w:cs="Arial"/>
                <w:lang w:eastAsia="it-IT"/>
              </w:rPr>
            </w:pPr>
            <w:r w:rsidRPr="006C0623">
              <w:rPr>
                <w:rFonts w:asciiTheme="majorHAnsi" w:eastAsiaTheme="minorEastAsia" w:hAnsiTheme="majorHAnsi" w:cs="Arial"/>
                <w:lang w:eastAsia="it-IT"/>
              </w:rPr>
              <w:t xml:space="preserve"> Previous therapeutic radiation in the ocular </w:t>
            </w:r>
            <w:r w:rsidRPr="006C0623">
              <w:rPr>
                <w:rFonts w:asciiTheme="majorHAnsi" w:eastAsiaTheme="minorEastAsia" w:hAnsiTheme="majorHAnsi" w:cs="Arial"/>
                <w:lang w:eastAsia="it-IT"/>
              </w:rPr>
              <w:lastRenderedPageBreak/>
              <w:t>region in either eye </w:t>
            </w:r>
          </w:p>
          <w:p w:rsidR="00D43E5C" w:rsidRPr="003179E6" w:rsidRDefault="00D43E5C" w:rsidP="00EB78AA">
            <w:pPr>
              <w:pStyle w:val="ListParagraph"/>
              <w:widowControl w:val="0"/>
              <w:numPr>
                <w:ilvl w:val="0"/>
                <w:numId w:val="4"/>
              </w:numPr>
              <w:autoSpaceDE w:val="0"/>
              <w:autoSpaceDN w:val="0"/>
              <w:adjustRightInd w:val="0"/>
              <w:spacing w:after="240"/>
              <w:rPr>
                <w:rFonts w:asciiTheme="majorHAnsi" w:eastAsiaTheme="minorEastAsia" w:hAnsiTheme="majorHAnsi" w:cs="Arial"/>
                <w:lang w:eastAsia="it-IT"/>
              </w:rPr>
            </w:pPr>
            <w:r w:rsidRPr="006C0623">
              <w:rPr>
                <w:rFonts w:asciiTheme="majorHAnsi" w:eastAsiaTheme="minorEastAsia" w:hAnsiTheme="majorHAnsi" w:cs="Arial"/>
                <w:lang w:eastAsia="it-IT"/>
              </w:rPr>
              <w:t xml:space="preserve">Any treatment with an investigational agent in the previous 60 days before study entry </w:t>
            </w:r>
          </w:p>
          <w:p w:rsidR="00D43E5C" w:rsidRPr="003179E6" w:rsidRDefault="00D43E5C" w:rsidP="00C11D40">
            <w:pPr>
              <w:pStyle w:val="ListParagraph"/>
              <w:widowControl w:val="0"/>
              <w:numPr>
                <w:ilvl w:val="0"/>
                <w:numId w:val="4"/>
              </w:numPr>
              <w:autoSpaceDE w:val="0"/>
              <w:autoSpaceDN w:val="0"/>
              <w:adjustRightInd w:val="0"/>
              <w:spacing w:after="240"/>
              <w:rPr>
                <w:rFonts w:asciiTheme="majorHAnsi" w:eastAsiaTheme="minorEastAsia" w:hAnsiTheme="majorHAnsi" w:cs="Arial"/>
                <w:lang w:eastAsia="it-IT"/>
              </w:rPr>
            </w:pPr>
            <w:r w:rsidRPr="003179E6">
              <w:rPr>
                <w:rFonts w:asciiTheme="majorHAnsi" w:eastAsiaTheme="minorEastAsia" w:hAnsiTheme="majorHAnsi" w:cs="Verdana"/>
                <w:lang w:eastAsia="it-IT"/>
              </w:rPr>
              <w:t>Women of child-bearing potential, defined as all women less than 1 year postmenopausal or less than 6 weeks since sterilization (further definition can be found in Section 12.7) at Baseline, unless they are using highly effective methods of contraception during dosing of study treatment.</w:t>
            </w:r>
          </w:p>
          <w:p w:rsidR="00D43E5C" w:rsidRPr="00C11D40" w:rsidRDefault="00D43E5C" w:rsidP="00C11D40">
            <w:pPr>
              <w:pStyle w:val="ListParagraph"/>
              <w:widowControl w:val="0"/>
              <w:numPr>
                <w:ilvl w:val="0"/>
                <w:numId w:val="4"/>
              </w:numPr>
              <w:autoSpaceDE w:val="0"/>
              <w:autoSpaceDN w:val="0"/>
              <w:adjustRightInd w:val="0"/>
              <w:spacing w:after="240"/>
              <w:rPr>
                <w:rFonts w:asciiTheme="majorHAnsi" w:eastAsiaTheme="minorEastAsia" w:hAnsiTheme="majorHAnsi" w:cs="Arial"/>
                <w:lang w:eastAsia="it-IT"/>
              </w:rPr>
            </w:pPr>
            <w:r w:rsidRPr="00C11D40">
              <w:rPr>
                <w:rFonts w:asciiTheme="majorHAnsi" w:eastAsiaTheme="minorEastAsia" w:hAnsiTheme="majorHAnsi" w:cs="Verdana"/>
                <w:lang w:eastAsia="it-IT"/>
              </w:rPr>
              <w:t>Participation in an investigational drug, biologic, or device</w:t>
            </w:r>
            <w:r>
              <w:rPr>
                <w:rFonts w:asciiTheme="majorHAnsi" w:eastAsiaTheme="minorEastAsia" w:hAnsiTheme="majorHAnsi" w:cs="Verdana"/>
                <w:lang w:eastAsia="it-IT"/>
              </w:rPr>
              <w:t xml:space="preserve"> </w:t>
            </w:r>
            <w:r w:rsidRPr="00C11D40">
              <w:rPr>
                <w:rFonts w:asciiTheme="majorHAnsi" w:eastAsiaTheme="minorEastAsia" w:hAnsiTheme="majorHAnsi" w:cs="Verdana"/>
                <w:lang w:eastAsia="it-IT"/>
              </w:rPr>
              <w:t>study within 6 Months prior to</w:t>
            </w:r>
            <w:r>
              <w:rPr>
                <w:rFonts w:asciiTheme="majorHAnsi" w:eastAsiaTheme="minorEastAsia" w:hAnsiTheme="majorHAnsi" w:cs="Verdana"/>
                <w:lang w:eastAsia="it-IT"/>
              </w:rPr>
              <w:t xml:space="preserve"> </w:t>
            </w:r>
            <w:r w:rsidRPr="00C11D40">
              <w:rPr>
                <w:rFonts w:asciiTheme="majorHAnsi" w:eastAsiaTheme="minorEastAsia" w:hAnsiTheme="majorHAnsi" w:cs="Verdana"/>
                <w:lang w:eastAsia="it-IT"/>
              </w:rPr>
              <w:t xml:space="preserve">Baseline </w:t>
            </w:r>
            <w:r>
              <w:rPr>
                <w:rFonts w:asciiTheme="majorHAnsi" w:eastAsiaTheme="minorEastAsia" w:hAnsiTheme="majorHAnsi" w:cs="Verdana"/>
                <w:lang w:eastAsia="it-IT"/>
              </w:rPr>
              <w:t>[</w:t>
            </w:r>
            <w:r w:rsidRPr="00C11D40">
              <w:rPr>
                <w:rFonts w:asciiTheme="majorHAnsi" w:eastAsiaTheme="minorEastAsia" w:hAnsiTheme="majorHAnsi" w:cs="Verdana"/>
                <w:lang w:eastAsia="it-IT"/>
              </w:rPr>
              <w:t>Note: observational clinical studies solely</w:t>
            </w:r>
            <w:r>
              <w:rPr>
                <w:rFonts w:asciiTheme="majorHAnsi" w:eastAsiaTheme="minorEastAsia" w:hAnsiTheme="majorHAnsi" w:cs="Verdana"/>
                <w:lang w:eastAsia="it-IT"/>
              </w:rPr>
              <w:t xml:space="preserve"> </w:t>
            </w:r>
            <w:r w:rsidRPr="00C11D40">
              <w:rPr>
                <w:rFonts w:asciiTheme="majorHAnsi" w:eastAsiaTheme="minorEastAsia" w:hAnsiTheme="majorHAnsi" w:cs="Verdana"/>
                <w:lang w:eastAsia="it-IT"/>
              </w:rPr>
              <w:t>involving over-the-counter vitamins, supplements, or diets</w:t>
            </w:r>
            <w:r>
              <w:rPr>
                <w:rFonts w:asciiTheme="majorHAnsi" w:eastAsiaTheme="minorEastAsia" w:hAnsiTheme="majorHAnsi" w:cs="Verdana"/>
                <w:lang w:eastAsia="it-IT"/>
              </w:rPr>
              <w:t xml:space="preserve"> </w:t>
            </w:r>
            <w:r w:rsidRPr="00C11D40">
              <w:rPr>
                <w:rFonts w:asciiTheme="majorHAnsi" w:eastAsiaTheme="minorEastAsia" w:hAnsiTheme="majorHAnsi" w:cs="Verdana"/>
                <w:lang w:eastAsia="it-IT"/>
              </w:rPr>
              <w:t>are not exclusionary</w:t>
            </w:r>
          </w:p>
          <w:p w:rsidR="00D43E5C" w:rsidRPr="006C0623" w:rsidRDefault="00D43E5C" w:rsidP="00C11D40">
            <w:pPr>
              <w:pStyle w:val="ListParagraph"/>
              <w:widowControl w:val="0"/>
              <w:autoSpaceDE w:val="0"/>
              <w:autoSpaceDN w:val="0"/>
              <w:adjustRightInd w:val="0"/>
              <w:spacing w:after="240"/>
              <w:rPr>
                <w:rFonts w:asciiTheme="majorHAnsi" w:eastAsiaTheme="minorEastAsia" w:hAnsiTheme="majorHAnsi" w:cs="Arial"/>
                <w:lang w:eastAsia="it-IT"/>
              </w:rPr>
            </w:pPr>
          </w:p>
          <w:p w:rsidR="00D43E5C" w:rsidRPr="0049428C" w:rsidRDefault="00D43E5C" w:rsidP="001E0965">
            <w:pPr>
              <w:jc w:val="both"/>
              <w:rPr>
                <w:rFonts w:asciiTheme="majorHAnsi" w:hAnsiTheme="majorHAnsi" w:cs="Arial"/>
                <w:b/>
                <w:bCs/>
                <w:spacing w:val="4"/>
                <w:u w:color="000000"/>
              </w:rPr>
            </w:pPr>
          </w:p>
        </w:tc>
      </w:tr>
      <w:tr w:rsidR="00D43E5C" w:rsidRPr="001E0965" w:rsidTr="00D43E5C">
        <w:trPr>
          <w:trHeight w:val="1835"/>
        </w:trPr>
        <w:tc>
          <w:tcPr>
            <w:tcW w:w="3168" w:type="dxa"/>
          </w:tcPr>
          <w:p w:rsidR="00D43E5C" w:rsidRPr="0049428C" w:rsidRDefault="00D43E5C" w:rsidP="001E0965">
            <w:pPr>
              <w:rPr>
                <w:rFonts w:asciiTheme="majorHAnsi" w:hAnsiTheme="majorHAnsi"/>
                <w:b/>
                <w:bCs/>
              </w:rPr>
            </w:pPr>
            <w:r w:rsidRPr="006C0623">
              <w:rPr>
                <w:rFonts w:asciiTheme="majorHAnsi" w:hAnsiTheme="majorHAnsi"/>
                <w:b/>
                <w:bCs/>
              </w:rPr>
              <w:lastRenderedPageBreak/>
              <w:t>Investigational Product</w:t>
            </w:r>
          </w:p>
        </w:tc>
        <w:tc>
          <w:tcPr>
            <w:tcW w:w="5587" w:type="dxa"/>
          </w:tcPr>
          <w:p w:rsidR="00D43E5C" w:rsidRPr="00625BFF" w:rsidRDefault="00D43E5C" w:rsidP="00601D41">
            <w:pPr>
              <w:widowControl w:val="0"/>
              <w:autoSpaceDE w:val="0"/>
              <w:autoSpaceDN w:val="0"/>
              <w:adjustRightInd w:val="0"/>
              <w:rPr>
                <w:rFonts w:asciiTheme="majorHAnsi" w:eastAsiaTheme="minorEastAsia" w:hAnsiTheme="majorHAnsi" w:cs="Times"/>
                <w:lang w:eastAsia="it-IT"/>
              </w:rPr>
            </w:pPr>
            <w:r w:rsidRPr="00625BFF">
              <w:rPr>
                <w:rFonts w:asciiTheme="majorHAnsi" w:eastAsiaTheme="minorEastAsia" w:hAnsiTheme="majorHAnsi" w:cs="Times"/>
                <w:lang w:eastAsia="it-IT"/>
              </w:rPr>
              <w:t xml:space="preserve">The </w:t>
            </w:r>
            <w:r>
              <w:rPr>
                <w:rFonts w:asciiTheme="majorHAnsi" w:eastAsiaTheme="minorEastAsia" w:hAnsiTheme="majorHAnsi" w:cs="Times"/>
                <w:lang w:eastAsia="it-IT"/>
              </w:rPr>
              <w:t xml:space="preserve">Pascal Synthesis </w:t>
            </w:r>
            <w:r w:rsidRPr="00625BFF">
              <w:rPr>
                <w:rFonts w:asciiTheme="majorHAnsi" w:eastAsiaTheme="minorEastAsia" w:hAnsiTheme="majorHAnsi" w:cs="Times"/>
                <w:lang w:eastAsia="it-IT"/>
              </w:rPr>
              <w:t>577 is Topcon’s</w:t>
            </w:r>
            <w:r>
              <w:rPr>
                <w:rFonts w:asciiTheme="majorHAnsi" w:eastAsiaTheme="minorEastAsia" w:hAnsiTheme="majorHAnsi" w:cs="Times"/>
                <w:lang w:eastAsia="it-IT"/>
              </w:rPr>
              <w:t xml:space="preserve"> top-of-the-line laser photoco</w:t>
            </w:r>
            <w:r w:rsidRPr="00625BFF">
              <w:rPr>
                <w:rFonts w:asciiTheme="majorHAnsi" w:eastAsiaTheme="minorEastAsia" w:hAnsiTheme="majorHAnsi" w:cs="Times"/>
                <w:lang w:eastAsia="it-IT"/>
              </w:rPr>
              <w:t>agulator combining advanced PASCAl scanning technology with the clinical benefits of the 577 nm yellow wavelength.</w:t>
            </w:r>
          </w:p>
          <w:p w:rsidR="00D43E5C" w:rsidRPr="0049428C" w:rsidRDefault="00D43E5C" w:rsidP="00601D41">
            <w:pPr>
              <w:widowControl w:val="0"/>
              <w:autoSpaceDE w:val="0"/>
              <w:autoSpaceDN w:val="0"/>
              <w:adjustRightInd w:val="0"/>
              <w:spacing w:after="240"/>
              <w:rPr>
                <w:rFonts w:asciiTheme="majorHAnsi" w:eastAsiaTheme="minorEastAsia" w:hAnsiTheme="majorHAnsi" w:cs="Times"/>
                <w:lang w:val="it-IT" w:eastAsia="it-IT"/>
              </w:rPr>
            </w:pPr>
            <w:r w:rsidRPr="0049428C">
              <w:rPr>
                <w:rFonts w:asciiTheme="majorHAnsi" w:eastAsiaTheme="minorEastAsia" w:hAnsiTheme="majorHAnsi" w:cs="Times"/>
                <w:lang w:val="it-IT" w:eastAsia="it-IT"/>
              </w:rPr>
              <w:t>Wavelength: 577 nm</w:t>
            </w:r>
          </w:p>
          <w:p w:rsidR="00D43E5C" w:rsidRPr="0049428C" w:rsidRDefault="00D43E5C" w:rsidP="00601D41">
            <w:pPr>
              <w:widowControl w:val="0"/>
              <w:autoSpaceDE w:val="0"/>
              <w:autoSpaceDN w:val="0"/>
              <w:adjustRightInd w:val="0"/>
              <w:spacing w:after="240"/>
              <w:rPr>
                <w:rFonts w:asciiTheme="majorHAnsi" w:eastAsiaTheme="minorEastAsia" w:hAnsiTheme="majorHAnsi" w:cs="Times"/>
                <w:lang w:val="it-IT" w:eastAsia="it-IT"/>
              </w:rPr>
            </w:pPr>
            <w:r w:rsidRPr="0049428C">
              <w:rPr>
                <w:rFonts w:asciiTheme="majorHAnsi" w:eastAsiaTheme="minorEastAsia" w:hAnsiTheme="majorHAnsi" w:cs="Times"/>
                <w:lang w:val="it-IT" w:eastAsia="it-IT"/>
              </w:rPr>
              <w:t xml:space="preserve">Power: 0-2000mW </w:t>
            </w:r>
          </w:p>
          <w:p w:rsidR="00D43E5C" w:rsidRPr="0049428C" w:rsidRDefault="00D43E5C" w:rsidP="00601D41">
            <w:pPr>
              <w:widowControl w:val="0"/>
              <w:autoSpaceDE w:val="0"/>
              <w:autoSpaceDN w:val="0"/>
              <w:adjustRightInd w:val="0"/>
              <w:rPr>
                <w:rFonts w:asciiTheme="majorHAnsi" w:eastAsiaTheme="minorEastAsia" w:hAnsiTheme="majorHAnsi" w:cs="Times"/>
                <w:lang w:val="it-IT" w:eastAsia="it-IT"/>
              </w:rPr>
            </w:pPr>
            <w:r w:rsidRPr="0049428C">
              <w:rPr>
                <w:rFonts w:asciiTheme="majorHAnsi" w:eastAsiaTheme="minorEastAsia" w:hAnsiTheme="majorHAnsi" w:cs="Times"/>
                <w:lang w:val="it-IT" w:eastAsia="it-IT"/>
              </w:rPr>
              <w:t xml:space="preserve"> </w:t>
            </w:r>
          </w:p>
          <w:p w:rsidR="00D43E5C" w:rsidRPr="0049428C" w:rsidRDefault="00D43E5C" w:rsidP="001E0965">
            <w:pPr>
              <w:rPr>
                <w:rFonts w:asciiTheme="majorHAnsi" w:hAnsiTheme="majorHAnsi"/>
              </w:rPr>
            </w:pPr>
            <w:r w:rsidRPr="0049428C" w:rsidDel="008126E2">
              <w:rPr>
                <w:rFonts w:asciiTheme="majorHAnsi" w:hAnsiTheme="majorHAnsi"/>
                <w:strike/>
                <w:highlight w:val="cyan"/>
              </w:rPr>
              <w:t xml:space="preserve"> </w:t>
            </w:r>
          </w:p>
        </w:tc>
      </w:tr>
      <w:tr w:rsidR="00D43E5C" w:rsidRPr="001E0965" w:rsidTr="00D43E5C">
        <w:tc>
          <w:tcPr>
            <w:tcW w:w="3168" w:type="dxa"/>
          </w:tcPr>
          <w:p w:rsidR="00D43E5C" w:rsidRPr="006C0623" w:rsidRDefault="00D43E5C" w:rsidP="001E0965">
            <w:pPr>
              <w:rPr>
                <w:rFonts w:asciiTheme="majorHAnsi" w:hAnsiTheme="majorHAnsi"/>
                <w:b/>
                <w:bCs/>
                <w:highlight w:val="cyan"/>
              </w:rPr>
            </w:pPr>
            <w:r w:rsidRPr="0049428C">
              <w:rPr>
                <w:rFonts w:asciiTheme="majorHAnsi" w:hAnsiTheme="majorHAnsi"/>
                <w:bCs/>
              </w:rPr>
              <w:t>Study Procedures</w:t>
            </w:r>
          </w:p>
        </w:tc>
        <w:tc>
          <w:tcPr>
            <w:tcW w:w="5587" w:type="dxa"/>
          </w:tcPr>
          <w:p w:rsidR="00D43E5C" w:rsidRPr="0049428C" w:rsidRDefault="00D43E5C" w:rsidP="001E0965">
            <w:pPr>
              <w:rPr>
                <w:rFonts w:asciiTheme="majorHAnsi" w:hAnsiTheme="majorHAnsi"/>
              </w:rPr>
            </w:pPr>
            <w:r w:rsidRPr="0049428C">
              <w:rPr>
                <w:rFonts w:asciiTheme="majorHAnsi" w:hAnsiTheme="majorHAnsi"/>
                <w:bCs/>
                <w:iCs/>
              </w:rPr>
              <w:t xml:space="preserve">Subjects </w:t>
            </w:r>
            <w:r w:rsidRPr="0049428C">
              <w:rPr>
                <w:rFonts w:asciiTheme="majorHAnsi" w:hAnsiTheme="majorHAnsi"/>
              </w:rPr>
              <w:t>will be screened for inclusion into the study after providing written inform</w:t>
            </w:r>
            <w:r>
              <w:rPr>
                <w:rFonts w:asciiTheme="majorHAnsi" w:hAnsiTheme="majorHAnsi"/>
              </w:rPr>
              <w:t>ed consent. Screening visit</w:t>
            </w:r>
            <w:r w:rsidRPr="0049428C">
              <w:rPr>
                <w:rFonts w:asciiTheme="majorHAnsi" w:hAnsiTheme="majorHAnsi"/>
              </w:rPr>
              <w:t xml:space="preserve"> include</w:t>
            </w:r>
            <w:r>
              <w:rPr>
                <w:rFonts w:asciiTheme="majorHAnsi" w:hAnsiTheme="majorHAnsi"/>
              </w:rPr>
              <w:t>s</w:t>
            </w:r>
            <w:r w:rsidRPr="0049428C">
              <w:rPr>
                <w:rFonts w:asciiTheme="majorHAnsi" w:hAnsiTheme="majorHAnsi"/>
              </w:rPr>
              <w:t xml:space="preserve"> best-corrected visual acuity, ophthalmic examination, intraocular pressure, Spectral Domain - Optical Coherence Tomography (SD-OCT) and blue </w:t>
            </w:r>
            <w:r w:rsidRPr="006C0623">
              <w:rPr>
                <w:rFonts w:asciiTheme="majorHAnsi" w:hAnsiTheme="majorHAnsi"/>
              </w:rPr>
              <w:t>auto-fluorescence</w:t>
            </w:r>
            <w:r w:rsidRPr="0049428C">
              <w:rPr>
                <w:rFonts w:asciiTheme="majorHAnsi" w:hAnsiTheme="majorHAnsi"/>
              </w:rPr>
              <w:t xml:space="preserve"> (BAF)</w:t>
            </w:r>
            <w:r w:rsidRPr="006C0623">
              <w:rPr>
                <w:rFonts w:asciiTheme="majorHAnsi" w:hAnsiTheme="majorHAnsi"/>
              </w:rPr>
              <w:t xml:space="preserve">. </w:t>
            </w:r>
          </w:p>
          <w:p w:rsidR="00D43E5C" w:rsidRPr="0049428C" w:rsidRDefault="00D43E5C" w:rsidP="001E0965">
            <w:pPr>
              <w:rPr>
                <w:rFonts w:asciiTheme="majorHAnsi" w:hAnsiTheme="majorHAnsi"/>
              </w:rPr>
            </w:pPr>
          </w:p>
          <w:p w:rsidR="00D43E5C" w:rsidRDefault="00D43E5C" w:rsidP="00F45335">
            <w:pPr>
              <w:autoSpaceDE w:val="0"/>
              <w:autoSpaceDN w:val="0"/>
              <w:adjustRightInd w:val="0"/>
              <w:rPr>
                <w:rFonts w:asciiTheme="majorHAnsi" w:hAnsiTheme="majorHAnsi"/>
                <w:lang w:val="en-GB" w:eastAsia="it-IT"/>
              </w:rPr>
            </w:pPr>
            <w:r>
              <w:rPr>
                <w:rFonts w:asciiTheme="majorHAnsi" w:hAnsiTheme="majorHAnsi"/>
                <w:lang w:val="en-GB" w:eastAsia="it-IT"/>
              </w:rPr>
              <w:t>On D</w:t>
            </w:r>
            <w:r w:rsidRPr="0049428C">
              <w:rPr>
                <w:rFonts w:asciiTheme="majorHAnsi" w:hAnsiTheme="majorHAnsi"/>
                <w:lang w:val="en-GB" w:eastAsia="it-IT"/>
              </w:rPr>
              <w:t xml:space="preserve">ay 0 subjects </w:t>
            </w:r>
            <w:r>
              <w:rPr>
                <w:rFonts w:asciiTheme="majorHAnsi" w:hAnsiTheme="majorHAnsi"/>
                <w:lang w:val="en-GB" w:eastAsia="it-IT"/>
              </w:rPr>
              <w:t xml:space="preserve">will undergo </w:t>
            </w:r>
            <w:r w:rsidRPr="0049428C">
              <w:rPr>
                <w:rFonts w:asciiTheme="majorHAnsi" w:hAnsiTheme="majorHAnsi"/>
              </w:rPr>
              <w:t>best-corrected visual acuity, ophthalmic examination, intraocular pressure, Spectral Domain - Optica</w:t>
            </w:r>
            <w:r>
              <w:rPr>
                <w:rFonts w:asciiTheme="majorHAnsi" w:hAnsiTheme="majorHAnsi"/>
              </w:rPr>
              <w:t xml:space="preserve">l Coherence Tomography (SD-OCT), </w:t>
            </w:r>
            <w:r w:rsidRPr="0049428C">
              <w:rPr>
                <w:rFonts w:asciiTheme="majorHAnsi" w:hAnsiTheme="majorHAnsi"/>
              </w:rPr>
              <w:t>BAF</w:t>
            </w:r>
            <w:r>
              <w:rPr>
                <w:rFonts w:asciiTheme="majorHAnsi" w:hAnsiTheme="majorHAnsi"/>
              </w:rPr>
              <w:t xml:space="preserve"> and </w:t>
            </w:r>
            <w:r w:rsidRPr="0049428C">
              <w:rPr>
                <w:rFonts w:asciiTheme="majorHAnsi" w:hAnsiTheme="majorHAnsi"/>
                <w:lang w:val="en-GB" w:eastAsia="it-IT"/>
              </w:rPr>
              <w:t xml:space="preserve">customized microperimetry evaluation on a extramacular rectangular area (1.27 </w:t>
            </w:r>
            <w:r>
              <w:rPr>
                <w:rFonts w:asciiTheme="majorHAnsi" w:hAnsiTheme="majorHAnsi"/>
                <w:lang w:val="en-GB" w:eastAsia="it-IT"/>
              </w:rPr>
              <w:t>m</w:t>
            </w:r>
            <w:r w:rsidRPr="0049428C">
              <w:rPr>
                <w:rFonts w:asciiTheme="majorHAnsi" w:hAnsiTheme="majorHAnsi"/>
                <w:lang w:val="en-GB" w:eastAsia="it-IT"/>
              </w:rPr>
              <w:t>m</w:t>
            </w:r>
            <w:r w:rsidRPr="0049428C">
              <w:rPr>
                <w:rFonts w:asciiTheme="majorHAnsi" w:hAnsiTheme="majorHAnsi"/>
                <w:vertAlign w:val="superscript"/>
                <w:lang w:val="en-GB" w:eastAsia="it-IT"/>
              </w:rPr>
              <w:t>2</w:t>
            </w:r>
            <w:r w:rsidRPr="0049428C">
              <w:rPr>
                <w:rFonts w:asciiTheme="majorHAnsi" w:hAnsiTheme="majorHAnsi"/>
                <w:lang w:val="en-GB" w:eastAsia="it-IT"/>
              </w:rPr>
              <w:t xml:space="preserve">) later treated with subthreshold laser. The patient will return </w:t>
            </w:r>
            <w:r>
              <w:rPr>
                <w:rFonts w:asciiTheme="majorHAnsi" w:hAnsiTheme="majorHAnsi"/>
                <w:lang w:val="en-GB" w:eastAsia="it-IT"/>
              </w:rPr>
              <w:t>for follow-up 4 weeks and 12</w:t>
            </w:r>
            <w:r w:rsidRPr="0049428C">
              <w:rPr>
                <w:rFonts w:asciiTheme="majorHAnsi" w:hAnsiTheme="majorHAnsi"/>
                <w:lang w:val="en-GB" w:eastAsia="it-IT"/>
              </w:rPr>
              <w:t xml:space="preserve"> </w:t>
            </w:r>
            <w:r>
              <w:rPr>
                <w:rFonts w:asciiTheme="majorHAnsi" w:hAnsiTheme="majorHAnsi"/>
                <w:lang w:val="en-GB" w:eastAsia="it-IT"/>
              </w:rPr>
              <w:t>weeks after laser treatment. During all</w:t>
            </w:r>
            <w:r w:rsidRPr="0049428C">
              <w:rPr>
                <w:rFonts w:asciiTheme="majorHAnsi" w:hAnsiTheme="majorHAnsi"/>
                <w:lang w:val="en-GB" w:eastAsia="it-IT"/>
              </w:rPr>
              <w:t xml:space="preserve"> these follow-up visits the patient will undergo complete ophthalmic evaluation, included SD-OCT, BAF and microperimetry on the treated area.</w:t>
            </w:r>
          </w:p>
          <w:p w:rsidR="00D43E5C" w:rsidRPr="006C0623" w:rsidRDefault="00D43E5C" w:rsidP="00601D41">
            <w:pPr>
              <w:rPr>
                <w:rFonts w:asciiTheme="majorHAnsi" w:hAnsiTheme="majorHAnsi"/>
                <w:strike/>
                <w:highlight w:val="cyan"/>
              </w:rPr>
            </w:pPr>
            <w:r>
              <w:rPr>
                <w:rFonts w:asciiTheme="majorHAnsi" w:hAnsiTheme="majorHAnsi"/>
                <w:lang w:val="en-GB" w:eastAsia="it-IT"/>
              </w:rPr>
              <w:t>Screening visit and Day 0 can be performed on the same day.</w:t>
            </w:r>
          </w:p>
        </w:tc>
      </w:tr>
      <w:tr w:rsidR="00D43E5C" w:rsidRPr="001E0965" w:rsidTr="00D43E5C">
        <w:tc>
          <w:tcPr>
            <w:tcW w:w="3168" w:type="dxa"/>
          </w:tcPr>
          <w:p w:rsidR="00D43E5C" w:rsidRPr="0049428C" w:rsidRDefault="00D43E5C" w:rsidP="001E0965">
            <w:pPr>
              <w:pStyle w:val="AppTitle"/>
              <w:tabs>
                <w:tab w:val="left" w:pos="1440"/>
                <w:tab w:val="left" w:pos="1530"/>
              </w:tabs>
              <w:spacing w:line="240" w:lineRule="auto"/>
              <w:jc w:val="left"/>
              <w:rPr>
                <w:rFonts w:asciiTheme="majorHAnsi" w:hAnsiTheme="majorHAnsi"/>
                <w:bCs/>
                <w:szCs w:val="24"/>
              </w:rPr>
            </w:pPr>
            <w:r w:rsidRPr="0049428C">
              <w:rPr>
                <w:rFonts w:asciiTheme="majorHAnsi" w:hAnsiTheme="majorHAnsi"/>
                <w:bCs/>
              </w:rPr>
              <w:t>Clinical Parameters</w:t>
            </w:r>
          </w:p>
        </w:tc>
        <w:tc>
          <w:tcPr>
            <w:tcW w:w="5587" w:type="dxa"/>
          </w:tcPr>
          <w:p w:rsidR="00D43E5C" w:rsidRPr="0049428C" w:rsidRDefault="00D43E5C" w:rsidP="001E0965">
            <w:pPr>
              <w:rPr>
                <w:rFonts w:asciiTheme="majorHAnsi" w:hAnsiTheme="majorHAnsi"/>
              </w:rPr>
            </w:pPr>
            <w:r w:rsidRPr="0049428C">
              <w:rPr>
                <w:rFonts w:asciiTheme="majorHAnsi" w:hAnsiTheme="majorHAnsi"/>
              </w:rPr>
              <w:t>The following clinical parameters will be evaluated:</w:t>
            </w:r>
          </w:p>
          <w:p w:rsidR="00D43E5C" w:rsidRPr="0049428C" w:rsidRDefault="00D43E5C" w:rsidP="001E0965">
            <w:pPr>
              <w:ind w:left="360"/>
              <w:rPr>
                <w:rFonts w:asciiTheme="majorHAnsi" w:hAnsiTheme="majorHAnsi"/>
              </w:rPr>
            </w:pPr>
          </w:p>
          <w:p w:rsidR="00D43E5C" w:rsidRPr="0049428C" w:rsidRDefault="00D43E5C" w:rsidP="00BD3928">
            <w:pPr>
              <w:numPr>
                <w:ilvl w:val="0"/>
                <w:numId w:val="1"/>
              </w:numPr>
              <w:rPr>
                <w:rFonts w:asciiTheme="majorHAnsi" w:hAnsiTheme="majorHAnsi"/>
              </w:rPr>
            </w:pPr>
            <w:r w:rsidRPr="0049428C">
              <w:rPr>
                <w:rFonts w:asciiTheme="majorHAnsi" w:hAnsiTheme="majorHAnsi"/>
              </w:rPr>
              <w:t>Slit lamp and fundus examinations</w:t>
            </w:r>
          </w:p>
          <w:p w:rsidR="00D43E5C" w:rsidRPr="0049428C" w:rsidRDefault="00D43E5C" w:rsidP="00BD3928">
            <w:pPr>
              <w:numPr>
                <w:ilvl w:val="0"/>
                <w:numId w:val="1"/>
              </w:numPr>
              <w:rPr>
                <w:rFonts w:asciiTheme="majorHAnsi" w:hAnsiTheme="majorHAnsi"/>
              </w:rPr>
            </w:pPr>
            <w:r w:rsidRPr="0049428C">
              <w:rPr>
                <w:rFonts w:asciiTheme="majorHAnsi" w:hAnsiTheme="majorHAnsi"/>
              </w:rPr>
              <w:t xml:space="preserve">Intraocular pressure </w:t>
            </w:r>
          </w:p>
          <w:p w:rsidR="00D43E5C" w:rsidRPr="0049428C" w:rsidRDefault="00D43E5C" w:rsidP="00BD3928">
            <w:pPr>
              <w:numPr>
                <w:ilvl w:val="0"/>
                <w:numId w:val="1"/>
              </w:numPr>
              <w:rPr>
                <w:rFonts w:asciiTheme="majorHAnsi" w:hAnsiTheme="majorHAnsi"/>
              </w:rPr>
            </w:pPr>
            <w:r w:rsidRPr="0049428C">
              <w:rPr>
                <w:rFonts w:asciiTheme="majorHAnsi" w:hAnsiTheme="majorHAnsi"/>
              </w:rPr>
              <w:t>Best corrected visual acuity (ETDRS)</w:t>
            </w:r>
          </w:p>
          <w:p w:rsidR="00D43E5C" w:rsidRPr="0049428C" w:rsidRDefault="00D43E5C" w:rsidP="00BD3928">
            <w:pPr>
              <w:numPr>
                <w:ilvl w:val="0"/>
                <w:numId w:val="1"/>
              </w:numPr>
              <w:rPr>
                <w:rFonts w:asciiTheme="majorHAnsi" w:hAnsiTheme="majorHAnsi"/>
              </w:rPr>
            </w:pPr>
            <w:r w:rsidRPr="0049428C">
              <w:rPr>
                <w:rFonts w:asciiTheme="majorHAnsi" w:hAnsiTheme="majorHAnsi"/>
              </w:rPr>
              <w:t>BAF</w:t>
            </w:r>
          </w:p>
          <w:p w:rsidR="00D43E5C" w:rsidRPr="0049428C" w:rsidRDefault="00D43E5C" w:rsidP="00BD3928">
            <w:pPr>
              <w:numPr>
                <w:ilvl w:val="0"/>
                <w:numId w:val="1"/>
              </w:numPr>
              <w:rPr>
                <w:rFonts w:asciiTheme="majorHAnsi" w:hAnsiTheme="majorHAnsi"/>
              </w:rPr>
            </w:pPr>
            <w:r w:rsidRPr="0049428C">
              <w:rPr>
                <w:rFonts w:asciiTheme="majorHAnsi" w:hAnsiTheme="majorHAnsi"/>
              </w:rPr>
              <w:t>Optical coherence tomography and autofluorescence</w:t>
            </w:r>
          </w:p>
          <w:p w:rsidR="00D43E5C" w:rsidRPr="0049428C" w:rsidRDefault="00D43E5C" w:rsidP="00BD3928">
            <w:pPr>
              <w:numPr>
                <w:ilvl w:val="0"/>
                <w:numId w:val="1"/>
              </w:numPr>
              <w:rPr>
                <w:rFonts w:asciiTheme="majorHAnsi" w:hAnsiTheme="majorHAnsi"/>
              </w:rPr>
            </w:pPr>
            <w:r w:rsidRPr="0049428C">
              <w:rPr>
                <w:rFonts w:asciiTheme="majorHAnsi" w:hAnsiTheme="majorHAnsi"/>
              </w:rPr>
              <w:t xml:space="preserve">Microperimetry </w:t>
            </w:r>
          </w:p>
          <w:p w:rsidR="00D43E5C" w:rsidRPr="0049428C" w:rsidRDefault="00D43E5C" w:rsidP="00BD3928">
            <w:pPr>
              <w:numPr>
                <w:ilvl w:val="0"/>
                <w:numId w:val="1"/>
              </w:numPr>
              <w:rPr>
                <w:rFonts w:asciiTheme="majorHAnsi" w:hAnsiTheme="majorHAnsi"/>
              </w:rPr>
            </w:pPr>
            <w:r w:rsidRPr="0049428C">
              <w:rPr>
                <w:rFonts w:asciiTheme="majorHAnsi" w:hAnsiTheme="majorHAnsi"/>
              </w:rPr>
              <w:t>Adverse events</w:t>
            </w:r>
          </w:p>
          <w:p w:rsidR="00D43E5C" w:rsidRPr="0049428C" w:rsidRDefault="00D43E5C" w:rsidP="001E0965">
            <w:pPr>
              <w:ind w:left="360"/>
              <w:rPr>
                <w:rFonts w:asciiTheme="majorHAnsi" w:hAnsiTheme="majorHAnsi"/>
              </w:rPr>
            </w:pPr>
          </w:p>
          <w:p w:rsidR="00D43E5C" w:rsidRPr="0049428C" w:rsidRDefault="00D43E5C" w:rsidP="00F45335">
            <w:pPr>
              <w:autoSpaceDE w:val="0"/>
              <w:autoSpaceDN w:val="0"/>
              <w:adjustRightInd w:val="0"/>
              <w:rPr>
                <w:rFonts w:asciiTheme="majorHAnsi" w:hAnsiTheme="majorHAnsi"/>
                <w:lang w:val="en-GB" w:eastAsia="it-IT"/>
              </w:rPr>
            </w:pPr>
          </w:p>
        </w:tc>
      </w:tr>
      <w:tr w:rsidR="00D43E5C" w:rsidRPr="001E0965" w:rsidTr="00D43E5C">
        <w:trPr>
          <w:trHeight w:val="522"/>
        </w:trPr>
        <w:tc>
          <w:tcPr>
            <w:tcW w:w="3168" w:type="dxa"/>
          </w:tcPr>
          <w:p w:rsidR="00D43E5C" w:rsidRPr="0049428C" w:rsidRDefault="00D43E5C" w:rsidP="001E0965">
            <w:pPr>
              <w:rPr>
                <w:rFonts w:asciiTheme="majorHAnsi" w:hAnsiTheme="majorHAnsi"/>
                <w:b/>
                <w:bCs/>
                <w:highlight w:val="yellow"/>
              </w:rPr>
            </w:pPr>
            <w:r w:rsidRPr="0049428C">
              <w:rPr>
                <w:rFonts w:asciiTheme="majorHAnsi" w:hAnsiTheme="majorHAnsi"/>
                <w:b/>
                <w:bCs/>
              </w:rPr>
              <w:lastRenderedPageBreak/>
              <w:t>Efficacy Endpoints</w:t>
            </w:r>
          </w:p>
        </w:tc>
        <w:tc>
          <w:tcPr>
            <w:tcW w:w="5587" w:type="dxa"/>
          </w:tcPr>
          <w:p w:rsidR="00D43E5C" w:rsidRPr="006C0623" w:rsidRDefault="00D43E5C" w:rsidP="008D2F0E">
            <w:pPr>
              <w:pStyle w:val="Heading8"/>
              <w:numPr>
                <w:ilvl w:val="7"/>
                <w:numId w:val="2"/>
              </w:numPr>
              <w:rPr>
                <w:rFonts w:asciiTheme="majorHAnsi" w:hAnsiTheme="majorHAnsi"/>
                <w:i w:val="0"/>
              </w:rPr>
            </w:pPr>
            <w:r w:rsidRPr="006C0623">
              <w:rPr>
                <w:rFonts w:asciiTheme="majorHAnsi" w:hAnsiTheme="majorHAnsi"/>
                <w:i w:val="0"/>
              </w:rPr>
              <w:t>Primary efficacy measure:</w:t>
            </w:r>
          </w:p>
          <w:p w:rsidR="00D43E5C" w:rsidRPr="006C0623" w:rsidRDefault="00D43E5C" w:rsidP="008D2F0E">
            <w:pPr>
              <w:numPr>
                <w:ilvl w:val="7"/>
                <w:numId w:val="2"/>
              </w:numPr>
              <w:spacing w:before="240" w:after="60"/>
              <w:jc w:val="both"/>
              <w:outlineLvl w:val="7"/>
              <w:rPr>
                <w:rFonts w:asciiTheme="majorHAnsi" w:hAnsiTheme="majorHAnsi"/>
              </w:rPr>
            </w:pPr>
            <w:r w:rsidRPr="006C0623">
              <w:rPr>
                <w:rFonts w:asciiTheme="majorHAnsi" w:hAnsiTheme="majorHAnsi"/>
              </w:rPr>
              <w:t xml:space="preserve">Change in retinal sensitivity on customized </w:t>
            </w:r>
            <w:r w:rsidRPr="008D2F0E">
              <w:rPr>
                <w:rFonts w:asciiTheme="majorHAnsi" w:hAnsiTheme="majorHAnsi"/>
              </w:rPr>
              <w:t xml:space="preserve">              </w:t>
            </w:r>
            <w:r w:rsidRPr="008D2F0E">
              <w:rPr>
                <w:rFonts w:asciiTheme="majorHAnsi" w:hAnsiTheme="majorHAnsi"/>
                <w:lang w:val="en-GB" w:eastAsia="it-IT"/>
              </w:rPr>
              <w:t>microperimetry</w:t>
            </w:r>
            <w:r>
              <w:rPr>
                <w:rFonts w:asciiTheme="majorHAnsi" w:hAnsiTheme="majorHAnsi"/>
                <w:lang w:val="en-GB" w:eastAsia="it-IT"/>
              </w:rPr>
              <w:t xml:space="preserve"> at 12 weeks.</w:t>
            </w:r>
          </w:p>
          <w:p w:rsidR="00D43E5C" w:rsidRPr="006C0623" w:rsidRDefault="00D43E5C" w:rsidP="008D2F0E">
            <w:pPr>
              <w:numPr>
                <w:ilvl w:val="7"/>
                <w:numId w:val="2"/>
              </w:numPr>
              <w:autoSpaceDE w:val="0"/>
              <w:autoSpaceDN w:val="0"/>
              <w:adjustRightInd w:val="0"/>
              <w:spacing w:before="240" w:after="60"/>
              <w:outlineLvl w:val="7"/>
              <w:rPr>
                <w:rFonts w:asciiTheme="majorHAnsi" w:hAnsiTheme="majorHAnsi"/>
                <w:bCs/>
                <w:lang w:val="en-GB" w:eastAsia="it-IT"/>
              </w:rPr>
            </w:pPr>
            <w:r w:rsidRPr="006C0623">
              <w:rPr>
                <w:rFonts w:asciiTheme="majorHAnsi" w:hAnsiTheme="majorHAnsi"/>
                <w:bCs/>
                <w:lang w:val="en-GB" w:eastAsia="it-IT"/>
              </w:rPr>
              <w:t>Other efficacy measures:</w:t>
            </w:r>
          </w:p>
          <w:p w:rsidR="00D43E5C" w:rsidRPr="006C0623" w:rsidRDefault="00D43E5C" w:rsidP="008D2F0E">
            <w:pPr>
              <w:numPr>
                <w:ilvl w:val="7"/>
                <w:numId w:val="2"/>
              </w:numPr>
              <w:autoSpaceDE w:val="0"/>
              <w:autoSpaceDN w:val="0"/>
              <w:adjustRightInd w:val="0"/>
              <w:spacing w:before="240" w:after="60"/>
              <w:outlineLvl w:val="7"/>
              <w:rPr>
                <w:rFonts w:asciiTheme="majorHAnsi" w:hAnsiTheme="majorHAnsi"/>
                <w:lang w:val="en-GB" w:eastAsia="it-IT"/>
              </w:rPr>
            </w:pPr>
            <w:r w:rsidRPr="006C0623">
              <w:rPr>
                <w:rFonts w:asciiTheme="majorHAnsi" w:hAnsiTheme="majorHAnsi"/>
                <w:lang w:val="en-GB" w:eastAsia="it-IT"/>
              </w:rPr>
              <w:t>Change in mean VA</w:t>
            </w:r>
          </w:p>
          <w:p w:rsidR="00D43E5C" w:rsidRPr="006C0623" w:rsidRDefault="00D43E5C" w:rsidP="008D2F0E">
            <w:pPr>
              <w:numPr>
                <w:ilvl w:val="7"/>
                <w:numId w:val="2"/>
              </w:numPr>
              <w:autoSpaceDE w:val="0"/>
              <w:autoSpaceDN w:val="0"/>
              <w:adjustRightInd w:val="0"/>
              <w:spacing w:before="240" w:after="60"/>
              <w:outlineLvl w:val="7"/>
              <w:rPr>
                <w:rFonts w:asciiTheme="majorHAnsi" w:hAnsiTheme="majorHAnsi"/>
                <w:lang w:val="en-GB" w:eastAsia="it-IT"/>
              </w:rPr>
            </w:pPr>
            <w:r w:rsidRPr="006C0623">
              <w:rPr>
                <w:rFonts w:asciiTheme="majorHAnsi" w:hAnsiTheme="majorHAnsi"/>
                <w:lang w:val="en-GB" w:eastAsia="it-IT"/>
              </w:rPr>
              <w:t xml:space="preserve">Change in </w:t>
            </w:r>
            <w:r w:rsidR="00EB411F">
              <w:rPr>
                <w:rFonts w:asciiTheme="majorHAnsi" w:hAnsiTheme="majorHAnsi"/>
                <w:lang w:val="en-GB" w:eastAsia="it-IT"/>
              </w:rPr>
              <w:t>structural OCT</w:t>
            </w:r>
          </w:p>
          <w:p w:rsidR="00D43E5C" w:rsidRPr="0049428C" w:rsidRDefault="00D43E5C" w:rsidP="001E0965">
            <w:pPr>
              <w:ind w:left="360"/>
              <w:rPr>
                <w:rFonts w:asciiTheme="majorHAnsi" w:hAnsiTheme="majorHAnsi"/>
              </w:rPr>
            </w:pPr>
          </w:p>
        </w:tc>
      </w:tr>
      <w:tr w:rsidR="00D43E5C" w:rsidRPr="001E0965" w:rsidTr="00D43E5C">
        <w:tc>
          <w:tcPr>
            <w:tcW w:w="3168" w:type="dxa"/>
          </w:tcPr>
          <w:p w:rsidR="00D43E5C" w:rsidRPr="0049428C" w:rsidRDefault="00D43E5C" w:rsidP="001E0965">
            <w:pPr>
              <w:tabs>
                <w:tab w:val="left" w:pos="1440"/>
              </w:tabs>
              <w:rPr>
                <w:rFonts w:asciiTheme="majorHAnsi" w:hAnsiTheme="majorHAnsi"/>
                <w:b/>
                <w:bCs/>
              </w:rPr>
            </w:pPr>
            <w:r w:rsidRPr="0049428C">
              <w:rPr>
                <w:rFonts w:asciiTheme="majorHAnsi" w:hAnsiTheme="majorHAnsi"/>
                <w:b/>
                <w:bCs/>
              </w:rPr>
              <w:t>Safety Endpoints</w:t>
            </w:r>
          </w:p>
        </w:tc>
        <w:tc>
          <w:tcPr>
            <w:tcW w:w="5587" w:type="dxa"/>
          </w:tcPr>
          <w:p w:rsidR="00D43E5C" w:rsidRPr="006C0623" w:rsidRDefault="00D43E5C" w:rsidP="008D2F0E">
            <w:pPr>
              <w:pStyle w:val="Heading8"/>
              <w:numPr>
                <w:ilvl w:val="7"/>
                <w:numId w:val="31"/>
              </w:numPr>
              <w:spacing w:after="0"/>
              <w:jc w:val="both"/>
              <w:rPr>
                <w:rFonts w:asciiTheme="majorHAnsi" w:hAnsiTheme="majorHAnsi"/>
                <w:i w:val="0"/>
              </w:rPr>
            </w:pPr>
            <w:r w:rsidRPr="006C0623">
              <w:rPr>
                <w:rFonts w:asciiTheme="majorHAnsi" w:hAnsiTheme="majorHAnsi"/>
                <w:i w:val="0"/>
              </w:rPr>
              <w:t xml:space="preserve">Ocular safety will be evaluated by assessing: </w:t>
            </w:r>
          </w:p>
          <w:p w:rsidR="00D43E5C" w:rsidRPr="006C0623" w:rsidRDefault="00D43E5C" w:rsidP="008D2F0E">
            <w:pPr>
              <w:pStyle w:val="BodyText"/>
              <w:keepLines w:val="0"/>
              <w:widowControl/>
              <w:numPr>
                <w:ilvl w:val="7"/>
                <w:numId w:val="29"/>
              </w:numPr>
              <w:spacing w:before="0" w:after="0" w:line="240" w:lineRule="auto"/>
              <w:jc w:val="both"/>
              <w:outlineLvl w:val="7"/>
              <w:rPr>
                <w:rFonts w:asciiTheme="majorHAnsi" w:hAnsiTheme="majorHAnsi" w:cs="Arial"/>
                <w:sz w:val="24"/>
                <w:szCs w:val="24"/>
              </w:rPr>
            </w:pPr>
            <w:r w:rsidRPr="006C0623">
              <w:rPr>
                <w:rFonts w:asciiTheme="majorHAnsi" w:hAnsiTheme="majorHAnsi" w:cs="Arial"/>
                <w:sz w:val="24"/>
                <w:szCs w:val="24"/>
              </w:rPr>
              <w:t>Adverse Events (AEs)</w:t>
            </w:r>
          </w:p>
          <w:p w:rsidR="00D43E5C" w:rsidRPr="006C0623" w:rsidRDefault="00D43E5C" w:rsidP="008D2F0E">
            <w:pPr>
              <w:pStyle w:val="BodyText"/>
              <w:keepLines w:val="0"/>
              <w:widowControl/>
              <w:numPr>
                <w:ilvl w:val="7"/>
                <w:numId w:val="29"/>
              </w:numPr>
              <w:spacing w:before="0" w:after="0" w:line="240" w:lineRule="auto"/>
              <w:jc w:val="both"/>
              <w:outlineLvl w:val="7"/>
              <w:rPr>
                <w:rFonts w:asciiTheme="majorHAnsi" w:hAnsiTheme="majorHAnsi" w:cs="Arial"/>
                <w:sz w:val="24"/>
                <w:szCs w:val="24"/>
              </w:rPr>
            </w:pPr>
            <w:r w:rsidRPr="006C0623">
              <w:rPr>
                <w:rFonts w:asciiTheme="majorHAnsi" w:hAnsiTheme="majorHAnsi" w:cs="Arial"/>
                <w:sz w:val="24"/>
                <w:szCs w:val="24"/>
              </w:rPr>
              <w:t>Serious adverse events (SAEs)</w:t>
            </w:r>
          </w:p>
          <w:p w:rsidR="00D43E5C" w:rsidRPr="006C0623" w:rsidRDefault="00D43E5C" w:rsidP="008D2F0E">
            <w:pPr>
              <w:pStyle w:val="BodyText"/>
              <w:keepLines w:val="0"/>
              <w:widowControl/>
              <w:numPr>
                <w:ilvl w:val="7"/>
                <w:numId w:val="29"/>
              </w:numPr>
              <w:spacing w:before="0" w:after="0" w:line="240" w:lineRule="auto"/>
              <w:jc w:val="both"/>
              <w:outlineLvl w:val="7"/>
              <w:rPr>
                <w:rFonts w:asciiTheme="majorHAnsi" w:hAnsiTheme="majorHAnsi" w:cs="Arial"/>
                <w:sz w:val="24"/>
                <w:szCs w:val="24"/>
              </w:rPr>
            </w:pPr>
            <w:r w:rsidRPr="006C0623">
              <w:rPr>
                <w:rFonts w:asciiTheme="majorHAnsi" w:hAnsiTheme="majorHAnsi" w:cs="Arial"/>
                <w:sz w:val="24"/>
                <w:szCs w:val="24"/>
              </w:rPr>
              <w:t>Moderate or significant visual acuity loss</w:t>
            </w:r>
          </w:p>
          <w:p w:rsidR="00D43E5C" w:rsidRPr="006C0623" w:rsidRDefault="00D43E5C" w:rsidP="008D2F0E">
            <w:pPr>
              <w:pStyle w:val="BodyText"/>
              <w:keepLines w:val="0"/>
              <w:widowControl/>
              <w:numPr>
                <w:ilvl w:val="7"/>
                <w:numId w:val="29"/>
              </w:numPr>
              <w:spacing w:before="0" w:after="0" w:line="240" w:lineRule="auto"/>
              <w:jc w:val="both"/>
              <w:outlineLvl w:val="7"/>
              <w:rPr>
                <w:rFonts w:asciiTheme="majorHAnsi" w:hAnsiTheme="majorHAnsi" w:cs="Arial"/>
                <w:sz w:val="24"/>
                <w:szCs w:val="24"/>
              </w:rPr>
            </w:pPr>
            <w:r w:rsidRPr="006C0623">
              <w:rPr>
                <w:rFonts w:asciiTheme="majorHAnsi" w:hAnsiTheme="majorHAnsi" w:cs="Arial"/>
                <w:sz w:val="24"/>
                <w:szCs w:val="24"/>
              </w:rPr>
              <w:t>Slit lamp findings</w:t>
            </w:r>
          </w:p>
          <w:p w:rsidR="00D43E5C" w:rsidRPr="006C0623" w:rsidRDefault="00D43E5C" w:rsidP="008D2F0E">
            <w:pPr>
              <w:pStyle w:val="BodyText"/>
              <w:keepLines w:val="0"/>
              <w:widowControl/>
              <w:numPr>
                <w:ilvl w:val="7"/>
                <w:numId w:val="29"/>
              </w:numPr>
              <w:spacing w:before="0" w:after="0" w:line="240" w:lineRule="auto"/>
              <w:jc w:val="both"/>
              <w:outlineLvl w:val="7"/>
              <w:rPr>
                <w:rFonts w:asciiTheme="majorHAnsi" w:hAnsiTheme="majorHAnsi" w:cs="Arial"/>
                <w:sz w:val="24"/>
                <w:szCs w:val="24"/>
              </w:rPr>
            </w:pPr>
            <w:r w:rsidRPr="006C0623">
              <w:rPr>
                <w:rFonts w:asciiTheme="majorHAnsi" w:hAnsiTheme="majorHAnsi" w:cs="Arial"/>
                <w:sz w:val="24"/>
                <w:szCs w:val="24"/>
              </w:rPr>
              <w:t>Fundus findings</w:t>
            </w:r>
          </w:p>
          <w:p w:rsidR="00D43E5C" w:rsidRPr="006C0623" w:rsidRDefault="00D43E5C" w:rsidP="008D2F0E">
            <w:pPr>
              <w:pStyle w:val="BodyText"/>
              <w:keepLines w:val="0"/>
              <w:widowControl/>
              <w:numPr>
                <w:ilvl w:val="7"/>
                <w:numId w:val="29"/>
              </w:numPr>
              <w:spacing w:before="0" w:after="0" w:line="240" w:lineRule="auto"/>
              <w:jc w:val="both"/>
              <w:outlineLvl w:val="7"/>
              <w:rPr>
                <w:rFonts w:asciiTheme="majorHAnsi" w:hAnsiTheme="majorHAnsi" w:cs="Arial"/>
                <w:sz w:val="24"/>
                <w:szCs w:val="24"/>
              </w:rPr>
            </w:pPr>
            <w:r w:rsidRPr="006C0623">
              <w:rPr>
                <w:rFonts w:asciiTheme="majorHAnsi" w:hAnsiTheme="majorHAnsi" w:cs="Arial"/>
                <w:sz w:val="24"/>
                <w:szCs w:val="24"/>
              </w:rPr>
              <w:t>Crystalline lens changes in phakic eyes</w:t>
            </w:r>
          </w:p>
          <w:p w:rsidR="00D43E5C" w:rsidRPr="0049428C" w:rsidRDefault="00D43E5C" w:rsidP="001E0965">
            <w:pPr>
              <w:pStyle w:val="BodyText"/>
              <w:keepLines w:val="0"/>
              <w:widowControl/>
              <w:spacing w:before="0" w:after="0" w:line="240" w:lineRule="auto"/>
              <w:ind w:left="-360" w:firstLine="1080"/>
              <w:jc w:val="both"/>
              <w:rPr>
                <w:rFonts w:asciiTheme="majorHAnsi" w:hAnsiTheme="majorHAnsi" w:cs="Arial"/>
                <w:sz w:val="24"/>
                <w:szCs w:val="24"/>
              </w:rPr>
            </w:pPr>
            <w:r w:rsidRPr="008D2F0E">
              <w:rPr>
                <w:rFonts w:asciiTheme="majorHAnsi" w:hAnsiTheme="majorHAnsi" w:cs="Arial"/>
              </w:rPr>
              <w:t xml:space="preserve"> </w:t>
            </w:r>
            <w:r w:rsidRPr="006C0623">
              <w:rPr>
                <w:rFonts w:asciiTheme="majorHAnsi" w:hAnsiTheme="majorHAnsi" w:cs="Arial"/>
              </w:rPr>
              <w:t>Intraocular pressure</w:t>
            </w:r>
          </w:p>
        </w:tc>
      </w:tr>
      <w:bookmarkEnd w:id="4"/>
      <w:bookmarkEnd w:id="5"/>
    </w:tbl>
    <w:p w:rsidR="0036631E" w:rsidRDefault="0036631E">
      <w:pPr>
        <w:rPr>
          <w:sz w:val="28"/>
          <w:szCs w:val="28"/>
        </w:rPr>
      </w:pPr>
    </w:p>
    <w:p w:rsidR="00F459A7" w:rsidRDefault="00F459A7">
      <w:pPr>
        <w:rPr>
          <w:sz w:val="28"/>
          <w:szCs w:val="28"/>
        </w:rPr>
      </w:pPr>
    </w:p>
    <w:p w:rsidR="00F459A7" w:rsidRDefault="00F459A7">
      <w:pPr>
        <w:rPr>
          <w:sz w:val="28"/>
          <w:szCs w:val="28"/>
        </w:rPr>
      </w:pPr>
    </w:p>
    <w:p w:rsidR="00F459A7" w:rsidRDefault="00F459A7">
      <w:pPr>
        <w:rPr>
          <w:sz w:val="28"/>
          <w:szCs w:val="28"/>
        </w:rPr>
      </w:pPr>
    </w:p>
    <w:p w:rsidR="00F459A7" w:rsidRDefault="00F459A7">
      <w:pPr>
        <w:rPr>
          <w:sz w:val="28"/>
          <w:szCs w:val="28"/>
        </w:rPr>
      </w:pPr>
    </w:p>
    <w:p w:rsidR="00F459A7" w:rsidRDefault="00F459A7">
      <w:pPr>
        <w:rPr>
          <w:sz w:val="28"/>
          <w:szCs w:val="28"/>
        </w:rPr>
      </w:pPr>
    </w:p>
    <w:p w:rsidR="00F459A7" w:rsidRPr="00D43E5C" w:rsidRDefault="00FA08F0">
      <w:pPr>
        <w:rPr>
          <w:rFonts w:asciiTheme="majorHAnsi" w:hAnsiTheme="majorHAnsi" w:cstheme="majorHAnsi"/>
          <w:b/>
        </w:rPr>
      </w:pPr>
      <w:r>
        <w:rPr>
          <w:sz w:val="28"/>
          <w:szCs w:val="28"/>
        </w:rPr>
        <w:br w:type="page"/>
      </w:r>
    </w:p>
    <w:p w:rsidR="00142AC5" w:rsidRPr="002D722F" w:rsidRDefault="00142AC5"/>
    <w:p w:rsidR="00F459A7" w:rsidRPr="00017C5C" w:rsidRDefault="00F459A7" w:rsidP="00F459A7">
      <w:pPr>
        <w:pStyle w:val="ListParagraph"/>
        <w:numPr>
          <w:ilvl w:val="0"/>
          <w:numId w:val="7"/>
        </w:numPr>
        <w:spacing w:line="480" w:lineRule="auto"/>
        <w:rPr>
          <w:rFonts w:asciiTheme="majorHAnsi" w:hAnsiTheme="majorHAnsi"/>
          <w:b/>
        </w:rPr>
      </w:pPr>
      <w:r w:rsidRPr="00017C5C">
        <w:rPr>
          <w:rFonts w:asciiTheme="majorHAnsi" w:hAnsiTheme="majorHAnsi"/>
          <w:b/>
        </w:rPr>
        <w:t>BACKGROUND</w:t>
      </w:r>
    </w:p>
    <w:p w:rsidR="006B44E4" w:rsidRPr="00AC05B4" w:rsidRDefault="006B44E4" w:rsidP="006B44E4">
      <w:pPr>
        <w:pStyle w:val="Heading2"/>
        <w:spacing w:line="480" w:lineRule="auto"/>
        <w:ind w:left="936"/>
        <w:rPr>
          <w:rFonts w:asciiTheme="majorHAnsi" w:hAnsiTheme="majorHAnsi"/>
          <w:sz w:val="24"/>
          <w:szCs w:val="24"/>
          <w:lang w:val="en-GB"/>
        </w:rPr>
      </w:pPr>
      <w:bookmarkStart w:id="7" w:name="_Toc224303313"/>
      <w:bookmarkStart w:id="8" w:name="_Toc324107837"/>
      <w:bookmarkStart w:id="9" w:name="_Toc224303314"/>
      <w:bookmarkStart w:id="10" w:name="_Toc324107838"/>
      <w:r w:rsidRPr="00AC05B4">
        <w:rPr>
          <w:rFonts w:asciiTheme="majorHAnsi" w:hAnsiTheme="majorHAnsi"/>
          <w:sz w:val="24"/>
          <w:szCs w:val="24"/>
          <w:lang w:val="en-GB"/>
        </w:rPr>
        <w:t>Age-Related Macular Degeneration Overview</w:t>
      </w:r>
      <w:bookmarkEnd w:id="7"/>
      <w:bookmarkEnd w:id="8"/>
    </w:p>
    <w:p w:rsidR="006B44E4" w:rsidRPr="00AC05B4" w:rsidRDefault="006B44E4" w:rsidP="006B44E4">
      <w:pPr>
        <w:spacing w:line="480" w:lineRule="auto"/>
        <w:rPr>
          <w:rFonts w:asciiTheme="majorHAnsi" w:hAnsiTheme="majorHAnsi"/>
        </w:rPr>
      </w:pPr>
      <w:r w:rsidRPr="00AC05B4">
        <w:rPr>
          <w:rFonts w:asciiTheme="majorHAnsi" w:hAnsiTheme="majorHAnsi"/>
        </w:rPr>
        <w:t>Age-related macular degeneration (AMD) is the most common cause of visual impairment and blindness in the elderly in industrialized nations.</w:t>
      </w:r>
      <w:r w:rsidRPr="00AC05B4">
        <w:rPr>
          <w:rFonts w:asciiTheme="majorHAnsi" w:hAnsiTheme="majorHAnsi"/>
          <w:vertAlign w:val="superscript"/>
        </w:rPr>
        <w:t>1</w:t>
      </w:r>
      <w:r w:rsidRPr="00AC05B4">
        <w:rPr>
          <w:rFonts w:asciiTheme="majorHAnsi" w:hAnsiTheme="majorHAnsi"/>
        </w:rPr>
        <w:t xml:space="preserve"> AMD is a degenerative disorder affecting the macula and it is classified into two main forms: non-neovascular (also known as “dry” or “nonexudative”) or neovascular (also known as “wet” or “exudative”). </w:t>
      </w:r>
      <w:r w:rsidRPr="00BD49D9">
        <w:rPr>
          <w:rFonts w:asciiTheme="majorHAnsi" w:hAnsiTheme="majorHAnsi"/>
        </w:rPr>
        <w:t>Dry AMD is the most common form, comprising around 90% of diagnosed disease.</w:t>
      </w:r>
      <w:r w:rsidRPr="00BD49D9">
        <w:rPr>
          <w:rFonts w:asciiTheme="majorHAnsi" w:hAnsiTheme="majorHAnsi"/>
          <w:vertAlign w:val="superscript"/>
        </w:rPr>
        <w:t>2</w:t>
      </w:r>
      <w:r w:rsidRPr="00BD49D9">
        <w:rPr>
          <w:rFonts w:asciiTheme="majorHAnsi" w:hAnsiTheme="majorHAnsi"/>
        </w:rPr>
        <w:t xml:space="preserve"> Geographic atrophy (GA) is the advanced stage of dry AMD, where areas of atrophy become confluent and cause visual loss. Wet AMD, characterized by choroidal neovascularization (CNV) - abnormal blood vessels typically arising in the choriocapillaris and often invading the subretinal space - is associated with rapid progression to advanced sight loss.</w:t>
      </w:r>
      <w:r w:rsidRPr="00BD49D9">
        <w:rPr>
          <w:rFonts w:asciiTheme="majorHAnsi" w:hAnsiTheme="majorHAnsi"/>
          <w:vertAlign w:val="superscript"/>
        </w:rPr>
        <w:t>2</w:t>
      </w:r>
    </w:p>
    <w:p w:rsidR="006B44E4" w:rsidRPr="00AC05B4" w:rsidRDefault="00BD49D9" w:rsidP="006B44E4">
      <w:pPr>
        <w:spacing w:line="480" w:lineRule="auto"/>
        <w:rPr>
          <w:rFonts w:asciiTheme="majorHAnsi" w:hAnsiTheme="majorHAnsi"/>
          <w:vertAlign w:val="superscript"/>
        </w:rPr>
      </w:pPr>
      <w:r>
        <w:rPr>
          <w:rFonts w:asciiTheme="majorHAnsi" w:hAnsiTheme="majorHAnsi"/>
        </w:rPr>
        <w:t xml:space="preserve">Early </w:t>
      </w:r>
      <w:r w:rsidR="006B44E4" w:rsidRPr="00AC05B4">
        <w:rPr>
          <w:rFonts w:asciiTheme="majorHAnsi" w:hAnsiTheme="majorHAnsi"/>
        </w:rPr>
        <w:t xml:space="preserve">AMD is characterized by the presence of specific clinical findings including drusen, </w:t>
      </w:r>
      <w:r>
        <w:rPr>
          <w:rFonts w:asciiTheme="majorHAnsi" w:hAnsiTheme="majorHAnsi"/>
        </w:rPr>
        <w:t xml:space="preserve">reticular </w:t>
      </w:r>
      <w:r w:rsidR="006B44E4" w:rsidRPr="00AC05B4">
        <w:rPr>
          <w:rFonts w:asciiTheme="majorHAnsi" w:hAnsiTheme="majorHAnsi"/>
        </w:rPr>
        <w:t>psuedodrusen and RPE changes. Drusen are yellowish deposits at the level of the RPE which lies just under the neurosensory retina.</w:t>
      </w:r>
      <w:r w:rsidR="006B44E4" w:rsidRPr="00AC05B4">
        <w:rPr>
          <w:rFonts w:asciiTheme="majorHAnsi" w:hAnsiTheme="majorHAnsi"/>
          <w:vertAlign w:val="superscript"/>
        </w:rPr>
        <w:t>4</w:t>
      </w:r>
      <w:r w:rsidR="006B44E4" w:rsidRPr="00AC05B4">
        <w:rPr>
          <w:rFonts w:asciiTheme="majorHAnsi" w:hAnsiTheme="majorHAnsi"/>
        </w:rPr>
        <w:t xml:space="preserve"> Pseudodrusen are hyperreflective material located not under (as typical drusen of AMD do) but above the RPE and are a high risk factor in the progression of AMD (both CNV and GA).</w:t>
      </w:r>
      <w:r w:rsidR="006B44E4" w:rsidRPr="00AC05B4">
        <w:rPr>
          <w:rFonts w:asciiTheme="majorHAnsi" w:hAnsiTheme="majorHAnsi"/>
          <w:vertAlign w:val="superscript"/>
        </w:rPr>
        <w:t>5</w:t>
      </w:r>
    </w:p>
    <w:p w:rsidR="00487DFD" w:rsidRDefault="00BD49D9" w:rsidP="006B44E4">
      <w:pPr>
        <w:widowControl w:val="0"/>
        <w:autoSpaceDE w:val="0"/>
        <w:autoSpaceDN w:val="0"/>
        <w:adjustRightInd w:val="0"/>
        <w:spacing w:after="240" w:line="480" w:lineRule="auto"/>
        <w:jc w:val="both"/>
        <w:rPr>
          <w:rFonts w:asciiTheme="majorHAnsi" w:hAnsiTheme="majorHAnsi"/>
        </w:rPr>
      </w:pPr>
      <w:r w:rsidRPr="00AA7F41">
        <w:rPr>
          <w:rFonts w:asciiTheme="majorHAnsi" w:hAnsiTheme="majorHAnsi"/>
        </w:rPr>
        <w:t xml:space="preserve">In particular, several studies have highlighted the role of reticular pseudodrusen </w:t>
      </w:r>
      <w:r w:rsidR="00AA7F41" w:rsidRPr="00AA7F41">
        <w:rPr>
          <w:rFonts w:asciiTheme="majorHAnsi" w:hAnsiTheme="majorHAnsi"/>
        </w:rPr>
        <w:t>to</w:t>
      </w:r>
      <w:r w:rsidRPr="00AA7F41">
        <w:rPr>
          <w:rFonts w:asciiTheme="majorHAnsi" w:hAnsiTheme="majorHAnsi"/>
        </w:rPr>
        <w:t xml:space="preserve"> </w:t>
      </w:r>
      <w:r w:rsidR="00AA7F41" w:rsidRPr="003179E6">
        <w:rPr>
          <w:rFonts w:ascii="Helvetica Neue" w:eastAsiaTheme="minorEastAsia" w:hAnsi="Helvetica Neue" w:cs="Helvetica Neue"/>
          <w:color w:val="262626"/>
          <w:lang w:eastAsia="it-IT"/>
        </w:rPr>
        <w:t>accelerate the rate of</w:t>
      </w:r>
      <w:r w:rsidRPr="00AA7F41">
        <w:rPr>
          <w:rFonts w:asciiTheme="majorHAnsi" w:hAnsiTheme="majorHAnsi"/>
        </w:rPr>
        <w:t xml:space="preserve"> GA</w:t>
      </w:r>
      <w:r w:rsidR="00540595" w:rsidRPr="00AA7F41">
        <w:rPr>
          <w:rFonts w:asciiTheme="majorHAnsi" w:hAnsiTheme="majorHAnsi"/>
        </w:rPr>
        <w:t xml:space="preserve">  </w:t>
      </w:r>
      <w:r w:rsidR="00AA7F41" w:rsidRPr="003179E6">
        <w:rPr>
          <w:rFonts w:ascii="Helvetica Neue" w:eastAsiaTheme="minorEastAsia" w:hAnsi="Helvetica Neue" w:cs="Helvetica Neue"/>
          <w:color w:val="262626"/>
          <w:lang w:eastAsia="it-IT"/>
        </w:rPr>
        <w:t>progression</w:t>
      </w:r>
      <w:r w:rsidR="00487DFD">
        <w:rPr>
          <w:rFonts w:asciiTheme="majorHAnsi" w:hAnsiTheme="majorHAnsi"/>
        </w:rPr>
        <w:t>.</w:t>
      </w:r>
      <w:r w:rsidR="00487DFD" w:rsidRPr="00487DFD">
        <w:rPr>
          <w:rFonts w:asciiTheme="majorHAnsi" w:hAnsiTheme="majorHAnsi"/>
          <w:vertAlign w:val="superscript"/>
        </w:rPr>
        <w:t>5</w:t>
      </w:r>
    </w:p>
    <w:p w:rsidR="006B44E4" w:rsidRPr="00AC05B4" w:rsidRDefault="006B44E4" w:rsidP="006B44E4">
      <w:pPr>
        <w:widowControl w:val="0"/>
        <w:autoSpaceDE w:val="0"/>
        <w:autoSpaceDN w:val="0"/>
        <w:adjustRightInd w:val="0"/>
        <w:spacing w:after="240" w:line="480" w:lineRule="auto"/>
        <w:jc w:val="both"/>
        <w:rPr>
          <w:rFonts w:asciiTheme="majorHAnsi" w:hAnsiTheme="majorHAnsi"/>
        </w:rPr>
      </w:pPr>
      <w:r w:rsidRPr="00AC05B4">
        <w:rPr>
          <w:rFonts w:asciiTheme="majorHAnsi" w:hAnsiTheme="majorHAnsi"/>
        </w:rPr>
        <w:t>GA is characterized by the degeneration of the retinal pigment epithelium (RPE), photorece</w:t>
      </w:r>
      <w:r w:rsidR="00771D20" w:rsidRPr="00AC05B4">
        <w:rPr>
          <w:rFonts w:asciiTheme="majorHAnsi" w:hAnsiTheme="majorHAnsi"/>
        </w:rPr>
        <w:t>ptor cells and choriocapillaris.</w:t>
      </w:r>
      <w:r w:rsidR="00771D20" w:rsidRPr="00AC05B4">
        <w:rPr>
          <w:rFonts w:asciiTheme="majorHAnsi" w:hAnsiTheme="majorHAnsi"/>
          <w:vertAlign w:val="superscript"/>
        </w:rPr>
        <w:t>6</w:t>
      </w:r>
      <w:r w:rsidR="00771D20" w:rsidRPr="00AC05B4">
        <w:rPr>
          <w:rFonts w:asciiTheme="majorHAnsi" w:hAnsiTheme="majorHAnsi"/>
        </w:rPr>
        <w:t xml:space="preserve"> </w:t>
      </w:r>
      <w:r w:rsidRPr="00AC05B4">
        <w:rPr>
          <w:rFonts w:asciiTheme="majorHAnsi" w:hAnsiTheme="majorHAnsi"/>
        </w:rPr>
        <w:t xml:space="preserve">These morphological changes initially appear in the extrafoveal region and advance into the fovea as the disease progresses. In earlier stages when the disease is limited to the extrafoveal region, the atrophic lesions impair visual performance by limiting the size of the functioning fovea and patients may be able to see only a portion of words when reading. As the </w:t>
      </w:r>
      <w:r w:rsidRPr="00AC05B4">
        <w:rPr>
          <w:rFonts w:asciiTheme="majorHAnsi" w:hAnsiTheme="majorHAnsi"/>
        </w:rPr>
        <w:lastRenderedPageBreak/>
        <w:t xml:space="preserve">disease progresses to include the parafoveal region, central vision becomes affected. Severe vision loss occurs when these areas of atrophy enlarge or coalesce and expand into the foveola. In addition to the formation of scotomas that progress into the foveola, patients with </w:t>
      </w:r>
      <w:r w:rsidR="00123DFA">
        <w:rPr>
          <w:rFonts w:asciiTheme="majorHAnsi" w:hAnsiTheme="majorHAnsi"/>
        </w:rPr>
        <w:t>GA</w:t>
      </w:r>
      <w:r w:rsidRPr="00AC05B4">
        <w:rPr>
          <w:rFonts w:asciiTheme="majorHAnsi" w:hAnsiTheme="majorHAnsi"/>
        </w:rPr>
        <w:t xml:space="preserve"> can experience a variety of visual symptoms such as distorted vision, trouble discerning colors, a slow recovery of visual function after exposure to bright light, a loss of contrast sensitivity and marked visual impairment in dimly lit environments</w:t>
      </w:r>
      <w:r w:rsidR="00771D20" w:rsidRPr="00AC05B4">
        <w:rPr>
          <w:rFonts w:asciiTheme="majorHAnsi" w:hAnsiTheme="majorHAnsi"/>
        </w:rPr>
        <w:t>.</w:t>
      </w:r>
      <w:r w:rsidR="00771D20" w:rsidRPr="00AC05B4">
        <w:rPr>
          <w:rFonts w:asciiTheme="majorHAnsi" w:hAnsiTheme="majorHAnsi"/>
          <w:vertAlign w:val="superscript"/>
        </w:rPr>
        <w:t>7,8,9</w:t>
      </w:r>
    </w:p>
    <w:p w:rsidR="006B44E4" w:rsidRPr="00AC05B4" w:rsidRDefault="006B44E4" w:rsidP="006B44E4">
      <w:pPr>
        <w:pStyle w:val="Heading2"/>
        <w:spacing w:line="480" w:lineRule="auto"/>
        <w:ind w:left="816"/>
        <w:rPr>
          <w:rFonts w:asciiTheme="majorHAnsi" w:hAnsiTheme="majorHAnsi"/>
          <w:lang w:val="en-GB"/>
        </w:rPr>
      </w:pPr>
      <w:r w:rsidRPr="00AC05B4">
        <w:rPr>
          <w:rFonts w:asciiTheme="majorHAnsi" w:hAnsiTheme="majorHAnsi"/>
          <w:lang w:val="en-GB"/>
        </w:rPr>
        <w:t>Historical and Current Treatment of AMD</w:t>
      </w:r>
      <w:bookmarkEnd w:id="9"/>
      <w:bookmarkEnd w:id="10"/>
      <w:r w:rsidRPr="00AC05B4">
        <w:rPr>
          <w:rFonts w:asciiTheme="majorHAnsi" w:hAnsiTheme="majorHAnsi"/>
          <w:lang w:val="en-GB"/>
        </w:rPr>
        <w:t xml:space="preserve"> </w:t>
      </w:r>
    </w:p>
    <w:p w:rsidR="006B44E4" w:rsidRPr="00AC05B4" w:rsidRDefault="006B44E4" w:rsidP="006B44E4">
      <w:pPr>
        <w:spacing w:line="480" w:lineRule="auto"/>
        <w:jc w:val="both"/>
        <w:rPr>
          <w:rFonts w:asciiTheme="majorHAnsi" w:hAnsiTheme="majorHAnsi"/>
        </w:rPr>
      </w:pPr>
      <w:r w:rsidRPr="00AC05B4">
        <w:rPr>
          <w:rFonts w:asciiTheme="majorHAnsi" w:hAnsiTheme="majorHAnsi"/>
        </w:rPr>
        <w:t>At present, proven therapies to prevent or treat AMD are the following: (i) antioxidant vitamins and minerals for slowing the progression to later stages of AMD; (ii) intravitreal injection of anti-VEGF agents, (iii) photodynamic therapy (PDT), and (iv) laser photocoagulation to treat neovascular AMD. These data are supported by several prospective randomized controlled clinical trials</w:t>
      </w:r>
      <w:r w:rsidRPr="00AC05B4">
        <w:rPr>
          <w:rFonts w:asciiTheme="majorHAnsi" w:hAnsiTheme="majorHAnsi"/>
          <w:vertAlign w:val="superscript"/>
        </w:rPr>
        <w:t>1</w:t>
      </w:r>
      <w:r w:rsidR="00771D20" w:rsidRPr="00AC05B4">
        <w:rPr>
          <w:rFonts w:asciiTheme="majorHAnsi" w:hAnsiTheme="majorHAnsi"/>
          <w:vertAlign w:val="superscript"/>
        </w:rPr>
        <w:t>0</w:t>
      </w:r>
      <w:r w:rsidRPr="00AC05B4">
        <w:rPr>
          <w:rFonts w:asciiTheme="majorHAnsi" w:hAnsiTheme="majorHAnsi"/>
        </w:rPr>
        <w:t>.</w:t>
      </w:r>
    </w:p>
    <w:p w:rsidR="006B44E4" w:rsidRPr="00AC05B4" w:rsidRDefault="006B44E4" w:rsidP="006B44E4">
      <w:pPr>
        <w:spacing w:line="480" w:lineRule="auto"/>
        <w:jc w:val="both"/>
        <w:rPr>
          <w:rFonts w:asciiTheme="majorHAnsi" w:hAnsiTheme="majorHAnsi"/>
        </w:rPr>
      </w:pPr>
      <w:r w:rsidRPr="00AC05B4">
        <w:rPr>
          <w:rFonts w:asciiTheme="majorHAnsi" w:hAnsiTheme="majorHAnsi"/>
        </w:rPr>
        <w:t>Antioxidant vitamins and minerals (as suggested in the original AREDS and AREDS2 reports) are recommended for those patients with (i) intermediate AMD and (ii) advanced AMD in one eye.</w:t>
      </w:r>
    </w:p>
    <w:p w:rsidR="006B44E4" w:rsidRPr="00AC05B4" w:rsidRDefault="006B44E4" w:rsidP="006B44E4">
      <w:pPr>
        <w:spacing w:line="480" w:lineRule="auto"/>
        <w:jc w:val="both"/>
        <w:rPr>
          <w:rFonts w:asciiTheme="majorHAnsi" w:hAnsiTheme="majorHAnsi"/>
        </w:rPr>
      </w:pPr>
      <w:r w:rsidRPr="00AC05B4">
        <w:rPr>
          <w:rFonts w:asciiTheme="majorHAnsi" w:hAnsiTheme="majorHAnsi"/>
        </w:rPr>
        <w:t>Intravitreal injections of anti-VEGF agents have become first-line therapy for treating and stabilizing most cases of neovascular AMD</w:t>
      </w:r>
      <w:r w:rsidR="00771D20" w:rsidRPr="00AC05B4">
        <w:rPr>
          <w:rFonts w:asciiTheme="majorHAnsi" w:hAnsiTheme="majorHAnsi"/>
        </w:rPr>
        <w:t xml:space="preserve"> </w:t>
      </w:r>
      <w:r w:rsidR="00771D20" w:rsidRPr="00AC05B4">
        <w:rPr>
          <w:rFonts w:asciiTheme="majorHAnsi" w:hAnsiTheme="majorHAnsi"/>
          <w:vertAlign w:val="superscript"/>
        </w:rPr>
        <w:t>11</w:t>
      </w:r>
      <w:r w:rsidRPr="00AC05B4">
        <w:rPr>
          <w:rFonts w:asciiTheme="majorHAnsi" w:hAnsiTheme="majorHAnsi"/>
          <w:vertAlign w:val="superscript"/>
        </w:rPr>
        <w:t>,</w:t>
      </w:r>
      <w:r w:rsidR="00771D20" w:rsidRPr="00AC05B4">
        <w:rPr>
          <w:rFonts w:asciiTheme="majorHAnsi" w:hAnsiTheme="majorHAnsi"/>
          <w:vertAlign w:val="superscript"/>
        </w:rPr>
        <w:t>12</w:t>
      </w:r>
      <w:r w:rsidRPr="00AC05B4">
        <w:rPr>
          <w:rFonts w:asciiTheme="majorHAnsi" w:hAnsiTheme="majorHAnsi"/>
          <w:vertAlign w:val="superscript"/>
        </w:rPr>
        <w:t>,</w:t>
      </w:r>
      <w:r w:rsidR="00771D20" w:rsidRPr="00AC05B4">
        <w:rPr>
          <w:rFonts w:asciiTheme="majorHAnsi" w:hAnsiTheme="majorHAnsi"/>
          <w:vertAlign w:val="superscript"/>
        </w:rPr>
        <w:t>13</w:t>
      </w:r>
      <w:r w:rsidRPr="00AC05B4">
        <w:rPr>
          <w:rFonts w:asciiTheme="majorHAnsi" w:hAnsiTheme="majorHAnsi"/>
          <w:vertAlign w:val="superscript"/>
        </w:rPr>
        <w:t>,</w:t>
      </w:r>
      <w:r w:rsidR="00771D20" w:rsidRPr="00AC05B4">
        <w:rPr>
          <w:rFonts w:asciiTheme="majorHAnsi" w:hAnsiTheme="majorHAnsi"/>
          <w:vertAlign w:val="superscript"/>
        </w:rPr>
        <w:t>14</w:t>
      </w:r>
      <w:r w:rsidRPr="00AC05B4">
        <w:rPr>
          <w:rFonts w:asciiTheme="majorHAnsi" w:hAnsiTheme="majorHAnsi"/>
        </w:rPr>
        <w:t xml:space="preserve">, since the introduction of the VEGF inhibitors (i) pegaptanib sodium (Macugen®, Eyetech, Inc., Cedar Knolls, NJ) in 2004, off-label (ii) bevacizumab (Avastin®, Genentech, Inc., South San Francisco, CA) in 2005, (iii) ranibizumab (Lucentis®, Genentech, Inc., South San Francisco, CA) in 2006, and (iv) aflibercept (Eylea™, Regeneron Pharmaceuticals, Inc., Tarrytown, NY) in 2011. </w:t>
      </w:r>
    </w:p>
    <w:p w:rsidR="006B44E4" w:rsidRPr="00AC05B4" w:rsidRDefault="006B44E4" w:rsidP="006B44E4">
      <w:pPr>
        <w:spacing w:line="480" w:lineRule="auto"/>
        <w:jc w:val="both"/>
        <w:rPr>
          <w:rFonts w:asciiTheme="majorHAnsi" w:hAnsiTheme="majorHAnsi"/>
        </w:rPr>
      </w:pPr>
      <w:r w:rsidRPr="00AC05B4">
        <w:rPr>
          <w:rFonts w:asciiTheme="majorHAnsi" w:hAnsiTheme="majorHAnsi"/>
        </w:rPr>
        <w:t>Unlike the other anti-VEGF agents that are currently available (ranibizumab, aflibercept, and bevacizumab), pegaptanib treatment does not improve visual acuity on average in patients with new-onset neovascular AMD and is rarely used in current clinical practice.</w:t>
      </w:r>
    </w:p>
    <w:p w:rsidR="006B44E4" w:rsidRPr="00AC05B4" w:rsidRDefault="006B44E4" w:rsidP="006B44E4">
      <w:pPr>
        <w:spacing w:line="480" w:lineRule="auto"/>
        <w:jc w:val="both"/>
        <w:rPr>
          <w:rFonts w:asciiTheme="majorHAnsi" w:hAnsiTheme="majorHAnsi"/>
        </w:rPr>
      </w:pPr>
      <w:r w:rsidRPr="00AC05B4">
        <w:rPr>
          <w:rFonts w:asciiTheme="majorHAnsi" w:hAnsiTheme="majorHAnsi"/>
        </w:rPr>
        <w:lastRenderedPageBreak/>
        <w:t>Drug tolerance is the most common cause of treatment failure in neovascular age-related macular degeneration. It has been demonstrated that “low-intensity/high-density” subthreshold diode micropulse laser (SDM) treatment restores responsiveness to anti–VEGF agents in drug-tolerant eyes by targeting, preserving, and normalizing the function of the RPE</w:t>
      </w:r>
      <w:r w:rsidR="00771D20" w:rsidRPr="00AC05B4">
        <w:rPr>
          <w:rFonts w:asciiTheme="majorHAnsi" w:hAnsiTheme="majorHAnsi"/>
        </w:rPr>
        <w:t xml:space="preserve"> </w:t>
      </w:r>
      <w:r w:rsidR="00771D20" w:rsidRPr="00AC05B4">
        <w:rPr>
          <w:rFonts w:asciiTheme="majorHAnsi" w:hAnsiTheme="majorHAnsi"/>
          <w:vertAlign w:val="superscript"/>
        </w:rPr>
        <w:t>15</w:t>
      </w:r>
      <w:r w:rsidRPr="00AC05B4">
        <w:rPr>
          <w:rFonts w:asciiTheme="majorHAnsi" w:hAnsiTheme="majorHAnsi"/>
        </w:rPr>
        <w:t>.</w:t>
      </w:r>
    </w:p>
    <w:p w:rsidR="00771D20" w:rsidRPr="00AC05B4" w:rsidRDefault="006B44E4" w:rsidP="006B44E4">
      <w:pPr>
        <w:spacing w:line="480" w:lineRule="auto"/>
        <w:jc w:val="both"/>
        <w:rPr>
          <w:rFonts w:asciiTheme="majorHAnsi" w:hAnsiTheme="majorHAnsi"/>
        </w:rPr>
      </w:pPr>
      <w:r w:rsidRPr="00AC05B4">
        <w:rPr>
          <w:rFonts w:asciiTheme="majorHAnsi" w:hAnsiTheme="majorHAnsi"/>
        </w:rPr>
        <w:t>PDT with verteporfirin (Visudyne®) is recommended for selected type of neovascular AMD</w:t>
      </w:r>
      <w:r w:rsidR="00771D20" w:rsidRPr="00AC05B4">
        <w:rPr>
          <w:rFonts w:asciiTheme="majorHAnsi" w:hAnsiTheme="majorHAnsi"/>
        </w:rPr>
        <w:t xml:space="preserve"> </w:t>
      </w:r>
      <w:r w:rsidR="00771D20" w:rsidRPr="00AC05B4">
        <w:rPr>
          <w:rFonts w:asciiTheme="majorHAnsi" w:hAnsiTheme="majorHAnsi"/>
          <w:vertAlign w:val="superscript"/>
        </w:rPr>
        <w:t>16</w:t>
      </w:r>
      <w:r w:rsidRPr="00AC05B4">
        <w:rPr>
          <w:rFonts w:asciiTheme="majorHAnsi" w:hAnsiTheme="majorHAnsi"/>
          <w:vertAlign w:val="superscript"/>
        </w:rPr>
        <w:t>,</w:t>
      </w:r>
      <w:r w:rsidR="00771D20" w:rsidRPr="00AC05B4">
        <w:rPr>
          <w:rFonts w:asciiTheme="majorHAnsi" w:hAnsiTheme="majorHAnsi"/>
          <w:vertAlign w:val="superscript"/>
        </w:rPr>
        <w:t>17</w:t>
      </w:r>
      <w:r w:rsidRPr="00AC05B4">
        <w:rPr>
          <w:rFonts w:asciiTheme="majorHAnsi" w:hAnsiTheme="majorHAnsi"/>
        </w:rPr>
        <w:t>.</w:t>
      </w:r>
    </w:p>
    <w:p w:rsidR="006B44E4" w:rsidRPr="00AC05B4" w:rsidRDefault="006B44E4" w:rsidP="006B44E4">
      <w:pPr>
        <w:spacing w:line="480" w:lineRule="auto"/>
        <w:jc w:val="both"/>
        <w:rPr>
          <w:rFonts w:asciiTheme="majorHAnsi" w:hAnsiTheme="majorHAnsi"/>
        </w:rPr>
      </w:pPr>
      <w:r w:rsidRPr="00AC05B4">
        <w:rPr>
          <w:rFonts w:asciiTheme="majorHAnsi" w:hAnsiTheme="majorHAnsi"/>
        </w:rPr>
        <w:t>Thermal laser photocoagulation surgery may be considered for extrafoveal CNV, new or recurrent</w:t>
      </w:r>
      <w:r w:rsidR="00697EFC">
        <w:rPr>
          <w:rFonts w:asciiTheme="majorHAnsi" w:hAnsiTheme="majorHAnsi"/>
        </w:rPr>
        <w:t xml:space="preserve"> </w:t>
      </w:r>
      <w:r w:rsidR="00771D20" w:rsidRPr="00AC05B4">
        <w:rPr>
          <w:rFonts w:asciiTheme="majorHAnsi" w:hAnsiTheme="majorHAnsi"/>
          <w:vertAlign w:val="superscript"/>
        </w:rPr>
        <w:t>18</w:t>
      </w:r>
      <w:r w:rsidRPr="00AC05B4">
        <w:rPr>
          <w:rFonts w:asciiTheme="majorHAnsi" w:hAnsiTheme="majorHAnsi"/>
        </w:rPr>
        <w:t>.</w:t>
      </w:r>
    </w:p>
    <w:p w:rsidR="00BD49D9" w:rsidRDefault="00F57C4F" w:rsidP="00F57C4F">
      <w:pPr>
        <w:spacing w:line="480" w:lineRule="auto"/>
        <w:rPr>
          <w:rFonts w:asciiTheme="majorHAnsi" w:hAnsiTheme="majorHAnsi"/>
        </w:rPr>
      </w:pPr>
      <w:r w:rsidRPr="00AC05B4">
        <w:rPr>
          <w:rFonts w:asciiTheme="majorHAnsi" w:hAnsiTheme="majorHAnsi"/>
        </w:rPr>
        <w:t xml:space="preserve">However, there are no effective treatments for early AMD to prevent the progression to GA. </w:t>
      </w:r>
    </w:p>
    <w:p w:rsidR="00E14A3A" w:rsidRPr="00AC05B4" w:rsidRDefault="0045740C" w:rsidP="00F57C4F">
      <w:pPr>
        <w:spacing w:line="480" w:lineRule="auto"/>
        <w:rPr>
          <w:rFonts w:asciiTheme="majorHAnsi" w:hAnsiTheme="majorHAnsi"/>
        </w:rPr>
      </w:pPr>
      <w:r>
        <w:rPr>
          <w:rFonts w:asciiTheme="majorHAnsi" w:hAnsiTheme="majorHAnsi"/>
        </w:rPr>
        <w:t xml:space="preserve">In particular, </w:t>
      </w:r>
      <w:r w:rsidR="00171EFB">
        <w:rPr>
          <w:rFonts w:asciiTheme="majorHAnsi" w:hAnsiTheme="majorHAnsi"/>
        </w:rPr>
        <w:t xml:space="preserve">there are currently no treatments for </w:t>
      </w:r>
      <w:r>
        <w:rPr>
          <w:rFonts w:asciiTheme="majorHAnsi" w:hAnsiTheme="majorHAnsi"/>
        </w:rPr>
        <w:t>reticular pseudodrusen</w:t>
      </w:r>
      <w:r w:rsidR="00171EFB">
        <w:rPr>
          <w:rFonts w:asciiTheme="majorHAnsi" w:hAnsiTheme="majorHAnsi"/>
        </w:rPr>
        <w:t xml:space="preserve">, which are considered </w:t>
      </w:r>
      <w:r>
        <w:rPr>
          <w:rFonts w:asciiTheme="majorHAnsi" w:hAnsiTheme="majorHAnsi"/>
        </w:rPr>
        <w:t>as high-risk lesions</w:t>
      </w:r>
      <w:r w:rsidR="00171EFB">
        <w:rPr>
          <w:rFonts w:asciiTheme="majorHAnsi" w:hAnsiTheme="majorHAnsi"/>
        </w:rPr>
        <w:t xml:space="preserve"> for progression to GA. </w:t>
      </w:r>
      <w:r w:rsidR="00F57C4F" w:rsidRPr="00AC05B4">
        <w:rPr>
          <w:rFonts w:asciiTheme="majorHAnsi" w:hAnsiTheme="majorHAnsi"/>
        </w:rPr>
        <w:t>Moreover,</w:t>
      </w:r>
      <w:r w:rsidR="00E14A3A" w:rsidRPr="00AC05B4">
        <w:rPr>
          <w:rFonts w:asciiTheme="majorHAnsi" w:hAnsiTheme="majorHAnsi"/>
        </w:rPr>
        <w:t xml:space="preserve"> there is no proven therapy to prevent or treat GA that occurs in dry AMD.</w:t>
      </w:r>
      <w:r w:rsidR="00171EFB">
        <w:rPr>
          <w:rFonts w:asciiTheme="majorHAnsi" w:hAnsiTheme="majorHAnsi"/>
        </w:rPr>
        <w:t xml:space="preserve"> In particular, there</w:t>
      </w:r>
      <w:r w:rsidR="00171EFB" w:rsidRPr="00171EFB">
        <w:rPr>
          <w:rFonts w:asciiTheme="majorHAnsi" w:hAnsiTheme="majorHAnsi"/>
        </w:rPr>
        <w:t xml:space="preserve"> </w:t>
      </w:r>
      <w:r w:rsidR="00171EFB">
        <w:rPr>
          <w:rFonts w:asciiTheme="majorHAnsi" w:hAnsiTheme="majorHAnsi"/>
        </w:rPr>
        <w:t xml:space="preserve">are currently no treatments for </w:t>
      </w:r>
      <w:r w:rsidR="0092147F" w:rsidRPr="00AC05B4">
        <w:rPr>
          <w:rFonts w:asciiTheme="majorHAnsi" w:hAnsiTheme="majorHAnsi"/>
        </w:rPr>
        <w:t>earlier stages</w:t>
      </w:r>
      <w:r w:rsidR="0092147F">
        <w:rPr>
          <w:rFonts w:asciiTheme="majorHAnsi" w:hAnsiTheme="majorHAnsi"/>
        </w:rPr>
        <w:t>,</w:t>
      </w:r>
      <w:r w:rsidR="0092147F" w:rsidRPr="00AC05B4">
        <w:rPr>
          <w:rFonts w:asciiTheme="majorHAnsi" w:hAnsiTheme="majorHAnsi"/>
        </w:rPr>
        <w:t xml:space="preserve"> when the disease is limited to the extrafoveal region</w:t>
      </w:r>
      <w:r w:rsidR="0092147F" w:rsidRPr="00B754A1">
        <w:rPr>
          <w:rFonts w:asciiTheme="majorHAnsi" w:hAnsiTheme="majorHAnsi"/>
        </w:rPr>
        <w:t xml:space="preserve"> </w:t>
      </w:r>
      <w:r w:rsidR="0092147F">
        <w:rPr>
          <w:rFonts w:asciiTheme="majorHAnsi" w:hAnsiTheme="majorHAnsi"/>
        </w:rPr>
        <w:t>(</w:t>
      </w:r>
      <w:r w:rsidR="00171EFB" w:rsidRPr="00B754A1">
        <w:rPr>
          <w:rFonts w:asciiTheme="majorHAnsi" w:hAnsiTheme="majorHAnsi"/>
        </w:rPr>
        <w:t xml:space="preserve">extramacular GA </w:t>
      </w:r>
      <w:r w:rsidR="00171EFB">
        <w:rPr>
          <w:rFonts w:asciiTheme="majorHAnsi" w:hAnsiTheme="majorHAnsi"/>
        </w:rPr>
        <w:t>&lt;</w:t>
      </w:r>
      <w:r w:rsidR="00171EFB" w:rsidRPr="00B754A1">
        <w:rPr>
          <w:rFonts w:asciiTheme="majorHAnsi" w:hAnsiTheme="majorHAnsi"/>
        </w:rPr>
        <w:t xml:space="preserve">1.27 </w:t>
      </w:r>
      <w:r w:rsidR="0092147F">
        <w:rPr>
          <w:rFonts w:asciiTheme="majorHAnsi" w:hAnsiTheme="majorHAnsi"/>
        </w:rPr>
        <w:t>m</w:t>
      </w:r>
      <w:r w:rsidR="00171EFB" w:rsidRPr="00B754A1">
        <w:rPr>
          <w:rFonts w:asciiTheme="majorHAnsi" w:hAnsiTheme="majorHAnsi"/>
        </w:rPr>
        <w:t>m</w:t>
      </w:r>
      <w:r w:rsidR="00171EFB" w:rsidRPr="00B754A1">
        <w:rPr>
          <w:rFonts w:asciiTheme="majorHAnsi" w:hAnsiTheme="majorHAnsi"/>
          <w:vertAlign w:val="superscript"/>
        </w:rPr>
        <w:t xml:space="preserve">2 </w:t>
      </w:r>
      <w:r w:rsidR="00171EFB" w:rsidRPr="00B754A1">
        <w:rPr>
          <w:rFonts w:asciiTheme="majorHAnsi" w:hAnsiTheme="majorHAnsi"/>
        </w:rPr>
        <w:t>area</w:t>
      </w:r>
      <w:r w:rsidR="00171EFB">
        <w:rPr>
          <w:rFonts w:asciiTheme="majorHAnsi" w:hAnsiTheme="majorHAnsi"/>
        </w:rPr>
        <w:t>)</w:t>
      </w:r>
      <w:r w:rsidR="0092147F">
        <w:rPr>
          <w:rFonts w:asciiTheme="majorHAnsi" w:hAnsiTheme="majorHAnsi"/>
        </w:rPr>
        <w:t>, to prevent</w:t>
      </w:r>
      <w:r w:rsidR="0092147F" w:rsidRPr="0092147F">
        <w:rPr>
          <w:rFonts w:asciiTheme="majorHAnsi" w:hAnsiTheme="majorHAnsi"/>
        </w:rPr>
        <w:t xml:space="preserve"> </w:t>
      </w:r>
      <w:r w:rsidR="0092147F" w:rsidRPr="00AC05B4">
        <w:rPr>
          <w:rFonts w:asciiTheme="majorHAnsi" w:hAnsiTheme="majorHAnsi"/>
        </w:rPr>
        <w:t xml:space="preserve">the </w:t>
      </w:r>
      <w:r w:rsidR="0092147F">
        <w:rPr>
          <w:rFonts w:asciiTheme="majorHAnsi" w:hAnsiTheme="majorHAnsi"/>
        </w:rPr>
        <w:t>progression of atrophy</w:t>
      </w:r>
      <w:r w:rsidR="0092147F" w:rsidRPr="00AC05B4">
        <w:rPr>
          <w:rFonts w:asciiTheme="majorHAnsi" w:hAnsiTheme="majorHAnsi"/>
        </w:rPr>
        <w:t xml:space="preserve"> </w:t>
      </w:r>
      <w:r w:rsidR="0092147F">
        <w:rPr>
          <w:rFonts w:asciiTheme="majorHAnsi" w:hAnsiTheme="majorHAnsi"/>
        </w:rPr>
        <w:t>into the fovea</w:t>
      </w:r>
      <w:r w:rsidR="009E22BB">
        <w:rPr>
          <w:rFonts w:asciiTheme="majorHAnsi" w:hAnsiTheme="majorHAnsi"/>
        </w:rPr>
        <w:t>.</w:t>
      </w:r>
      <w:r w:rsidR="0092147F" w:rsidRPr="00AC05B4">
        <w:rPr>
          <w:rFonts w:asciiTheme="majorHAnsi" w:hAnsiTheme="majorHAnsi"/>
        </w:rPr>
        <w:t xml:space="preserve"> </w:t>
      </w:r>
    </w:p>
    <w:p w:rsidR="00B550A1" w:rsidRPr="00AC05B4" w:rsidRDefault="00B550A1" w:rsidP="00B550A1">
      <w:pPr>
        <w:pStyle w:val="EndnoteText"/>
        <w:rPr>
          <w:rFonts w:asciiTheme="majorHAnsi" w:hAnsiTheme="majorHAnsi"/>
          <w:sz w:val="24"/>
          <w:szCs w:val="24"/>
        </w:rPr>
      </w:pPr>
    </w:p>
    <w:p w:rsidR="00F459A7" w:rsidRPr="00AC05B4" w:rsidRDefault="00F459A7" w:rsidP="00F459A7">
      <w:pPr>
        <w:autoSpaceDE w:val="0"/>
        <w:jc w:val="both"/>
        <w:rPr>
          <w:rFonts w:asciiTheme="majorHAnsi" w:hAnsiTheme="majorHAnsi"/>
          <w:sz w:val="2"/>
          <w:szCs w:val="2"/>
        </w:rPr>
      </w:pPr>
    </w:p>
    <w:p w:rsidR="00F459A7" w:rsidRPr="00AC05B4" w:rsidRDefault="00F459A7" w:rsidP="00F459A7">
      <w:pPr>
        <w:autoSpaceDE w:val="0"/>
        <w:jc w:val="both"/>
        <w:rPr>
          <w:rFonts w:asciiTheme="majorHAnsi" w:hAnsiTheme="majorHAnsi"/>
          <w:sz w:val="2"/>
          <w:szCs w:val="2"/>
        </w:rPr>
      </w:pPr>
    </w:p>
    <w:p w:rsidR="00F459A7" w:rsidRPr="00AC05B4" w:rsidRDefault="00F459A7" w:rsidP="00F459A7">
      <w:pPr>
        <w:autoSpaceDE w:val="0"/>
        <w:jc w:val="both"/>
        <w:rPr>
          <w:rFonts w:asciiTheme="majorHAnsi" w:hAnsiTheme="majorHAnsi"/>
          <w:sz w:val="2"/>
          <w:szCs w:val="2"/>
        </w:rPr>
      </w:pPr>
    </w:p>
    <w:p w:rsidR="00F459A7" w:rsidRPr="00AC05B4" w:rsidRDefault="00F459A7" w:rsidP="00F459A7">
      <w:pPr>
        <w:autoSpaceDE w:val="0"/>
        <w:jc w:val="both"/>
        <w:rPr>
          <w:rFonts w:asciiTheme="majorHAnsi" w:hAnsiTheme="majorHAnsi"/>
          <w:sz w:val="2"/>
          <w:szCs w:val="2"/>
        </w:rPr>
      </w:pPr>
    </w:p>
    <w:p w:rsidR="00F459A7" w:rsidRPr="00AC05B4" w:rsidRDefault="00F459A7" w:rsidP="00F459A7">
      <w:pPr>
        <w:autoSpaceDE w:val="0"/>
        <w:jc w:val="both"/>
        <w:rPr>
          <w:rFonts w:asciiTheme="majorHAnsi" w:hAnsiTheme="majorHAnsi"/>
          <w:sz w:val="2"/>
          <w:szCs w:val="2"/>
        </w:rPr>
      </w:pPr>
    </w:p>
    <w:p w:rsidR="00F459A7" w:rsidRPr="00AC05B4" w:rsidRDefault="00F459A7" w:rsidP="00F459A7">
      <w:pPr>
        <w:pStyle w:val="Heading2"/>
        <w:ind w:left="936"/>
        <w:rPr>
          <w:rFonts w:asciiTheme="majorHAnsi" w:hAnsiTheme="majorHAnsi"/>
        </w:rPr>
      </w:pPr>
      <w:bookmarkStart w:id="11" w:name="_Toc224303315"/>
      <w:bookmarkStart w:id="12" w:name="_Toc324107840"/>
      <w:r w:rsidRPr="00AC05B4">
        <w:rPr>
          <w:rFonts w:asciiTheme="majorHAnsi" w:hAnsiTheme="majorHAnsi"/>
        </w:rPr>
        <w:t xml:space="preserve">Background </w:t>
      </w:r>
      <w:r w:rsidR="00B550A1" w:rsidRPr="00AC05B4">
        <w:rPr>
          <w:rFonts w:asciiTheme="majorHAnsi" w:hAnsiTheme="majorHAnsi"/>
        </w:rPr>
        <w:t>and rationale on subthreshold laser treatment</w:t>
      </w:r>
      <w:bookmarkEnd w:id="11"/>
      <w:bookmarkEnd w:id="12"/>
    </w:p>
    <w:p w:rsidR="00A22311" w:rsidRPr="00AC05B4" w:rsidRDefault="00A22311" w:rsidP="00A22311">
      <w:pPr>
        <w:rPr>
          <w:rFonts w:asciiTheme="majorHAnsi" w:hAnsiTheme="majorHAnsi"/>
        </w:rPr>
      </w:pPr>
    </w:p>
    <w:p w:rsidR="00B550A1" w:rsidRPr="00AC05B4" w:rsidRDefault="00B550A1" w:rsidP="00B550A1">
      <w:pPr>
        <w:rPr>
          <w:rFonts w:asciiTheme="majorHAnsi" w:hAnsiTheme="majorHAnsi"/>
        </w:rPr>
      </w:pPr>
    </w:p>
    <w:p w:rsidR="00B550A1" w:rsidRPr="00AC05B4" w:rsidRDefault="00B550A1" w:rsidP="00B550A1">
      <w:pPr>
        <w:spacing w:line="480" w:lineRule="auto"/>
        <w:rPr>
          <w:rFonts w:asciiTheme="majorHAnsi" w:hAnsiTheme="majorHAnsi"/>
          <w:vertAlign w:val="superscript"/>
        </w:rPr>
      </w:pPr>
      <w:r w:rsidRPr="00AC05B4">
        <w:rPr>
          <w:rFonts w:asciiTheme="majorHAnsi" w:hAnsiTheme="majorHAnsi"/>
        </w:rPr>
        <w:t>“High-density/low-intensity” subthreshold laser treatment was first reported in 2003.</w:t>
      </w:r>
      <w:r w:rsidR="00771D20" w:rsidRPr="00AC05B4">
        <w:rPr>
          <w:rFonts w:asciiTheme="majorHAnsi" w:hAnsiTheme="majorHAnsi"/>
          <w:vertAlign w:val="superscript"/>
        </w:rPr>
        <w:t>19</w:t>
      </w:r>
      <w:r w:rsidRPr="00AC05B4">
        <w:rPr>
          <w:rFonts w:asciiTheme="majorHAnsi" w:hAnsiTheme="majorHAnsi"/>
        </w:rPr>
        <w:t xml:space="preserve"> By definition, subthreshold laser does not cause retinal damage and has no known adverse treatment effect.</w:t>
      </w:r>
      <w:r w:rsidR="00771D20" w:rsidRPr="00AC05B4">
        <w:rPr>
          <w:rFonts w:asciiTheme="majorHAnsi" w:hAnsiTheme="majorHAnsi"/>
          <w:vertAlign w:val="superscript"/>
        </w:rPr>
        <w:t>20-23</w:t>
      </w:r>
      <w:r w:rsidRPr="00AC05B4">
        <w:rPr>
          <w:rFonts w:asciiTheme="majorHAnsi" w:hAnsiTheme="majorHAnsi"/>
        </w:rPr>
        <w:t xml:space="preserve"> Subthreshold laser selectively targets the RPE, and has been reported to be an effective treatment in a number of retinal disorders, including diabetic macular edema, proliferative diabetic retinopathy, macular edema as a result of branch retinal vein occlusion, and central serous chorioretinopathy.</w:t>
      </w:r>
      <w:r w:rsidR="00771D20" w:rsidRPr="00AC05B4">
        <w:rPr>
          <w:rFonts w:asciiTheme="majorHAnsi" w:hAnsiTheme="majorHAnsi"/>
          <w:vertAlign w:val="superscript"/>
        </w:rPr>
        <w:t>20-23</w:t>
      </w:r>
      <w:r w:rsidRPr="00AC05B4">
        <w:rPr>
          <w:rFonts w:asciiTheme="majorHAnsi" w:hAnsiTheme="majorHAnsi"/>
        </w:rPr>
        <w:t xml:space="preserve"> It has been suggested that subthreshold laser works by targeting, preserving, and “normalizing” (moving toward normal) the function of the RPE. A recent publication of Luttrull et al.</w:t>
      </w:r>
      <w:r w:rsidR="00771D20" w:rsidRPr="00AC05B4">
        <w:rPr>
          <w:rFonts w:asciiTheme="majorHAnsi" w:hAnsiTheme="majorHAnsi"/>
          <w:vertAlign w:val="superscript"/>
        </w:rPr>
        <w:t>24</w:t>
      </w:r>
      <w:r w:rsidRPr="00AC05B4">
        <w:rPr>
          <w:rFonts w:asciiTheme="majorHAnsi" w:hAnsiTheme="majorHAnsi"/>
        </w:rPr>
        <w:t xml:space="preserve"> demonstrated that subthreshold laser treatment restored drug response in drug-tolerant eyes with neovascular AMD. Subthreshold laser does this without </w:t>
      </w:r>
      <w:r w:rsidRPr="00AC05B4">
        <w:rPr>
          <w:rFonts w:asciiTheme="majorHAnsi" w:hAnsiTheme="majorHAnsi"/>
        </w:rPr>
        <w:lastRenderedPageBreak/>
        <w:t>inducing any morphologic change in the RPE or causing even transient break-down in the blood–retinal barrier. The paper of Luttrull et al.</w:t>
      </w:r>
      <w:r w:rsidR="00771D20" w:rsidRPr="00AC05B4">
        <w:rPr>
          <w:rFonts w:asciiTheme="majorHAnsi" w:hAnsiTheme="majorHAnsi"/>
          <w:vertAlign w:val="superscript"/>
        </w:rPr>
        <w:t>24</w:t>
      </w:r>
      <w:r w:rsidRPr="00AC05B4">
        <w:rPr>
          <w:rFonts w:asciiTheme="majorHAnsi" w:hAnsiTheme="majorHAnsi"/>
        </w:rPr>
        <w:t xml:space="preserve"> suggests a wider role for subthreshold laser as retinal reparative/protective therapy by re-establishing the function of RPE.</w:t>
      </w:r>
    </w:p>
    <w:p w:rsidR="00B550A1" w:rsidRPr="00AC05B4" w:rsidRDefault="00B550A1" w:rsidP="00B550A1">
      <w:pPr>
        <w:spacing w:line="480" w:lineRule="auto"/>
        <w:rPr>
          <w:rFonts w:asciiTheme="majorHAnsi" w:hAnsiTheme="majorHAnsi"/>
        </w:rPr>
      </w:pPr>
      <w:r w:rsidRPr="00AC05B4">
        <w:rPr>
          <w:rFonts w:asciiTheme="majorHAnsi" w:hAnsiTheme="majorHAnsi"/>
        </w:rPr>
        <w:t>Our purpose is to evaluate the effect of subthreshold laser treatment in patients with reticular pseudodrusen and incipient GA. Reticular pseudodrusen deposits are characterized a widespread disruption and loss of RPE and ellipsoid (previously known as IS/OS interface) inducing an impaired retinal sensitivity, significantly reduced in eyes with reticular pseudodrusen compared with eyes with typical drusen despite good visual acuity in both groups. Dysfunction of the RPE has been suggested as the main driving factor in the pathogenesis of reticular pseudodrusen. Supported by the study of Luttrull et al.</w:t>
      </w:r>
      <w:r w:rsidR="00771D20" w:rsidRPr="00AC05B4">
        <w:rPr>
          <w:rFonts w:asciiTheme="majorHAnsi" w:hAnsiTheme="majorHAnsi"/>
          <w:vertAlign w:val="superscript"/>
        </w:rPr>
        <w:t>24</w:t>
      </w:r>
      <w:r w:rsidRPr="00AC05B4">
        <w:rPr>
          <w:rFonts w:asciiTheme="majorHAnsi" w:hAnsiTheme="majorHAnsi"/>
        </w:rPr>
        <w:t xml:space="preserve"> we believe that subthreshold laser should restore the RPE function in eyes with pseudodrusen and incipient GA offering a reparative/protective effect.</w:t>
      </w:r>
    </w:p>
    <w:p w:rsidR="00B550A1" w:rsidRPr="00AC05B4" w:rsidRDefault="00B550A1" w:rsidP="00B550A1">
      <w:pPr>
        <w:rPr>
          <w:rFonts w:asciiTheme="majorHAnsi" w:hAnsiTheme="majorHAnsi"/>
        </w:rPr>
      </w:pPr>
    </w:p>
    <w:p w:rsidR="006B44E4" w:rsidRPr="00AC05B4" w:rsidRDefault="00B550A1" w:rsidP="006B44E4">
      <w:pPr>
        <w:pStyle w:val="Heading2"/>
        <w:tabs>
          <w:tab w:val="num" w:pos="792"/>
        </w:tabs>
        <w:ind w:left="936"/>
        <w:rPr>
          <w:rFonts w:asciiTheme="majorHAnsi" w:hAnsiTheme="majorHAnsi"/>
        </w:rPr>
      </w:pPr>
      <w:r w:rsidRPr="006C0623">
        <w:rPr>
          <w:rFonts w:asciiTheme="majorHAnsi" w:hAnsiTheme="majorHAnsi"/>
        </w:rPr>
        <w:t>Clinical data</w:t>
      </w:r>
    </w:p>
    <w:p w:rsidR="006B44E4" w:rsidRPr="00AC05B4" w:rsidRDefault="006B44E4" w:rsidP="006B44E4">
      <w:pPr>
        <w:spacing w:line="480" w:lineRule="auto"/>
        <w:jc w:val="both"/>
        <w:rPr>
          <w:rFonts w:asciiTheme="majorHAnsi" w:hAnsiTheme="majorHAnsi"/>
        </w:rPr>
      </w:pPr>
    </w:p>
    <w:p w:rsidR="006B44E4" w:rsidRPr="00AC05B4" w:rsidRDefault="006B44E4" w:rsidP="006B44E4">
      <w:pPr>
        <w:spacing w:line="480" w:lineRule="auto"/>
        <w:jc w:val="both"/>
        <w:rPr>
          <w:rFonts w:asciiTheme="majorHAnsi" w:hAnsiTheme="majorHAnsi"/>
          <w:sz w:val="14"/>
          <w:szCs w:val="14"/>
        </w:rPr>
      </w:pPr>
      <w:r w:rsidRPr="00AC05B4">
        <w:rPr>
          <w:rFonts w:asciiTheme="majorHAnsi" w:hAnsiTheme="majorHAnsi"/>
        </w:rPr>
        <w:t>“High-density/low-intensity” subthreshold laser (SDM) treatment was first reported in 2005</w:t>
      </w:r>
      <w:r w:rsidR="00771D20" w:rsidRPr="00AC05B4">
        <w:rPr>
          <w:rFonts w:asciiTheme="majorHAnsi" w:hAnsiTheme="majorHAnsi"/>
          <w:vertAlign w:val="superscript"/>
        </w:rPr>
        <w:t>25</w:t>
      </w:r>
      <w:r w:rsidRPr="00AC05B4">
        <w:rPr>
          <w:rFonts w:asciiTheme="majorHAnsi" w:hAnsiTheme="majorHAnsi"/>
        </w:rPr>
        <w:t>.</w:t>
      </w:r>
      <w:r w:rsidRPr="00AC05B4">
        <w:rPr>
          <w:rFonts w:asciiTheme="majorHAnsi" w:hAnsiTheme="majorHAnsi"/>
          <w:sz w:val="14"/>
          <w:szCs w:val="14"/>
        </w:rPr>
        <w:t xml:space="preserve"> </w:t>
      </w:r>
      <w:r w:rsidRPr="00AC05B4">
        <w:rPr>
          <w:rFonts w:asciiTheme="majorHAnsi" w:hAnsiTheme="majorHAnsi"/>
        </w:rPr>
        <w:t>By definition, SDM does not cause retinal damage and has no known adverse treatment effect. Subthreshold laser has been reported to be an effective treatment in a number of retinal disorders, including diabetic macular edema (DME), proliferative diabetic retinopathy (DR), macular edema as a result of branch retinal vein occlusion, and central serous chorioretinopathy</w:t>
      </w:r>
      <w:r w:rsidR="00771D20" w:rsidRPr="00AC05B4">
        <w:rPr>
          <w:rFonts w:asciiTheme="majorHAnsi" w:hAnsiTheme="majorHAnsi"/>
          <w:vertAlign w:val="superscript"/>
        </w:rPr>
        <w:t>26</w:t>
      </w:r>
      <w:r w:rsidRPr="00AC05B4">
        <w:rPr>
          <w:rFonts w:asciiTheme="majorHAnsi" w:hAnsiTheme="majorHAnsi"/>
        </w:rPr>
        <w:t>.</w:t>
      </w:r>
      <w:r w:rsidRPr="00AC05B4">
        <w:rPr>
          <w:rFonts w:asciiTheme="majorHAnsi" w:hAnsiTheme="majorHAnsi"/>
          <w:sz w:val="14"/>
          <w:szCs w:val="14"/>
        </w:rPr>
        <w:t xml:space="preserve"> </w:t>
      </w:r>
    </w:p>
    <w:p w:rsidR="006B44E4" w:rsidRPr="00AC05B4" w:rsidRDefault="006B44E4" w:rsidP="006B44E4">
      <w:pPr>
        <w:spacing w:line="480" w:lineRule="auto"/>
        <w:rPr>
          <w:rFonts w:asciiTheme="majorHAnsi" w:hAnsiTheme="majorHAnsi"/>
        </w:rPr>
      </w:pPr>
      <w:r w:rsidRPr="00AC05B4">
        <w:rPr>
          <w:rFonts w:asciiTheme="majorHAnsi" w:hAnsiTheme="majorHAnsi"/>
        </w:rPr>
        <w:t>Moreover, Luttrull JK et al restored drug response by using SDM treatment in consecutive eyes unresponsive to all anti–vascular endothelial growth factor drugs</w:t>
      </w:r>
      <w:r w:rsidR="00771D20" w:rsidRPr="00AC05B4">
        <w:rPr>
          <w:rFonts w:asciiTheme="majorHAnsi" w:hAnsiTheme="majorHAnsi"/>
          <w:vertAlign w:val="superscript"/>
        </w:rPr>
        <w:t>24</w:t>
      </w:r>
      <w:r w:rsidRPr="00AC05B4">
        <w:rPr>
          <w:rFonts w:asciiTheme="majorHAnsi" w:hAnsiTheme="majorHAnsi"/>
        </w:rPr>
        <w:t xml:space="preserve">. </w:t>
      </w:r>
    </w:p>
    <w:p w:rsidR="006B44E4" w:rsidRPr="00AC05B4" w:rsidRDefault="006B44E4" w:rsidP="006B44E4">
      <w:pPr>
        <w:spacing w:line="480" w:lineRule="auto"/>
        <w:jc w:val="both"/>
        <w:rPr>
          <w:rFonts w:asciiTheme="majorHAnsi" w:hAnsiTheme="majorHAnsi"/>
        </w:rPr>
      </w:pPr>
      <w:r w:rsidRPr="00AC05B4">
        <w:rPr>
          <w:rFonts w:asciiTheme="majorHAnsi" w:hAnsiTheme="majorHAnsi"/>
        </w:rPr>
        <w:t>The safety of SDM is such that it may be used transfoveally in eyes with 20/20 visual acuity to reduce the risk of visual loss caused by early fovea-involving DME</w:t>
      </w:r>
      <w:r w:rsidR="00771D20" w:rsidRPr="00AC05B4">
        <w:rPr>
          <w:rFonts w:asciiTheme="majorHAnsi" w:hAnsiTheme="majorHAnsi"/>
          <w:vertAlign w:val="superscript"/>
        </w:rPr>
        <w:t>26</w:t>
      </w:r>
      <w:r w:rsidRPr="00AC05B4">
        <w:rPr>
          <w:rFonts w:asciiTheme="majorHAnsi" w:hAnsiTheme="majorHAnsi"/>
        </w:rPr>
        <w:t xml:space="preserve">. Furthermore it has been demonstrated that both subthreshold infrared laser (IR-MPL) and subthreshold </w:t>
      </w:r>
      <w:r w:rsidRPr="00487DFD">
        <w:rPr>
          <w:rFonts w:asciiTheme="majorHAnsi" w:hAnsiTheme="majorHAnsi"/>
        </w:rPr>
        <w:t>yellow</w:t>
      </w:r>
      <w:r w:rsidRPr="007A1BA4">
        <w:rPr>
          <w:rFonts w:asciiTheme="majorHAnsi" w:hAnsiTheme="majorHAnsi"/>
        </w:rPr>
        <w:t xml:space="preserve"> </w:t>
      </w:r>
      <w:r w:rsidRPr="00AC05B4">
        <w:rPr>
          <w:rFonts w:asciiTheme="majorHAnsi" w:hAnsiTheme="majorHAnsi"/>
        </w:rPr>
        <w:t xml:space="preserve">laser (Y-MPL) do not cause clinically visible or invisible scars in the macula and that they seem to be safe </w:t>
      </w:r>
      <w:r w:rsidRPr="00AC05B4">
        <w:rPr>
          <w:rFonts w:asciiTheme="majorHAnsi" w:hAnsiTheme="majorHAnsi"/>
        </w:rPr>
        <w:lastRenderedPageBreak/>
        <w:t>from the morphologic and visual function points of view in mild center-involving diabetic macular edema</w:t>
      </w:r>
      <w:r w:rsidR="00771D20" w:rsidRPr="00AC05B4">
        <w:rPr>
          <w:rFonts w:asciiTheme="majorHAnsi" w:hAnsiTheme="majorHAnsi"/>
          <w:vertAlign w:val="superscript"/>
        </w:rPr>
        <w:t>27</w:t>
      </w:r>
      <w:r w:rsidRPr="00AC05B4">
        <w:rPr>
          <w:rFonts w:asciiTheme="majorHAnsi" w:hAnsiTheme="majorHAnsi"/>
        </w:rPr>
        <w:t xml:space="preserve">. </w:t>
      </w:r>
    </w:p>
    <w:p w:rsidR="006B44E4" w:rsidRPr="00AC05B4" w:rsidRDefault="006B44E4" w:rsidP="00487DFD">
      <w:pPr>
        <w:spacing w:line="480" w:lineRule="auto"/>
        <w:jc w:val="both"/>
        <w:rPr>
          <w:rFonts w:asciiTheme="majorHAnsi" w:hAnsiTheme="majorHAnsi"/>
        </w:rPr>
      </w:pPr>
      <w:r w:rsidRPr="00AC05B4">
        <w:rPr>
          <w:rFonts w:asciiTheme="majorHAnsi" w:hAnsiTheme="majorHAnsi"/>
        </w:rPr>
        <w:t>Finally, Kenichiro B, et al demonstated that immediately after subthreshold laser treatment, autofluorescence imaging was more sensitive to detect RPE changes than fluorescein angiography, suggesting that noninvasive autofluorescence imaging may allow prediction of the effect of subthreshold laser treatment and might be used to titrate treatment dose</w:t>
      </w:r>
      <w:r w:rsidR="00771D20" w:rsidRPr="00AC05B4">
        <w:rPr>
          <w:rFonts w:asciiTheme="majorHAnsi" w:hAnsiTheme="majorHAnsi"/>
          <w:vertAlign w:val="superscript"/>
        </w:rPr>
        <w:t>28</w:t>
      </w:r>
      <w:r w:rsidRPr="00AC05B4">
        <w:rPr>
          <w:rFonts w:asciiTheme="majorHAnsi" w:hAnsiTheme="majorHAnsi"/>
        </w:rPr>
        <w:t>.</w:t>
      </w:r>
    </w:p>
    <w:p w:rsidR="003E0BCC" w:rsidRPr="006C0623" w:rsidRDefault="00487DFD" w:rsidP="00487DFD">
      <w:pPr>
        <w:spacing w:line="480" w:lineRule="auto"/>
        <w:jc w:val="both"/>
        <w:rPr>
          <w:rFonts w:asciiTheme="majorHAnsi" w:hAnsiTheme="majorHAnsi"/>
        </w:rPr>
      </w:pPr>
      <w:r w:rsidRPr="00487DFD">
        <w:rPr>
          <w:rFonts w:asciiTheme="majorHAnsi" w:hAnsiTheme="majorHAnsi"/>
        </w:rPr>
        <w:t>Finally, it has been observed that laser photocoagulation of drusen leads to their disappearance. However, treatment does not result in a reduction in the risk of developing CNV, and was not shown to limit the occurrence of geographic atrophy or visual acuity loss. Ongoing studies are being conducted to assess whether the use of extremely short laser pulses (i.e. nanosecond laser treatment) cannot only lead to drusen regression but also prevent neovascular AMD.29</w:t>
      </w:r>
    </w:p>
    <w:p w:rsidR="00797F05" w:rsidRPr="003179E6" w:rsidRDefault="00797F05" w:rsidP="00487DFD">
      <w:pPr>
        <w:spacing w:line="360" w:lineRule="auto"/>
        <w:jc w:val="both"/>
        <w:rPr>
          <w:sz w:val="28"/>
          <w:szCs w:val="28"/>
        </w:rPr>
      </w:pPr>
    </w:p>
    <w:p w:rsidR="00A150D0" w:rsidRPr="0049428C" w:rsidRDefault="00A22311" w:rsidP="00AC05B4">
      <w:pPr>
        <w:pStyle w:val="Heading1"/>
        <w:spacing w:line="276" w:lineRule="auto"/>
        <w:rPr>
          <w:rFonts w:asciiTheme="majorHAnsi" w:hAnsiTheme="majorHAnsi"/>
          <w:sz w:val="24"/>
          <w:szCs w:val="24"/>
        </w:rPr>
      </w:pPr>
      <w:bookmarkStart w:id="13" w:name="_Toc215292762"/>
      <w:bookmarkStart w:id="14" w:name="_Toc324107847"/>
      <w:r w:rsidRPr="0049428C">
        <w:rPr>
          <w:rFonts w:asciiTheme="majorHAnsi" w:hAnsiTheme="majorHAnsi"/>
          <w:sz w:val="24"/>
          <w:szCs w:val="24"/>
        </w:rPr>
        <w:t>STUDY DESIGN</w:t>
      </w:r>
      <w:bookmarkStart w:id="15" w:name="_Toc194168449"/>
      <w:bookmarkEnd w:id="13"/>
      <w:bookmarkEnd w:id="14"/>
    </w:p>
    <w:p w:rsidR="00A22311" w:rsidRPr="0049428C" w:rsidRDefault="00A22311" w:rsidP="00AC05B4">
      <w:pPr>
        <w:pStyle w:val="Heading2"/>
        <w:spacing w:line="276" w:lineRule="auto"/>
        <w:ind w:left="936"/>
        <w:rPr>
          <w:rFonts w:asciiTheme="majorHAnsi" w:hAnsiTheme="majorHAnsi"/>
          <w:sz w:val="24"/>
          <w:szCs w:val="24"/>
        </w:rPr>
      </w:pPr>
      <w:bookmarkStart w:id="16" w:name="_Toc215292764"/>
      <w:bookmarkStart w:id="17" w:name="_Toc324107848"/>
      <w:bookmarkStart w:id="18" w:name="OLE_LINK5"/>
      <w:bookmarkStart w:id="19" w:name="OLE_LINK8"/>
      <w:r w:rsidRPr="0049428C">
        <w:rPr>
          <w:rFonts w:asciiTheme="majorHAnsi" w:hAnsiTheme="majorHAnsi"/>
          <w:sz w:val="24"/>
          <w:szCs w:val="24"/>
        </w:rPr>
        <w:t>Objective</w:t>
      </w:r>
      <w:bookmarkEnd w:id="16"/>
      <w:bookmarkEnd w:id="17"/>
    </w:p>
    <w:p w:rsidR="00630554" w:rsidRPr="0049428C" w:rsidRDefault="00A22311" w:rsidP="00487DFD">
      <w:pPr>
        <w:autoSpaceDE w:val="0"/>
        <w:autoSpaceDN w:val="0"/>
        <w:adjustRightInd w:val="0"/>
        <w:spacing w:line="480" w:lineRule="auto"/>
        <w:jc w:val="both"/>
        <w:rPr>
          <w:rFonts w:asciiTheme="majorHAnsi" w:hAnsiTheme="majorHAnsi"/>
        </w:rPr>
      </w:pPr>
      <w:r w:rsidRPr="0049428C">
        <w:rPr>
          <w:rFonts w:asciiTheme="majorHAnsi" w:hAnsiTheme="majorHAnsi"/>
        </w:rPr>
        <w:t xml:space="preserve">The objective of this study is to </w:t>
      </w:r>
      <w:r w:rsidR="00630554" w:rsidRPr="0049428C">
        <w:rPr>
          <w:rFonts w:asciiTheme="majorHAnsi" w:hAnsiTheme="majorHAnsi"/>
        </w:rPr>
        <w:t xml:space="preserve">establish the </w:t>
      </w:r>
      <w:r w:rsidR="00EB411F">
        <w:rPr>
          <w:rFonts w:asciiTheme="majorHAnsi" w:hAnsiTheme="majorHAnsi"/>
        </w:rPr>
        <w:t>safety</w:t>
      </w:r>
      <w:r w:rsidR="00630554" w:rsidRPr="00540595">
        <w:rPr>
          <w:rFonts w:asciiTheme="majorHAnsi" w:hAnsiTheme="majorHAnsi"/>
        </w:rPr>
        <w:t xml:space="preserve"> </w:t>
      </w:r>
      <w:r w:rsidR="00F57C4F" w:rsidRPr="00540595">
        <w:rPr>
          <w:rFonts w:asciiTheme="majorHAnsi" w:hAnsiTheme="majorHAnsi"/>
        </w:rPr>
        <w:t>o</w:t>
      </w:r>
      <w:r w:rsidR="00F57C4F">
        <w:rPr>
          <w:rFonts w:asciiTheme="majorHAnsi" w:hAnsiTheme="majorHAnsi"/>
        </w:rPr>
        <w:t>f subthres</w:t>
      </w:r>
      <w:r w:rsidR="00F57C4F" w:rsidRPr="0049428C">
        <w:rPr>
          <w:rFonts w:asciiTheme="majorHAnsi" w:hAnsiTheme="majorHAnsi"/>
        </w:rPr>
        <w:t>hold</w:t>
      </w:r>
      <w:r w:rsidR="00340E1B" w:rsidRPr="0049428C">
        <w:rPr>
          <w:rFonts w:asciiTheme="majorHAnsi" w:hAnsiTheme="majorHAnsi"/>
        </w:rPr>
        <w:t xml:space="preserve"> laser </w:t>
      </w:r>
      <w:r w:rsidR="00630554" w:rsidRPr="0049428C">
        <w:rPr>
          <w:rFonts w:asciiTheme="majorHAnsi" w:hAnsiTheme="majorHAnsi"/>
        </w:rPr>
        <w:t>treatment in patients with reticular pseudodrusen</w:t>
      </w:r>
      <w:r w:rsidR="00EB411F">
        <w:rPr>
          <w:rFonts w:asciiTheme="majorHAnsi" w:hAnsiTheme="majorHAnsi"/>
        </w:rPr>
        <w:t>.</w:t>
      </w:r>
      <w:r w:rsidR="00630554" w:rsidRPr="0049428C">
        <w:rPr>
          <w:rFonts w:asciiTheme="majorHAnsi" w:hAnsiTheme="majorHAnsi"/>
        </w:rPr>
        <w:t xml:space="preserve"> </w:t>
      </w:r>
    </w:p>
    <w:p w:rsidR="00630554" w:rsidRPr="0049428C" w:rsidRDefault="00630554" w:rsidP="00AC05B4">
      <w:pPr>
        <w:pStyle w:val="Heading2"/>
        <w:spacing w:line="276" w:lineRule="auto"/>
        <w:ind w:left="936"/>
        <w:rPr>
          <w:rFonts w:asciiTheme="majorHAnsi" w:hAnsiTheme="majorHAnsi"/>
          <w:sz w:val="24"/>
          <w:szCs w:val="24"/>
        </w:rPr>
      </w:pPr>
      <w:r w:rsidRPr="0049428C">
        <w:rPr>
          <w:rFonts w:asciiTheme="majorHAnsi" w:hAnsiTheme="majorHAnsi"/>
          <w:sz w:val="24"/>
          <w:szCs w:val="24"/>
        </w:rPr>
        <w:t xml:space="preserve"> </w:t>
      </w:r>
      <w:r w:rsidR="00D43E5C" w:rsidRPr="0049428C">
        <w:rPr>
          <w:rFonts w:asciiTheme="majorHAnsi" w:hAnsiTheme="majorHAnsi"/>
          <w:sz w:val="24"/>
          <w:szCs w:val="24"/>
        </w:rPr>
        <w:t>Description</w:t>
      </w:r>
      <w:r w:rsidRPr="0049428C">
        <w:rPr>
          <w:rFonts w:asciiTheme="majorHAnsi" w:hAnsiTheme="majorHAnsi"/>
          <w:sz w:val="24"/>
          <w:szCs w:val="24"/>
        </w:rPr>
        <w:t xml:space="preserve"> of the study</w:t>
      </w:r>
    </w:p>
    <w:p w:rsidR="009E0DAA" w:rsidRPr="0049428C" w:rsidRDefault="009E0DAA" w:rsidP="00AC05B4">
      <w:pPr>
        <w:spacing w:line="276" w:lineRule="auto"/>
        <w:rPr>
          <w:rFonts w:asciiTheme="majorHAnsi" w:hAnsiTheme="majorHAnsi"/>
        </w:rPr>
      </w:pPr>
    </w:p>
    <w:bookmarkEnd w:id="18"/>
    <w:bookmarkEnd w:id="19"/>
    <w:p w:rsidR="00A22311" w:rsidRPr="008D2F0E" w:rsidRDefault="003179E6" w:rsidP="00487DFD">
      <w:pPr>
        <w:spacing w:line="480" w:lineRule="auto"/>
        <w:jc w:val="both"/>
        <w:rPr>
          <w:rFonts w:asciiTheme="majorHAnsi" w:hAnsiTheme="majorHAnsi"/>
          <w:bCs/>
          <w:iCs/>
          <w:highlight w:val="yellow"/>
        </w:rPr>
      </w:pPr>
      <w:r>
        <w:rPr>
          <w:rFonts w:asciiTheme="majorHAnsi" w:hAnsiTheme="majorHAnsi"/>
        </w:rPr>
        <w:t>Approximately 2</w:t>
      </w:r>
      <w:r w:rsidR="00630554" w:rsidRPr="00B754A1">
        <w:rPr>
          <w:rFonts w:asciiTheme="majorHAnsi" w:hAnsiTheme="majorHAnsi"/>
        </w:rPr>
        <w:t>0</w:t>
      </w:r>
      <w:r w:rsidR="00A22311" w:rsidRPr="00B754A1">
        <w:rPr>
          <w:rFonts w:asciiTheme="majorHAnsi" w:hAnsiTheme="majorHAnsi"/>
        </w:rPr>
        <w:t xml:space="preserve"> </w:t>
      </w:r>
      <w:r w:rsidR="00630554" w:rsidRPr="00B754A1">
        <w:rPr>
          <w:rFonts w:asciiTheme="majorHAnsi" w:hAnsiTheme="majorHAnsi"/>
        </w:rPr>
        <w:t>naïve patients</w:t>
      </w:r>
      <w:r w:rsidR="00A22311" w:rsidRPr="00B754A1">
        <w:rPr>
          <w:rFonts w:asciiTheme="majorHAnsi" w:hAnsiTheme="majorHAnsi"/>
        </w:rPr>
        <w:t xml:space="preserve"> with </w:t>
      </w:r>
      <w:r w:rsidR="00630554" w:rsidRPr="00B754A1">
        <w:rPr>
          <w:rFonts w:asciiTheme="majorHAnsi" w:hAnsiTheme="majorHAnsi"/>
        </w:rPr>
        <w:t xml:space="preserve">reticular pseudodrusen who underwent </w:t>
      </w:r>
      <w:r w:rsidR="00797F05" w:rsidRPr="00B754A1">
        <w:rPr>
          <w:rFonts w:asciiTheme="majorHAnsi" w:hAnsiTheme="majorHAnsi"/>
        </w:rPr>
        <w:t>subthreshold</w:t>
      </w:r>
      <w:r w:rsidR="00630554" w:rsidRPr="00B754A1">
        <w:rPr>
          <w:rFonts w:asciiTheme="majorHAnsi" w:hAnsiTheme="majorHAnsi"/>
        </w:rPr>
        <w:t xml:space="preserve"> laser treatment in a 1.27 </w:t>
      </w:r>
      <w:r w:rsidR="009E22BB">
        <w:rPr>
          <w:rFonts w:asciiTheme="majorHAnsi" w:hAnsiTheme="majorHAnsi"/>
        </w:rPr>
        <w:t>m</w:t>
      </w:r>
      <w:r w:rsidR="00630554" w:rsidRPr="00B754A1">
        <w:rPr>
          <w:rFonts w:asciiTheme="majorHAnsi" w:hAnsiTheme="majorHAnsi"/>
        </w:rPr>
        <w:t>m</w:t>
      </w:r>
      <w:r w:rsidR="00630554" w:rsidRPr="00B754A1">
        <w:rPr>
          <w:rFonts w:asciiTheme="majorHAnsi" w:hAnsiTheme="majorHAnsi"/>
          <w:vertAlign w:val="superscript"/>
        </w:rPr>
        <w:t xml:space="preserve">2 </w:t>
      </w:r>
      <w:r w:rsidR="00630554" w:rsidRPr="00B754A1">
        <w:rPr>
          <w:rFonts w:asciiTheme="majorHAnsi" w:hAnsiTheme="majorHAnsi"/>
        </w:rPr>
        <w:t>area</w:t>
      </w:r>
      <w:r w:rsidR="008D2F0E">
        <w:rPr>
          <w:rFonts w:asciiTheme="majorHAnsi" w:hAnsiTheme="majorHAnsi"/>
        </w:rPr>
        <w:t>.</w:t>
      </w:r>
    </w:p>
    <w:p w:rsidR="00A22311" w:rsidRPr="008D2F0E" w:rsidRDefault="00A22311" w:rsidP="00487DFD">
      <w:pPr>
        <w:spacing w:line="480" w:lineRule="auto"/>
        <w:jc w:val="both"/>
        <w:rPr>
          <w:rFonts w:asciiTheme="majorHAnsi" w:hAnsiTheme="majorHAnsi"/>
          <w:highlight w:val="yellow"/>
        </w:rPr>
      </w:pPr>
    </w:p>
    <w:p w:rsidR="00A22311" w:rsidRPr="0049428C" w:rsidRDefault="00A22311" w:rsidP="00487DFD">
      <w:pPr>
        <w:autoSpaceDE w:val="0"/>
        <w:autoSpaceDN w:val="0"/>
        <w:adjustRightInd w:val="0"/>
        <w:spacing w:line="480" w:lineRule="auto"/>
        <w:jc w:val="both"/>
        <w:rPr>
          <w:rFonts w:asciiTheme="majorHAnsi" w:hAnsiTheme="majorHAnsi"/>
          <w:lang w:val="en-GB" w:eastAsia="it-IT"/>
        </w:rPr>
      </w:pPr>
      <w:r w:rsidRPr="00B754A1">
        <w:rPr>
          <w:rFonts w:asciiTheme="majorHAnsi" w:hAnsiTheme="majorHAnsi"/>
          <w:lang w:val="en-GB" w:eastAsia="it-IT"/>
        </w:rPr>
        <w:t xml:space="preserve">Subjects will be evaluated </w:t>
      </w:r>
      <w:r w:rsidRPr="0082174C">
        <w:rPr>
          <w:rFonts w:asciiTheme="majorHAnsi" w:hAnsiTheme="majorHAnsi"/>
          <w:lang w:val="en-GB" w:eastAsia="it-IT"/>
        </w:rPr>
        <w:t xml:space="preserve">at </w:t>
      </w:r>
      <w:r w:rsidR="003179E6" w:rsidRPr="0082174C">
        <w:rPr>
          <w:rFonts w:asciiTheme="majorHAnsi" w:hAnsiTheme="majorHAnsi"/>
          <w:lang w:val="en-GB" w:eastAsia="it-IT"/>
        </w:rPr>
        <w:t xml:space="preserve">Screening/Baseline </w:t>
      </w:r>
      <w:r w:rsidR="00630554" w:rsidRPr="0082174C">
        <w:rPr>
          <w:rFonts w:asciiTheme="majorHAnsi" w:hAnsiTheme="majorHAnsi"/>
          <w:lang w:val="en-GB" w:eastAsia="it-IT"/>
        </w:rPr>
        <w:t xml:space="preserve">and </w:t>
      </w:r>
      <w:r w:rsidR="0082174C" w:rsidRPr="0082174C">
        <w:rPr>
          <w:rFonts w:asciiTheme="majorHAnsi" w:hAnsiTheme="majorHAnsi"/>
          <w:lang w:val="en-GB" w:eastAsia="it-IT"/>
        </w:rPr>
        <w:t>then</w:t>
      </w:r>
      <w:r w:rsidR="003179E6" w:rsidRPr="0082174C">
        <w:rPr>
          <w:rFonts w:asciiTheme="majorHAnsi" w:hAnsiTheme="majorHAnsi"/>
          <w:lang w:val="en-GB" w:eastAsia="it-IT"/>
        </w:rPr>
        <w:t xml:space="preserve"> </w:t>
      </w:r>
      <w:r w:rsidR="00B754A1" w:rsidRPr="0082174C">
        <w:rPr>
          <w:rFonts w:asciiTheme="majorHAnsi" w:hAnsiTheme="majorHAnsi"/>
          <w:lang w:val="en-GB" w:eastAsia="it-IT"/>
        </w:rPr>
        <w:t>12 weeks and 24 weeks</w:t>
      </w:r>
      <w:r w:rsidR="00630554" w:rsidRPr="0082174C">
        <w:rPr>
          <w:rFonts w:asciiTheme="majorHAnsi" w:hAnsiTheme="majorHAnsi"/>
          <w:lang w:val="en-GB" w:eastAsia="it-IT"/>
        </w:rPr>
        <w:t xml:space="preserve"> after laser</w:t>
      </w:r>
      <w:r w:rsidR="00630554" w:rsidRPr="00B754A1">
        <w:rPr>
          <w:rFonts w:asciiTheme="majorHAnsi" w:hAnsiTheme="majorHAnsi"/>
          <w:lang w:val="en-GB" w:eastAsia="it-IT"/>
        </w:rPr>
        <w:t xml:space="preserve"> treatment with</w:t>
      </w:r>
      <w:r w:rsidRPr="00B754A1">
        <w:rPr>
          <w:rFonts w:asciiTheme="majorHAnsi" w:hAnsiTheme="majorHAnsi"/>
          <w:lang w:val="en-GB" w:eastAsia="it-IT"/>
        </w:rPr>
        <w:t xml:space="preserve"> a full ocular examination, visual acu</w:t>
      </w:r>
      <w:r w:rsidR="00B754A1" w:rsidRPr="00B754A1">
        <w:rPr>
          <w:rFonts w:asciiTheme="majorHAnsi" w:hAnsiTheme="majorHAnsi"/>
          <w:lang w:val="en-GB" w:eastAsia="it-IT"/>
        </w:rPr>
        <w:t xml:space="preserve">ity measurement (VA), </w:t>
      </w:r>
      <w:r w:rsidRPr="00B754A1">
        <w:rPr>
          <w:rFonts w:asciiTheme="majorHAnsi" w:hAnsiTheme="majorHAnsi"/>
          <w:lang w:val="en-GB" w:eastAsia="it-IT"/>
        </w:rPr>
        <w:t>optical coherence tomography (OCT)</w:t>
      </w:r>
      <w:r w:rsidR="00630554" w:rsidRPr="00B754A1">
        <w:rPr>
          <w:rFonts w:asciiTheme="majorHAnsi" w:hAnsiTheme="majorHAnsi"/>
          <w:lang w:val="en-GB" w:eastAsia="it-IT"/>
        </w:rPr>
        <w:t xml:space="preserve"> with autofluorescence and microperimetry.</w:t>
      </w:r>
    </w:p>
    <w:p w:rsidR="00630554" w:rsidRPr="00487DFD" w:rsidRDefault="00A22311" w:rsidP="00487DFD">
      <w:pPr>
        <w:pStyle w:val="Heading2"/>
        <w:spacing w:line="360" w:lineRule="auto"/>
        <w:ind w:left="936"/>
        <w:rPr>
          <w:rFonts w:asciiTheme="majorHAnsi" w:hAnsiTheme="majorHAnsi"/>
          <w:sz w:val="24"/>
          <w:szCs w:val="24"/>
        </w:rPr>
      </w:pPr>
      <w:bookmarkStart w:id="20" w:name="_Toc324107850"/>
      <w:r w:rsidRPr="00487DFD">
        <w:rPr>
          <w:rFonts w:asciiTheme="majorHAnsi" w:hAnsiTheme="majorHAnsi"/>
          <w:sz w:val="24"/>
          <w:szCs w:val="24"/>
        </w:rPr>
        <w:lastRenderedPageBreak/>
        <w:t>Rationale for Study Design</w:t>
      </w:r>
      <w:bookmarkStart w:id="21" w:name="_Toc232177654"/>
      <w:bookmarkStart w:id="22" w:name="_Toc269803194"/>
      <w:bookmarkStart w:id="23" w:name="_Toc324107851"/>
      <w:bookmarkEnd w:id="15"/>
      <w:bookmarkEnd w:id="20"/>
    </w:p>
    <w:p w:rsidR="00630554" w:rsidRPr="00487DFD" w:rsidRDefault="00D70D5B" w:rsidP="00487DFD">
      <w:pPr>
        <w:spacing w:line="360" w:lineRule="auto"/>
        <w:rPr>
          <w:rFonts w:asciiTheme="majorHAnsi" w:hAnsiTheme="majorHAnsi"/>
        </w:rPr>
      </w:pPr>
      <w:r w:rsidRPr="00487DFD">
        <w:rPr>
          <w:rFonts w:asciiTheme="majorHAnsi" w:hAnsiTheme="majorHAnsi"/>
        </w:rPr>
        <w:t>The r</w:t>
      </w:r>
      <w:r w:rsidR="00630554" w:rsidRPr="00487DFD">
        <w:rPr>
          <w:rFonts w:asciiTheme="majorHAnsi" w:hAnsiTheme="majorHAnsi"/>
        </w:rPr>
        <w:t>ationale of the study is to prevent the evolution of reticular pseudodrusen to Atrophic degeneration.</w:t>
      </w:r>
      <w:r w:rsidR="007A1BA4" w:rsidRPr="00487DFD">
        <w:rPr>
          <w:rFonts w:asciiTheme="majorHAnsi" w:hAnsiTheme="majorHAnsi"/>
          <w:vertAlign w:val="superscript"/>
        </w:rPr>
        <w:t>5,7,8,9</w:t>
      </w:r>
    </w:p>
    <w:p w:rsidR="00A22311" w:rsidRPr="00487DFD" w:rsidRDefault="00A22311" w:rsidP="00487DFD">
      <w:pPr>
        <w:pStyle w:val="Heading2"/>
        <w:spacing w:line="360" w:lineRule="auto"/>
        <w:ind w:left="936"/>
        <w:rPr>
          <w:rFonts w:asciiTheme="majorHAnsi" w:hAnsiTheme="majorHAnsi"/>
          <w:sz w:val="24"/>
          <w:szCs w:val="24"/>
        </w:rPr>
      </w:pPr>
      <w:r w:rsidRPr="00487DFD">
        <w:rPr>
          <w:rFonts w:asciiTheme="majorHAnsi" w:hAnsiTheme="majorHAnsi"/>
          <w:sz w:val="24"/>
          <w:szCs w:val="24"/>
        </w:rPr>
        <w:t>Outcome Measures</w:t>
      </w:r>
      <w:bookmarkStart w:id="24" w:name="_Toc215292763"/>
      <w:bookmarkEnd w:id="21"/>
      <w:bookmarkEnd w:id="22"/>
      <w:bookmarkEnd w:id="23"/>
    </w:p>
    <w:p w:rsidR="006C4EF4" w:rsidRPr="003179E6" w:rsidRDefault="00F91BB1" w:rsidP="00487DFD">
      <w:pPr>
        <w:spacing w:line="360" w:lineRule="auto"/>
        <w:jc w:val="both"/>
        <w:rPr>
          <w:rFonts w:asciiTheme="majorHAnsi" w:hAnsiTheme="majorHAnsi"/>
          <w:b/>
        </w:rPr>
      </w:pPr>
      <w:r w:rsidRPr="003179E6">
        <w:rPr>
          <w:rFonts w:asciiTheme="majorHAnsi" w:hAnsiTheme="majorHAnsi"/>
          <w:b/>
        </w:rPr>
        <w:t>Primary efficacy measure</w:t>
      </w:r>
      <w:r w:rsidR="006C4EF4" w:rsidRPr="003179E6">
        <w:rPr>
          <w:rFonts w:asciiTheme="majorHAnsi" w:hAnsiTheme="majorHAnsi"/>
          <w:b/>
        </w:rPr>
        <w:t xml:space="preserve"> at week 12:</w:t>
      </w:r>
    </w:p>
    <w:p w:rsidR="00F91BB1" w:rsidRPr="00487DFD" w:rsidRDefault="00F91BB1" w:rsidP="00487DFD">
      <w:pPr>
        <w:spacing w:line="360" w:lineRule="auto"/>
        <w:jc w:val="both"/>
        <w:rPr>
          <w:rFonts w:asciiTheme="majorHAnsi" w:hAnsiTheme="majorHAnsi"/>
        </w:rPr>
      </w:pPr>
      <w:r w:rsidRPr="00487DFD">
        <w:rPr>
          <w:rFonts w:asciiTheme="majorHAnsi" w:hAnsiTheme="majorHAnsi"/>
        </w:rPr>
        <w:t xml:space="preserve">Change in retinal sensitivity on customized </w:t>
      </w:r>
      <w:r w:rsidRPr="00487DFD">
        <w:rPr>
          <w:rFonts w:asciiTheme="majorHAnsi" w:hAnsiTheme="majorHAnsi"/>
          <w:lang w:val="en-GB" w:eastAsia="it-IT"/>
        </w:rPr>
        <w:t>microperimetry.</w:t>
      </w:r>
    </w:p>
    <w:p w:rsidR="008D2F0E" w:rsidRPr="00487DFD" w:rsidRDefault="008D2F0E" w:rsidP="00487DFD">
      <w:pPr>
        <w:spacing w:line="360" w:lineRule="auto"/>
        <w:jc w:val="both"/>
        <w:rPr>
          <w:rFonts w:asciiTheme="majorHAnsi" w:hAnsiTheme="majorHAnsi"/>
          <w:b/>
          <w:bCs/>
          <w:lang w:val="en-GB" w:eastAsia="it-IT"/>
        </w:rPr>
      </w:pPr>
    </w:p>
    <w:p w:rsidR="004C5076" w:rsidRPr="003179E6" w:rsidRDefault="00F91BB1" w:rsidP="00487DFD">
      <w:pPr>
        <w:spacing w:line="360" w:lineRule="auto"/>
        <w:jc w:val="both"/>
        <w:rPr>
          <w:rFonts w:asciiTheme="majorHAnsi" w:hAnsiTheme="majorHAnsi"/>
          <w:b/>
        </w:rPr>
      </w:pPr>
      <w:r w:rsidRPr="00487DFD">
        <w:rPr>
          <w:rFonts w:asciiTheme="majorHAnsi" w:hAnsiTheme="majorHAnsi"/>
          <w:b/>
          <w:bCs/>
          <w:lang w:val="en-GB" w:eastAsia="it-IT"/>
        </w:rPr>
        <w:t>Other efficacy measures</w:t>
      </w:r>
      <w:r w:rsidR="006C4EF4" w:rsidRPr="00487DFD">
        <w:rPr>
          <w:rFonts w:asciiTheme="majorHAnsi" w:hAnsiTheme="majorHAnsi"/>
          <w:b/>
          <w:bCs/>
          <w:lang w:val="en-GB" w:eastAsia="it-IT"/>
        </w:rPr>
        <w:t xml:space="preserve"> at week 12</w:t>
      </w:r>
      <w:r w:rsidRPr="00487DFD">
        <w:rPr>
          <w:rFonts w:asciiTheme="majorHAnsi" w:hAnsiTheme="majorHAnsi"/>
          <w:b/>
          <w:bCs/>
          <w:lang w:val="en-GB" w:eastAsia="it-IT"/>
        </w:rPr>
        <w:t>:</w:t>
      </w:r>
      <w:r w:rsidR="004C5076" w:rsidRPr="003179E6">
        <w:rPr>
          <w:rFonts w:asciiTheme="majorHAnsi" w:hAnsiTheme="majorHAnsi"/>
          <w:b/>
        </w:rPr>
        <w:t xml:space="preserve"> </w:t>
      </w:r>
    </w:p>
    <w:p w:rsidR="00F91BB1" w:rsidRPr="00487DFD" w:rsidRDefault="00F91BB1" w:rsidP="00487DFD">
      <w:pPr>
        <w:autoSpaceDE w:val="0"/>
        <w:autoSpaceDN w:val="0"/>
        <w:adjustRightInd w:val="0"/>
        <w:spacing w:line="360" w:lineRule="auto"/>
        <w:rPr>
          <w:rFonts w:asciiTheme="majorHAnsi" w:hAnsiTheme="majorHAnsi"/>
          <w:lang w:val="en-GB" w:eastAsia="it-IT"/>
        </w:rPr>
      </w:pPr>
      <w:r w:rsidRPr="00487DFD">
        <w:rPr>
          <w:rFonts w:asciiTheme="majorHAnsi" w:hAnsiTheme="majorHAnsi"/>
          <w:lang w:val="en-GB" w:eastAsia="it-IT"/>
        </w:rPr>
        <w:t>Change in mean VA</w:t>
      </w:r>
    </w:p>
    <w:p w:rsidR="00F91BB1" w:rsidRPr="00487DFD" w:rsidRDefault="00F91BB1" w:rsidP="00487DFD">
      <w:pPr>
        <w:autoSpaceDE w:val="0"/>
        <w:autoSpaceDN w:val="0"/>
        <w:adjustRightInd w:val="0"/>
        <w:spacing w:line="360" w:lineRule="auto"/>
        <w:rPr>
          <w:rFonts w:asciiTheme="majorHAnsi" w:hAnsiTheme="majorHAnsi"/>
          <w:lang w:val="en-GB" w:eastAsia="it-IT"/>
        </w:rPr>
      </w:pPr>
      <w:r w:rsidRPr="00487DFD">
        <w:rPr>
          <w:rFonts w:asciiTheme="majorHAnsi" w:hAnsiTheme="majorHAnsi"/>
          <w:lang w:val="en-GB" w:eastAsia="it-IT"/>
        </w:rPr>
        <w:t>Change i</w:t>
      </w:r>
      <w:r w:rsidR="00EB411F">
        <w:rPr>
          <w:rFonts w:asciiTheme="majorHAnsi" w:hAnsiTheme="majorHAnsi"/>
          <w:lang w:val="en-GB" w:eastAsia="it-IT"/>
        </w:rPr>
        <w:t xml:space="preserve">n structural OCT findings </w:t>
      </w:r>
      <w:r w:rsidRPr="00487DFD">
        <w:rPr>
          <w:rFonts w:asciiTheme="majorHAnsi" w:hAnsiTheme="majorHAnsi"/>
          <w:lang w:val="en-GB" w:eastAsia="it-IT"/>
        </w:rPr>
        <w:t>in the treated area</w:t>
      </w:r>
      <w:r w:rsidR="00B754A1" w:rsidRPr="00487DFD">
        <w:rPr>
          <w:rFonts w:asciiTheme="majorHAnsi" w:hAnsiTheme="majorHAnsi"/>
          <w:lang w:val="en-GB" w:eastAsia="it-IT"/>
        </w:rPr>
        <w:t xml:space="preserve"> </w:t>
      </w:r>
    </w:p>
    <w:p w:rsidR="00A22311" w:rsidRPr="00487DFD" w:rsidRDefault="00A22311" w:rsidP="00487DFD">
      <w:pPr>
        <w:spacing w:line="360" w:lineRule="auto"/>
        <w:ind w:firstLine="576"/>
        <w:jc w:val="both"/>
        <w:rPr>
          <w:rFonts w:asciiTheme="majorHAnsi" w:hAnsiTheme="majorHAnsi"/>
          <w:b/>
        </w:rPr>
      </w:pPr>
      <w:bookmarkStart w:id="25" w:name="_Toc232177656"/>
    </w:p>
    <w:p w:rsidR="00A22311" w:rsidRPr="00487DFD" w:rsidRDefault="00A22311" w:rsidP="00487DFD">
      <w:pPr>
        <w:spacing w:line="360" w:lineRule="auto"/>
        <w:rPr>
          <w:rFonts w:asciiTheme="majorHAnsi" w:hAnsiTheme="majorHAnsi"/>
          <w:b/>
        </w:rPr>
      </w:pPr>
      <w:r w:rsidRPr="00487DFD">
        <w:rPr>
          <w:rFonts w:asciiTheme="majorHAnsi" w:hAnsiTheme="majorHAnsi"/>
          <w:b/>
        </w:rPr>
        <w:t>Safety Outcome Measures</w:t>
      </w:r>
      <w:bookmarkEnd w:id="25"/>
    </w:p>
    <w:p w:rsidR="00A22311" w:rsidRPr="00487DFD" w:rsidRDefault="00A22311" w:rsidP="00487DFD">
      <w:pPr>
        <w:autoSpaceDE w:val="0"/>
        <w:autoSpaceDN w:val="0"/>
        <w:adjustRightInd w:val="0"/>
        <w:spacing w:line="360" w:lineRule="auto"/>
        <w:rPr>
          <w:rFonts w:asciiTheme="majorHAnsi" w:hAnsiTheme="majorHAnsi"/>
          <w:lang w:val="en-GB" w:eastAsia="it-IT"/>
        </w:rPr>
      </w:pPr>
      <w:r w:rsidRPr="00487DFD">
        <w:rPr>
          <w:rFonts w:asciiTheme="majorHAnsi" w:hAnsiTheme="majorHAnsi"/>
          <w:lang w:val="en-GB" w:eastAsia="it-IT"/>
        </w:rPr>
        <w:t>Incidence of adverse events (AEs)</w:t>
      </w:r>
    </w:p>
    <w:p w:rsidR="00A22311" w:rsidRPr="00487DFD" w:rsidRDefault="00A22311" w:rsidP="00487DFD">
      <w:pPr>
        <w:autoSpaceDE w:val="0"/>
        <w:autoSpaceDN w:val="0"/>
        <w:adjustRightInd w:val="0"/>
        <w:spacing w:line="360" w:lineRule="auto"/>
        <w:rPr>
          <w:rFonts w:asciiTheme="majorHAnsi" w:hAnsiTheme="majorHAnsi"/>
          <w:lang w:val="en-GB" w:eastAsia="it-IT"/>
        </w:rPr>
      </w:pPr>
      <w:r w:rsidRPr="00487DFD">
        <w:rPr>
          <w:rFonts w:asciiTheme="majorHAnsi" w:hAnsiTheme="majorHAnsi"/>
          <w:lang w:val="en-GB" w:eastAsia="it-IT"/>
        </w:rPr>
        <w:t>Serious adverse events (SAEs)</w:t>
      </w:r>
    </w:p>
    <w:p w:rsidR="00A22311" w:rsidRPr="00487DFD" w:rsidRDefault="00A22311" w:rsidP="00487DFD">
      <w:pPr>
        <w:autoSpaceDE w:val="0"/>
        <w:autoSpaceDN w:val="0"/>
        <w:adjustRightInd w:val="0"/>
        <w:spacing w:line="360" w:lineRule="auto"/>
        <w:rPr>
          <w:rFonts w:asciiTheme="majorHAnsi" w:hAnsiTheme="majorHAnsi"/>
          <w:lang w:val="en-GB" w:eastAsia="it-IT"/>
        </w:rPr>
      </w:pPr>
      <w:r w:rsidRPr="00487DFD">
        <w:rPr>
          <w:rFonts w:asciiTheme="majorHAnsi" w:hAnsiTheme="majorHAnsi"/>
          <w:lang w:val="en-GB" w:eastAsia="it-IT"/>
        </w:rPr>
        <w:t>Moderate or significant visual acuity loss</w:t>
      </w:r>
    </w:p>
    <w:p w:rsidR="00A22311" w:rsidRPr="00487DFD" w:rsidRDefault="00A22311" w:rsidP="00487DFD">
      <w:pPr>
        <w:autoSpaceDE w:val="0"/>
        <w:autoSpaceDN w:val="0"/>
        <w:adjustRightInd w:val="0"/>
        <w:spacing w:line="360" w:lineRule="auto"/>
        <w:rPr>
          <w:rFonts w:asciiTheme="majorHAnsi" w:hAnsiTheme="majorHAnsi"/>
          <w:lang w:val="en-GB" w:eastAsia="it-IT"/>
        </w:rPr>
      </w:pPr>
      <w:r w:rsidRPr="00487DFD">
        <w:rPr>
          <w:rFonts w:asciiTheme="majorHAnsi" w:hAnsiTheme="majorHAnsi"/>
          <w:lang w:val="en-GB" w:eastAsia="it-IT"/>
        </w:rPr>
        <w:t>Slit lamp findings</w:t>
      </w:r>
    </w:p>
    <w:p w:rsidR="00A22311" w:rsidRPr="00487DFD" w:rsidRDefault="00A22311" w:rsidP="00487DFD">
      <w:pPr>
        <w:autoSpaceDE w:val="0"/>
        <w:autoSpaceDN w:val="0"/>
        <w:adjustRightInd w:val="0"/>
        <w:spacing w:line="360" w:lineRule="auto"/>
        <w:rPr>
          <w:rFonts w:asciiTheme="majorHAnsi" w:hAnsiTheme="majorHAnsi"/>
          <w:lang w:val="en-GB" w:eastAsia="it-IT"/>
        </w:rPr>
      </w:pPr>
      <w:r w:rsidRPr="00487DFD">
        <w:rPr>
          <w:rFonts w:asciiTheme="majorHAnsi" w:hAnsiTheme="majorHAnsi"/>
          <w:lang w:val="en-GB" w:eastAsia="it-IT"/>
        </w:rPr>
        <w:t>Crystalline lens changes in phakic eyes</w:t>
      </w:r>
    </w:p>
    <w:p w:rsidR="00A22311" w:rsidRPr="00487DFD" w:rsidRDefault="00A22311" w:rsidP="00487DFD">
      <w:pPr>
        <w:autoSpaceDE w:val="0"/>
        <w:autoSpaceDN w:val="0"/>
        <w:adjustRightInd w:val="0"/>
        <w:spacing w:line="360" w:lineRule="auto"/>
        <w:rPr>
          <w:rFonts w:asciiTheme="majorHAnsi" w:hAnsiTheme="majorHAnsi"/>
          <w:lang w:val="it-IT" w:eastAsia="it-IT"/>
        </w:rPr>
      </w:pPr>
      <w:r w:rsidRPr="00487DFD">
        <w:rPr>
          <w:rFonts w:asciiTheme="majorHAnsi" w:hAnsiTheme="majorHAnsi"/>
          <w:lang w:val="it-IT" w:eastAsia="it-IT"/>
        </w:rPr>
        <w:t>Intraocular pressure</w:t>
      </w:r>
    </w:p>
    <w:p w:rsidR="00A22311" w:rsidRPr="00487DFD" w:rsidRDefault="00A22311" w:rsidP="00487DFD">
      <w:pPr>
        <w:pStyle w:val="BodyText"/>
        <w:keepLines w:val="0"/>
        <w:widowControl/>
        <w:spacing w:before="0" w:after="0" w:line="360" w:lineRule="auto"/>
        <w:jc w:val="both"/>
        <w:rPr>
          <w:rFonts w:asciiTheme="majorHAnsi" w:hAnsiTheme="majorHAnsi"/>
          <w:sz w:val="24"/>
          <w:szCs w:val="24"/>
        </w:rPr>
      </w:pPr>
      <w:r w:rsidRPr="00487DFD">
        <w:rPr>
          <w:rFonts w:asciiTheme="majorHAnsi" w:hAnsiTheme="majorHAnsi"/>
          <w:sz w:val="24"/>
          <w:szCs w:val="24"/>
          <w:lang w:val="it-IT" w:eastAsia="it-IT"/>
        </w:rPr>
        <w:t>Fundus findings</w:t>
      </w:r>
    </w:p>
    <w:p w:rsidR="00A22311" w:rsidRPr="00487DFD" w:rsidRDefault="00A22311" w:rsidP="00487DFD">
      <w:pPr>
        <w:pStyle w:val="Heading2"/>
        <w:tabs>
          <w:tab w:val="num" w:pos="0"/>
          <w:tab w:val="left" w:pos="600"/>
        </w:tabs>
        <w:spacing w:before="360" w:after="240" w:line="360" w:lineRule="auto"/>
        <w:ind w:left="936"/>
        <w:jc w:val="left"/>
        <w:rPr>
          <w:rFonts w:asciiTheme="majorHAnsi" w:hAnsiTheme="majorHAnsi"/>
          <w:sz w:val="24"/>
          <w:szCs w:val="24"/>
        </w:rPr>
      </w:pPr>
      <w:bookmarkStart w:id="26" w:name="_Toc232177657"/>
      <w:bookmarkStart w:id="27" w:name="_Toc269803195"/>
      <w:r w:rsidRPr="00487DFD">
        <w:rPr>
          <w:rFonts w:asciiTheme="majorHAnsi" w:hAnsiTheme="majorHAnsi"/>
          <w:sz w:val="24"/>
          <w:szCs w:val="24"/>
        </w:rPr>
        <w:t xml:space="preserve"> </w:t>
      </w:r>
      <w:bookmarkStart w:id="28" w:name="_Toc324107852"/>
      <w:r w:rsidRPr="00487DFD">
        <w:rPr>
          <w:rFonts w:asciiTheme="majorHAnsi" w:hAnsiTheme="majorHAnsi"/>
          <w:sz w:val="24"/>
          <w:szCs w:val="24"/>
        </w:rPr>
        <w:t>Study Population</w:t>
      </w:r>
      <w:bookmarkEnd w:id="24"/>
      <w:bookmarkEnd w:id="26"/>
      <w:bookmarkEnd w:id="27"/>
      <w:bookmarkEnd w:id="28"/>
    </w:p>
    <w:p w:rsidR="00A22311" w:rsidRPr="00487DFD" w:rsidRDefault="0082174C" w:rsidP="00487DFD">
      <w:pPr>
        <w:spacing w:line="360" w:lineRule="auto"/>
        <w:jc w:val="both"/>
        <w:rPr>
          <w:rFonts w:asciiTheme="majorHAnsi" w:hAnsiTheme="majorHAnsi"/>
        </w:rPr>
      </w:pPr>
      <w:r>
        <w:rPr>
          <w:rFonts w:asciiTheme="majorHAnsi" w:hAnsiTheme="majorHAnsi"/>
        </w:rPr>
        <w:t>Up to 2</w:t>
      </w:r>
      <w:r w:rsidR="00630554" w:rsidRPr="00487DFD">
        <w:rPr>
          <w:rFonts w:asciiTheme="majorHAnsi" w:hAnsiTheme="majorHAnsi"/>
        </w:rPr>
        <w:t>0</w:t>
      </w:r>
      <w:r w:rsidR="00A22311" w:rsidRPr="00487DFD">
        <w:rPr>
          <w:rFonts w:asciiTheme="majorHAnsi" w:hAnsiTheme="majorHAnsi"/>
        </w:rPr>
        <w:t xml:space="preserve"> subjects with </w:t>
      </w:r>
      <w:r w:rsidR="00630554" w:rsidRPr="00487DFD">
        <w:rPr>
          <w:rFonts w:asciiTheme="majorHAnsi" w:hAnsiTheme="majorHAnsi"/>
        </w:rPr>
        <w:t>reticular pseudodrusen</w:t>
      </w:r>
      <w:r w:rsidR="00A22311" w:rsidRPr="00487DFD">
        <w:rPr>
          <w:rFonts w:asciiTheme="majorHAnsi" w:hAnsiTheme="majorHAnsi"/>
        </w:rPr>
        <w:t xml:space="preserve"> will be enrolled. After providing informed consent and documenting it in writing, subjects will be screened for participation in the study. </w:t>
      </w:r>
      <w:r w:rsidR="00A22311" w:rsidRPr="006C0623">
        <w:rPr>
          <w:rFonts w:asciiTheme="majorHAnsi" w:hAnsiTheme="majorHAnsi"/>
        </w:rPr>
        <w:t>Screening evaluations may be performed at any time within the 14 days preceding and subjects must fulfill the following criteria</w:t>
      </w:r>
      <w:r w:rsidR="00A22311" w:rsidRPr="00487DFD">
        <w:rPr>
          <w:rFonts w:asciiTheme="majorHAnsi" w:hAnsiTheme="majorHAnsi"/>
        </w:rPr>
        <w:t>:</w:t>
      </w:r>
    </w:p>
    <w:p w:rsidR="00A22311" w:rsidRPr="00487DFD" w:rsidRDefault="00A22311" w:rsidP="00487DFD">
      <w:pPr>
        <w:pStyle w:val="Heading3"/>
        <w:spacing w:line="360" w:lineRule="auto"/>
        <w:rPr>
          <w:rFonts w:asciiTheme="majorHAnsi" w:hAnsiTheme="majorHAnsi"/>
        </w:rPr>
      </w:pPr>
      <w:bookmarkStart w:id="29" w:name="_Toc215292766"/>
      <w:bookmarkStart w:id="30" w:name="_Toc324107853"/>
      <w:r w:rsidRPr="00487DFD">
        <w:rPr>
          <w:rFonts w:asciiTheme="majorHAnsi" w:hAnsiTheme="majorHAnsi"/>
        </w:rPr>
        <w:t>Inclusion Criteria</w:t>
      </w:r>
      <w:bookmarkEnd w:id="29"/>
      <w:bookmarkEnd w:id="30"/>
    </w:p>
    <w:p w:rsidR="00797F05" w:rsidRPr="006C0623" w:rsidRDefault="00797F05" w:rsidP="00487DFD">
      <w:pPr>
        <w:pStyle w:val="ListParagraph"/>
        <w:widowControl w:val="0"/>
        <w:numPr>
          <w:ilvl w:val="0"/>
          <w:numId w:val="3"/>
        </w:numPr>
        <w:autoSpaceDE w:val="0"/>
        <w:autoSpaceDN w:val="0"/>
        <w:adjustRightInd w:val="0"/>
        <w:spacing w:after="240" w:line="360" w:lineRule="auto"/>
        <w:rPr>
          <w:rFonts w:asciiTheme="majorHAnsi" w:eastAsiaTheme="minorEastAsia" w:hAnsiTheme="majorHAnsi" w:cs="Times"/>
          <w:lang w:eastAsia="it-IT"/>
        </w:rPr>
      </w:pPr>
      <w:bookmarkStart w:id="31" w:name="_Toc215292767"/>
      <w:bookmarkStart w:id="32" w:name="_Toc232177659"/>
      <w:bookmarkStart w:id="33" w:name="_Toc324107854"/>
      <w:r w:rsidRPr="006C0623">
        <w:rPr>
          <w:rFonts w:asciiTheme="majorHAnsi" w:eastAsiaTheme="minorEastAsia" w:hAnsiTheme="majorHAnsi" w:cs="Arial"/>
          <w:lang w:eastAsia="it-IT"/>
        </w:rPr>
        <w:t xml:space="preserve">Reticular pseudodrusen </w:t>
      </w:r>
    </w:p>
    <w:p w:rsidR="00797F05" w:rsidRPr="00487DFD" w:rsidRDefault="00797F05" w:rsidP="00487DFD">
      <w:pPr>
        <w:pStyle w:val="ListParagraph"/>
        <w:widowControl w:val="0"/>
        <w:numPr>
          <w:ilvl w:val="0"/>
          <w:numId w:val="3"/>
        </w:numPr>
        <w:autoSpaceDE w:val="0"/>
        <w:autoSpaceDN w:val="0"/>
        <w:adjustRightInd w:val="0"/>
        <w:spacing w:after="240" w:line="360" w:lineRule="auto"/>
        <w:rPr>
          <w:rFonts w:asciiTheme="majorHAnsi" w:eastAsiaTheme="minorEastAsia" w:hAnsiTheme="majorHAnsi" w:cs="Times"/>
          <w:lang w:val="it-IT" w:eastAsia="it-IT"/>
        </w:rPr>
      </w:pPr>
      <w:r w:rsidRPr="00487DFD">
        <w:rPr>
          <w:rFonts w:asciiTheme="majorHAnsi" w:eastAsiaTheme="minorEastAsia" w:hAnsiTheme="majorHAnsi" w:cs="Arial"/>
          <w:lang w:val="it-IT" w:eastAsia="it-IT"/>
        </w:rPr>
        <w:t>50 years or older </w:t>
      </w:r>
    </w:p>
    <w:p w:rsidR="00797F05" w:rsidRPr="006C0623" w:rsidRDefault="00797F05" w:rsidP="00487DFD">
      <w:pPr>
        <w:pStyle w:val="ListParagraph"/>
        <w:widowControl w:val="0"/>
        <w:numPr>
          <w:ilvl w:val="0"/>
          <w:numId w:val="3"/>
        </w:numPr>
        <w:autoSpaceDE w:val="0"/>
        <w:autoSpaceDN w:val="0"/>
        <w:adjustRightInd w:val="0"/>
        <w:spacing w:after="240" w:line="360" w:lineRule="auto"/>
        <w:rPr>
          <w:rFonts w:asciiTheme="majorHAnsi" w:eastAsiaTheme="minorEastAsia" w:hAnsiTheme="majorHAnsi" w:cs="Times"/>
          <w:lang w:eastAsia="it-IT"/>
        </w:rPr>
      </w:pPr>
      <w:r w:rsidRPr="006C0623">
        <w:rPr>
          <w:rFonts w:asciiTheme="majorHAnsi" w:eastAsiaTheme="minorEastAsia" w:hAnsiTheme="majorHAnsi" w:cs="Arial"/>
          <w:lang w:eastAsia="it-IT"/>
        </w:rPr>
        <w:t xml:space="preserve">The periphery of the atrophic lesions must demonstrate increased autofluorescence </w:t>
      </w:r>
    </w:p>
    <w:p w:rsidR="00797F05" w:rsidRPr="006C0623" w:rsidRDefault="00797F05" w:rsidP="00487DFD">
      <w:pPr>
        <w:pStyle w:val="ListParagraph"/>
        <w:widowControl w:val="0"/>
        <w:numPr>
          <w:ilvl w:val="0"/>
          <w:numId w:val="3"/>
        </w:numPr>
        <w:autoSpaceDE w:val="0"/>
        <w:autoSpaceDN w:val="0"/>
        <w:adjustRightInd w:val="0"/>
        <w:spacing w:after="240" w:line="360" w:lineRule="auto"/>
        <w:rPr>
          <w:rFonts w:asciiTheme="majorHAnsi" w:eastAsiaTheme="minorEastAsia" w:hAnsiTheme="majorHAnsi" w:cs="Times"/>
          <w:lang w:eastAsia="it-IT"/>
        </w:rPr>
      </w:pPr>
      <w:r w:rsidRPr="006C0623">
        <w:rPr>
          <w:rFonts w:asciiTheme="majorHAnsi" w:eastAsiaTheme="minorEastAsia" w:hAnsiTheme="majorHAnsi" w:cs="Arial"/>
          <w:lang w:eastAsia="it-IT"/>
        </w:rPr>
        <w:t>Best corrected visual acuity between 20/20 and 20/400 inclusive </w:t>
      </w:r>
    </w:p>
    <w:p w:rsidR="00797F05" w:rsidRPr="00487DFD" w:rsidRDefault="00797F05" w:rsidP="00487DFD">
      <w:pPr>
        <w:pStyle w:val="ListParagraph"/>
        <w:widowControl w:val="0"/>
        <w:numPr>
          <w:ilvl w:val="0"/>
          <w:numId w:val="3"/>
        </w:numPr>
        <w:autoSpaceDE w:val="0"/>
        <w:autoSpaceDN w:val="0"/>
        <w:adjustRightInd w:val="0"/>
        <w:spacing w:after="240" w:line="360" w:lineRule="auto"/>
        <w:rPr>
          <w:rFonts w:asciiTheme="majorHAnsi" w:eastAsiaTheme="minorEastAsia" w:hAnsiTheme="majorHAnsi" w:cs="Times"/>
          <w:lang w:val="it-IT" w:eastAsia="it-IT"/>
        </w:rPr>
      </w:pPr>
      <w:r w:rsidRPr="00487DFD">
        <w:rPr>
          <w:rFonts w:asciiTheme="majorHAnsi" w:eastAsiaTheme="minorEastAsia" w:hAnsiTheme="majorHAnsi" w:cs="Arial"/>
          <w:lang w:val="it-IT" w:eastAsia="it-IT"/>
        </w:rPr>
        <w:lastRenderedPageBreak/>
        <w:t>Clear ocular media </w:t>
      </w:r>
    </w:p>
    <w:p w:rsidR="00797F05" w:rsidRPr="006C0623" w:rsidRDefault="00797F05" w:rsidP="00487DFD">
      <w:pPr>
        <w:pStyle w:val="ListParagraph"/>
        <w:widowControl w:val="0"/>
        <w:numPr>
          <w:ilvl w:val="0"/>
          <w:numId w:val="3"/>
        </w:numPr>
        <w:autoSpaceDE w:val="0"/>
        <w:autoSpaceDN w:val="0"/>
        <w:adjustRightInd w:val="0"/>
        <w:spacing w:after="240" w:line="360" w:lineRule="auto"/>
        <w:rPr>
          <w:rFonts w:asciiTheme="majorHAnsi" w:eastAsiaTheme="minorEastAsia" w:hAnsiTheme="majorHAnsi" w:cs="Times"/>
          <w:lang w:eastAsia="it-IT"/>
        </w:rPr>
      </w:pPr>
      <w:r w:rsidRPr="006C0623">
        <w:rPr>
          <w:rFonts w:asciiTheme="majorHAnsi" w:eastAsiaTheme="minorEastAsia" w:hAnsiTheme="majorHAnsi" w:cs="Arial"/>
          <w:lang w:eastAsia="it-IT"/>
        </w:rPr>
        <w:t xml:space="preserve">Ability to provide informed consent and attend all study visits </w:t>
      </w:r>
    </w:p>
    <w:p w:rsidR="00A22311" w:rsidRPr="00487DFD" w:rsidRDefault="00A22311" w:rsidP="00487DFD">
      <w:pPr>
        <w:pStyle w:val="Heading3"/>
        <w:spacing w:line="360" w:lineRule="auto"/>
        <w:rPr>
          <w:rFonts w:asciiTheme="majorHAnsi" w:hAnsiTheme="majorHAnsi"/>
        </w:rPr>
      </w:pPr>
      <w:r w:rsidRPr="00487DFD">
        <w:rPr>
          <w:rFonts w:asciiTheme="majorHAnsi" w:hAnsiTheme="majorHAnsi"/>
        </w:rPr>
        <w:t>Exclusion Criteria</w:t>
      </w:r>
      <w:bookmarkEnd w:id="31"/>
      <w:bookmarkEnd w:id="32"/>
      <w:bookmarkEnd w:id="33"/>
    </w:p>
    <w:p w:rsidR="00797F05" w:rsidRPr="00487DFD" w:rsidRDefault="00797F05" w:rsidP="00487DFD">
      <w:pPr>
        <w:spacing w:line="360" w:lineRule="auto"/>
        <w:rPr>
          <w:rFonts w:asciiTheme="majorHAnsi" w:hAnsiTheme="majorHAnsi"/>
        </w:rPr>
      </w:pPr>
    </w:p>
    <w:p w:rsidR="00797F05" w:rsidRPr="006C0623" w:rsidRDefault="00797F05" w:rsidP="00487DFD">
      <w:pPr>
        <w:pStyle w:val="ListParagraph"/>
        <w:widowControl w:val="0"/>
        <w:numPr>
          <w:ilvl w:val="0"/>
          <w:numId w:val="4"/>
        </w:numPr>
        <w:autoSpaceDE w:val="0"/>
        <w:autoSpaceDN w:val="0"/>
        <w:adjustRightInd w:val="0"/>
        <w:spacing w:after="240" w:line="360" w:lineRule="auto"/>
        <w:rPr>
          <w:rFonts w:asciiTheme="majorHAnsi" w:eastAsiaTheme="minorEastAsia" w:hAnsiTheme="majorHAnsi" w:cs="Arial"/>
          <w:lang w:eastAsia="it-IT"/>
        </w:rPr>
      </w:pPr>
      <w:r w:rsidRPr="006C0623">
        <w:rPr>
          <w:rFonts w:asciiTheme="majorHAnsi" w:eastAsiaTheme="minorEastAsia" w:hAnsiTheme="majorHAnsi" w:cs="Arial"/>
          <w:lang w:eastAsia="it-IT"/>
        </w:rPr>
        <w:t>GA secondary to other causes aside from AMD</w:t>
      </w:r>
    </w:p>
    <w:p w:rsidR="00797F05" w:rsidRDefault="00797F05" w:rsidP="00487DFD">
      <w:pPr>
        <w:pStyle w:val="ListParagraph"/>
        <w:widowControl w:val="0"/>
        <w:numPr>
          <w:ilvl w:val="0"/>
          <w:numId w:val="4"/>
        </w:numPr>
        <w:autoSpaceDE w:val="0"/>
        <w:autoSpaceDN w:val="0"/>
        <w:adjustRightInd w:val="0"/>
        <w:spacing w:after="240" w:line="360" w:lineRule="auto"/>
        <w:rPr>
          <w:rFonts w:asciiTheme="majorHAnsi" w:eastAsiaTheme="minorEastAsia" w:hAnsiTheme="majorHAnsi" w:cs="Arial"/>
          <w:lang w:eastAsia="it-IT"/>
        </w:rPr>
      </w:pPr>
      <w:r w:rsidRPr="006C0623">
        <w:rPr>
          <w:rFonts w:asciiTheme="majorHAnsi" w:eastAsiaTheme="minorEastAsia" w:hAnsiTheme="majorHAnsi" w:cs="Arial"/>
          <w:lang w:eastAsia="it-IT"/>
        </w:rPr>
        <w:t>Any prior treatment for AMD, aside from antioxidants </w:t>
      </w:r>
    </w:p>
    <w:p w:rsidR="009C3B08" w:rsidRPr="009C3B08" w:rsidRDefault="009C3B08" w:rsidP="009C3B08">
      <w:pPr>
        <w:pStyle w:val="ListParagraph"/>
        <w:widowControl w:val="0"/>
        <w:numPr>
          <w:ilvl w:val="0"/>
          <w:numId w:val="4"/>
        </w:numPr>
        <w:autoSpaceDE w:val="0"/>
        <w:autoSpaceDN w:val="0"/>
        <w:adjustRightInd w:val="0"/>
        <w:spacing w:after="240" w:line="360" w:lineRule="auto"/>
        <w:rPr>
          <w:rFonts w:asciiTheme="majorHAnsi" w:eastAsiaTheme="minorEastAsia" w:hAnsiTheme="majorHAnsi" w:cs="Arial"/>
          <w:lang w:eastAsia="it-IT"/>
        </w:rPr>
      </w:pPr>
      <w:r w:rsidRPr="009C3B08">
        <w:rPr>
          <w:rFonts w:asciiTheme="majorHAnsi" w:eastAsiaTheme="minorEastAsia" w:hAnsiTheme="majorHAnsi" w:cs="Arial"/>
          <w:lang w:eastAsia="it-IT"/>
        </w:rPr>
        <w:t>Any corneal opacity, cataract formation and hemorrhage in the vitreous body, which may interfere with viewing by the laser surgeon of the target structures</w:t>
      </w:r>
    </w:p>
    <w:p w:rsidR="009C3B08" w:rsidRPr="009C3B08" w:rsidRDefault="009C3B08" w:rsidP="009C3B08">
      <w:pPr>
        <w:pStyle w:val="ListParagraph"/>
        <w:widowControl w:val="0"/>
        <w:numPr>
          <w:ilvl w:val="0"/>
          <w:numId w:val="4"/>
        </w:numPr>
        <w:autoSpaceDE w:val="0"/>
        <w:autoSpaceDN w:val="0"/>
        <w:adjustRightInd w:val="0"/>
        <w:spacing w:after="240" w:line="360" w:lineRule="auto"/>
        <w:rPr>
          <w:rFonts w:asciiTheme="majorHAnsi" w:eastAsiaTheme="minorEastAsia" w:hAnsiTheme="majorHAnsi" w:cs="Arial"/>
          <w:lang w:eastAsia="it-IT"/>
        </w:rPr>
      </w:pPr>
      <w:r w:rsidRPr="009C3B08">
        <w:rPr>
          <w:rFonts w:asciiTheme="majorHAnsi" w:eastAsiaTheme="minorEastAsia" w:hAnsiTheme="majorHAnsi" w:cs="Arial"/>
          <w:lang w:eastAsia="it-IT"/>
        </w:rPr>
        <w:t>Aphakic eye with vitreous in the anterior chamber</w:t>
      </w:r>
    </w:p>
    <w:p w:rsidR="009C3B08" w:rsidRPr="009C3B08" w:rsidRDefault="009C3B08" w:rsidP="009C3B08">
      <w:pPr>
        <w:pStyle w:val="ListParagraph"/>
        <w:widowControl w:val="0"/>
        <w:numPr>
          <w:ilvl w:val="0"/>
          <w:numId w:val="4"/>
        </w:numPr>
        <w:autoSpaceDE w:val="0"/>
        <w:autoSpaceDN w:val="0"/>
        <w:adjustRightInd w:val="0"/>
        <w:spacing w:after="240" w:line="360" w:lineRule="auto"/>
        <w:rPr>
          <w:rFonts w:asciiTheme="majorHAnsi" w:eastAsiaTheme="minorEastAsia" w:hAnsiTheme="majorHAnsi" w:cs="Arial"/>
          <w:lang w:eastAsia="it-IT"/>
        </w:rPr>
      </w:pPr>
      <w:r w:rsidRPr="009C3B08">
        <w:rPr>
          <w:rFonts w:asciiTheme="majorHAnsi" w:eastAsiaTheme="minorEastAsia" w:hAnsiTheme="majorHAnsi" w:cs="Arial"/>
          <w:lang w:eastAsia="it-IT"/>
        </w:rPr>
        <w:t xml:space="preserve">Neovascular Glaucoma </w:t>
      </w:r>
    </w:p>
    <w:p w:rsidR="009C3B08" w:rsidRPr="009C3B08" w:rsidRDefault="009C3B08" w:rsidP="009C3B08">
      <w:pPr>
        <w:pStyle w:val="ListParagraph"/>
        <w:widowControl w:val="0"/>
        <w:numPr>
          <w:ilvl w:val="0"/>
          <w:numId w:val="4"/>
        </w:numPr>
        <w:autoSpaceDE w:val="0"/>
        <w:autoSpaceDN w:val="0"/>
        <w:adjustRightInd w:val="0"/>
        <w:spacing w:after="240" w:line="360" w:lineRule="auto"/>
        <w:rPr>
          <w:rFonts w:asciiTheme="majorHAnsi" w:eastAsiaTheme="minorEastAsia" w:hAnsiTheme="majorHAnsi" w:cs="Arial"/>
          <w:lang w:eastAsia="it-IT"/>
        </w:rPr>
      </w:pPr>
      <w:r w:rsidRPr="009C3B08">
        <w:rPr>
          <w:rFonts w:asciiTheme="majorHAnsi" w:eastAsiaTheme="minorEastAsia" w:hAnsiTheme="majorHAnsi" w:cs="Arial"/>
          <w:lang w:eastAsia="it-IT"/>
        </w:rPr>
        <w:t>Glaucoma caused by congenital angle anomalies</w:t>
      </w:r>
    </w:p>
    <w:p w:rsidR="009C3B08" w:rsidRPr="009C3B08" w:rsidRDefault="009C3B08" w:rsidP="009C3B08">
      <w:pPr>
        <w:pStyle w:val="ListParagraph"/>
        <w:widowControl w:val="0"/>
        <w:numPr>
          <w:ilvl w:val="0"/>
          <w:numId w:val="4"/>
        </w:numPr>
        <w:autoSpaceDE w:val="0"/>
        <w:autoSpaceDN w:val="0"/>
        <w:adjustRightInd w:val="0"/>
        <w:spacing w:after="240" w:line="360" w:lineRule="auto"/>
        <w:rPr>
          <w:rFonts w:asciiTheme="majorHAnsi" w:eastAsiaTheme="minorEastAsia" w:hAnsiTheme="majorHAnsi" w:cs="Arial"/>
          <w:lang w:eastAsia="it-IT"/>
        </w:rPr>
      </w:pPr>
      <w:r w:rsidRPr="009C3B08">
        <w:rPr>
          <w:rFonts w:asciiTheme="majorHAnsi" w:eastAsiaTheme="minorEastAsia" w:hAnsiTheme="majorHAnsi" w:cs="Arial"/>
          <w:lang w:eastAsia="it-IT"/>
        </w:rPr>
        <w:t>Open angle of less than 90º or extensive peripheral anterior and low synechia, present circumferentially around the corner</w:t>
      </w:r>
    </w:p>
    <w:p w:rsidR="009C3B08" w:rsidRPr="009C3B08" w:rsidRDefault="009C3B08" w:rsidP="009C3B08">
      <w:pPr>
        <w:pStyle w:val="ListParagraph"/>
        <w:widowControl w:val="0"/>
        <w:numPr>
          <w:ilvl w:val="0"/>
          <w:numId w:val="4"/>
        </w:numPr>
        <w:autoSpaceDE w:val="0"/>
        <w:autoSpaceDN w:val="0"/>
        <w:adjustRightInd w:val="0"/>
        <w:spacing w:after="240" w:line="360" w:lineRule="auto"/>
        <w:rPr>
          <w:rFonts w:asciiTheme="majorHAnsi" w:eastAsiaTheme="minorEastAsia" w:hAnsiTheme="majorHAnsi" w:cs="Arial"/>
          <w:lang w:eastAsia="it-IT"/>
        </w:rPr>
      </w:pPr>
      <w:r w:rsidRPr="009C3B08">
        <w:rPr>
          <w:rFonts w:asciiTheme="majorHAnsi" w:eastAsiaTheme="minorEastAsia" w:hAnsiTheme="majorHAnsi" w:cs="Arial"/>
          <w:lang w:eastAsia="it-IT"/>
        </w:rPr>
        <w:t>Significant corneal edema or reduced water clarity that obscures the view angle in detail</w:t>
      </w:r>
    </w:p>
    <w:p w:rsidR="009C3B08" w:rsidRPr="006C0623" w:rsidRDefault="009C3B08" w:rsidP="009C3B08">
      <w:pPr>
        <w:pStyle w:val="ListParagraph"/>
        <w:widowControl w:val="0"/>
        <w:numPr>
          <w:ilvl w:val="0"/>
          <w:numId w:val="4"/>
        </w:numPr>
        <w:autoSpaceDE w:val="0"/>
        <w:autoSpaceDN w:val="0"/>
        <w:adjustRightInd w:val="0"/>
        <w:spacing w:after="240" w:line="360" w:lineRule="auto"/>
        <w:rPr>
          <w:rFonts w:asciiTheme="majorHAnsi" w:eastAsiaTheme="minorEastAsia" w:hAnsiTheme="majorHAnsi" w:cs="Arial"/>
          <w:lang w:eastAsia="it-IT"/>
        </w:rPr>
      </w:pPr>
      <w:r w:rsidRPr="009C3B08">
        <w:rPr>
          <w:rFonts w:asciiTheme="majorHAnsi" w:eastAsiaTheme="minorEastAsia" w:hAnsiTheme="majorHAnsi" w:cs="Arial"/>
          <w:lang w:eastAsia="it-IT"/>
        </w:rPr>
        <w:t>Glaucoma secondary to active uveitis</w:t>
      </w:r>
    </w:p>
    <w:p w:rsidR="00797F05" w:rsidRPr="006C0623" w:rsidRDefault="00797F05" w:rsidP="00487DFD">
      <w:pPr>
        <w:pStyle w:val="ListParagraph"/>
        <w:widowControl w:val="0"/>
        <w:numPr>
          <w:ilvl w:val="0"/>
          <w:numId w:val="4"/>
        </w:numPr>
        <w:autoSpaceDE w:val="0"/>
        <w:autoSpaceDN w:val="0"/>
        <w:adjustRightInd w:val="0"/>
        <w:spacing w:after="240" w:line="360" w:lineRule="auto"/>
        <w:rPr>
          <w:rFonts w:asciiTheme="majorHAnsi" w:eastAsiaTheme="minorEastAsia" w:hAnsiTheme="majorHAnsi" w:cs="Arial"/>
          <w:lang w:eastAsia="it-IT"/>
        </w:rPr>
      </w:pPr>
      <w:r w:rsidRPr="006C0623">
        <w:rPr>
          <w:rFonts w:asciiTheme="majorHAnsi" w:eastAsiaTheme="minorEastAsia" w:hAnsiTheme="majorHAnsi" w:cs="Arial"/>
          <w:lang w:eastAsia="it-IT"/>
        </w:rPr>
        <w:t xml:space="preserve">Any other ocular condition that would progress in the study period and confound visual acuity assessment </w:t>
      </w:r>
    </w:p>
    <w:p w:rsidR="009C3B08" w:rsidRDefault="00797F05" w:rsidP="00487DFD">
      <w:pPr>
        <w:pStyle w:val="ListParagraph"/>
        <w:widowControl w:val="0"/>
        <w:numPr>
          <w:ilvl w:val="0"/>
          <w:numId w:val="4"/>
        </w:numPr>
        <w:autoSpaceDE w:val="0"/>
        <w:autoSpaceDN w:val="0"/>
        <w:adjustRightInd w:val="0"/>
        <w:spacing w:after="240" w:line="360" w:lineRule="auto"/>
        <w:rPr>
          <w:rFonts w:asciiTheme="majorHAnsi" w:eastAsiaTheme="minorEastAsia" w:hAnsiTheme="majorHAnsi" w:cs="Arial"/>
          <w:lang w:eastAsia="it-IT"/>
        </w:rPr>
      </w:pPr>
      <w:r w:rsidRPr="006C0623">
        <w:rPr>
          <w:rFonts w:asciiTheme="majorHAnsi" w:eastAsiaTheme="minorEastAsia" w:hAnsiTheme="majorHAnsi" w:cs="Arial"/>
          <w:lang w:eastAsia="it-IT"/>
        </w:rPr>
        <w:t>Any ocular or systemic medication known to be toxic to the lens, retina or optic nerve </w:t>
      </w:r>
    </w:p>
    <w:p w:rsidR="00797F05" w:rsidRPr="006C0623" w:rsidRDefault="00797F05" w:rsidP="00487DFD">
      <w:pPr>
        <w:pStyle w:val="ListParagraph"/>
        <w:widowControl w:val="0"/>
        <w:numPr>
          <w:ilvl w:val="0"/>
          <w:numId w:val="4"/>
        </w:numPr>
        <w:autoSpaceDE w:val="0"/>
        <w:autoSpaceDN w:val="0"/>
        <w:adjustRightInd w:val="0"/>
        <w:spacing w:after="240" w:line="360" w:lineRule="auto"/>
        <w:rPr>
          <w:rFonts w:asciiTheme="majorHAnsi" w:eastAsiaTheme="minorEastAsia" w:hAnsiTheme="majorHAnsi" w:cs="Arial"/>
          <w:lang w:eastAsia="it-IT"/>
        </w:rPr>
      </w:pPr>
      <w:r w:rsidRPr="006C0623">
        <w:rPr>
          <w:rFonts w:asciiTheme="majorHAnsi" w:eastAsiaTheme="minorEastAsia" w:hAnsiTheme="majorHAnsi" w:cs="Arial"/>
          <w:lang w:eastAsia="it-IT"/>
        </w:rPr>
        <w:t>Presence of idiopathic or autoimmune-associated uveitis </w:t>
      </w:r>
    </w:p>
    <w:p w:rsidR="00797F05" w:rsidRPr="006C0623" w:rsidRDefault="00797F05" w:rsidP="00487DFD">
      <w:pPr>
        <w:pStyle w:val="ListParagraph"/>
        <w:widowControl w:val="0"/>
        <w:numPr>
          <w:ilvl w:val="0"/>
          <w:numId w:val="4"/>
        </w:numPr>
        <w:autoSpaceDE w:val="0"/>
        <w:autoSpaceDN w:val="0"/>
        <w:adjustRightInd w:val="0"/>
        <w:spacing w:after="240" w:line="360" w:lineRule="auto"/>
        <w:rPr>
          <w:rFonts w:asciiTheme="majorHAnsi" w:eastAsiaTheme="minorEastAsia" w:hAnsiTheme="majorHAnsi" w:cs="Arial"/>
          <w:lang w:eastAsia="it-IT"/>
        </w:rPr>
      </w:pPr>
      <w:r w:rsidRPr="006C0623">
        <w:rPr>
          <w:rFonts w:asciiTheme="majorHAnsi" w:eastAsiaTheme="minorEastAsia" w:hAnsiTheme="majorHAnsi" w:cs="Arial"/>
          <w:lang w:eastAsia="it-IT"/>
        </w:rPr>
        <w:t>Any intraocular surgery 3 months of entry </w:t>
      </w:r>
    </w:p>
    <w:p w:rsidR="00797F05" w:rsidRPr="006C0623" w:rsidRDefault="00797F05" w:rsidP="00487DFD">
      <w:pPr>
        <w:pStyle w:val="ListParagraph"/>
        <w:widowControl w:val="0"/>
        <w:numPr>
          <w:ilvl w:val="0"/>
          <w:numId w:val="4"/>
        </w:numPr>
        <w:autoSpaceDE w:val="0"/>
        <w:autoSpaceDN w:val="0"/>
        <w:adjustRightInd w:val="0"/>
        <w:spacing w:after="240" w:line="360" w:lineRule="auto"/>
        <w:rPr>
          <w:rFonts w:asciiTheme="majorHAnsi" w:eastAsiaTheme="minorEastAsia" w:hAnsiTheme="majorHAnsi" w:cs="Arial"/>
          <w:lang w:eastAsia="it-IT"/>
        </w:rPr>
      </w:pPr>
      <w:r w:rsidRPr="006C0623">
        <w:rPr>
          <w:rFonts w:asciiTheme="majorHAnsi" w:eastAsiaTheme="minorEastAsia" w:hAnsiTheme="majorHAnsi" w:cs="Arial"/>
          <w:lang w:eastAsia="it-IT"/>
        </w:rPr>
        <w:t>Any prior thermal laser in the macula </w:t>
      </w:r>
    </w:p>
    <w:p w:rsidR="00797F05" w:rsidRPr="006C0623" w:rsidRDefault="00797F05" w:rsidP="00487DFD">
      <w:pPr>
        <w:pStyle w:val="ListParagraph"/>
        <w:widowControl w:val="0"/>
        <w:numPr>
          <w:ilvl w:val="0"/>
          <w:numId w:val="4"/>
        </w:numPr>
        <w:autoSpaceDE w:val="0"/>
        <w:autoSpaceDN w:val="0"/>
        <w:adjustRightInd w:val="0"/>
        <w:spacing w:after="240" w:line="360" w:lineRule="auto"/>
        <w:rPr>
          <w:rFonts w:asciiTheme="majorHAnsi" w:eastAsiaTheme="minorEastAsia" w:hAnsiTheme="majorHAnsi" w:cs="Arial"/>
          <w:lang w:eastAsia="it-IT"/>
        </w:rPr>
      </w:pPr>
      <w:r w:rsidRPr="006C0623">
        <w:rPr>
          <w:rFonts w:asciiTheme="majorHAnsi" w:eastAsiaTheme="minorEastAsia" w:hAnsiTheme="majorHAnsi" w:cs="Arial"/>
          <w:lang w:eastAsia="it-IT"/>
        </w:rPr>
        <w:t>History of vitrectomy, filtering surgery, corneal transplant or retinal detachment surgery</w:t>
      </w:r>
    </w:p>
    <w:p w:rsidR="00797F05" w:rsidRPr="006C0623" w:rsidRDefault="00797F05" w:rsidP="00487DFD">
      <w:pPr>
        <w:pStyle w:val="ListParagraph"/>
        <w:widowControl w:val="0"/>
        <w:numPr>
          <w:ilvl w:val="0"/>
          <w:numId w:val="4"/>
        </w:numPr>
        <w:autoSpaceDE w:val="0"/>
        <w:autoSpaceDN w:val="0"/>
        <w:adjustRightInd w:val="0"/>
        <w:spacing w:after="240" w:line="360" w:lineRule="auto"/>
        <w:rPr>
          <w:rFonts w:asciiTheme="majorHAnsi" w:eastAsiaTheme="minorEastAsia" w:hAnsiTheme="majorHAnsi" w:cs="Arial"/>
          <w:lang w:eastAsia="it-IT"/>
        </w:rPr>
      </w:pPr>
      <w:r w:rsidRPr="006C0623">
        <w:rPr>
          <w:rFonts w:asciiTheme="majorHAnsi" w:eastAsiaTheme="minorEastAsia" w:hAnsiTheme="majorHAnsi" w:cs="Arial"/>
          <w:lang w:eastAsia="it-IT"/>
        </w:rPr>
        <w:t> Previous therapeutic radiation in the ocular region in either eye </w:t>
      </w:r>
    </w:p>
    <w:p w:rsidR="00C11D40" w:rsidRPr="00487DFD" w:rsidRDefault="00797F05" w:rsidP="00487DFD">
      <w:pPr>
        <w:pStyle w:val="ListParagraph"/>
        <w:widowControl w:val="0"/>
        <w:numPr>
          <w:ilvl w:val="0"/>
          <w:numId w:val="4"/>
        </w:numPr>
        <w:autoSpaceDE w:val="0"/>
        <w:autoSpaceDN w:val="0"/>
        <w:adjustRightInd w:val="0"/>
        <w:spacing w:after="240" w:line="360" w:lineRule="auto"/>
        <w:rPr>
          <w:rFonts w:asciiTheme="majorHAnsi" w:eastAsiaTheme="minorEastAsia" w:hAnsiTheme="majorHAnsi" w:cs="Arial"/>
          <w:lang w:eastAsia="it-IT"/>
        </w:rPr>
      </w:pPr>
      <w:r w:rsidRPr="006C0623">
        <w:rPr>
          <w:rFonts w:asciiTheme="majorHAnsi" w:eastAsiaTheme="minorEastAsia" w:hAnsiTheme="majorHAnsi" w:cs="Arial"/>
          <w:lang w:eastAsia="it-IT"/>
        </w:rPr>
        <w:t>Any treatment with an investigational agent in the previous 60 days before study entry</w:t>
      </w:r>
    </w:p>
    <w:p w:rsidR="00C11D40" w:rsidRPr="0082174C" w:rsidRDefault="00C11D40" w:rsidP="00487DFD">
      <w:pPr>
        <w:pStyle w:val="ListParagraph"/>
        <w:widowControl w:val="0"/>
        <w:numPr>
          <w:ilvl w:val="0"/>
          <w:numId w:val="4"/>
        </w:numPr>
        <w:autoSpaceDE w:val="0"/>
        <w:autoSpaceDN w:val="0"/>
        <w:adjustRightInd w:val="0"/>
        <w:spacing w:after="240" w:line="360" w:lineRule="auto"/>
        <w:rPr>
          <w:rFonts w:asciiTheme="majorHAnsi" w:eastAsiaTheme="minorEastAsia" w:hAnsiTheme="majorHAnsi" w:cs="Arial"/>
          <w:lang w:eastAsia="it-IT"/>
        </w:rPr>
      </w:pPr>
      <w:r w:rsidRPr="0082174C">
        <w:rPr>
          <w:rFonts w:asciiTheme="majorHAnsi" w:eastAsiaTheme="minorEastAsia" w:hAnsiTheme="majorHAnsi" w:cs="Verdana"/>
          <w:lang w:eastAsia="it-IT"/>
        </w:rPr>
        <w:t>Women of child-bearing potential, defined as all women less than 1 year postmenopausal or less than 6 weeks since sterilization (further definition can be found in Section 12.7) at Baseline, unless they are using highly effective methods of contraception during dosing of study treatment.Effective contraception methods include:</w:t>
      </w:r>
    </w:p>
    <w:p w:rsidR="002144A6" w:rsidRPr="00487DFD" w:rsidRDefault="002144A6" w:rsidP="00487DFD">
      <w:pPr>
        <w:pStyle w:val="ListParagraph"/>
        <w:widowControl w:val="0"/>
        <w:autoSpaceDE w:val="0"/>
        <w:autoSpaceDN w:val="0"/>
        <w:adjustRightInd w:val="0"/>
        <w:spacing w:after="240" w:line="360" w:lineRule="auto"/>
        <w:rPr>
          <w:rFonts w:asciiTheme="majorHAnsi" w:eastAsiaTheme="minorEastAsia" w:hAnsiTheme="majorHAnsi" w:cs="Arial"/>
          <w:highlight w:val="red"/>
          <w:lang w:eastAsia="it-IT"/>
        </w:rPr>
      </w:pPr>
    </w:p>
    <w:p w:rsidR="002144A6" w:rsidRPr="0082174C" w:rsidRDefault="00C11D40" w:rsidP="00487DFD">
      <w:pPr>
        <w:pStyle w:val="ListParagraph"/>
        <w:widowControl w:val="0"/>
        <w:numPr>
          <w:ilvl w:val="0"/>
          <w:numId w:val="26"/>
        </w:numPr>
        <w:autoSpaceDE w:val="0"/>
        <w:autoSpaceDN w:val="0"/>
        <w:adjustRightInd w:val="0"/>
        <w:spacing w:line="360" w:lineRule="auto"/>
        <w:rPr>
          <w:rFonts w:asciiTheme="majorHAnsi" w:eastAsiaTheme="minorEastAsia" w:hAnsiTheme="majorHAnsi" w:cs="Verdana"/>
          <w:lang w:eastAsia="it-IT"/>
        </w:rPr>
      </w:pPr>
      <w:r w:rsidRPr="0082174C">
        <w:rPr>
          <w:rFonts w:asciiTheme="majorHAnsi" w:eastAsiaTheme="minorEastAsia" w:hAnsiTheme="majorHAnsi" w:cs="Verdana"/>
          <w:lang w:eastAsia="it-IT"/>
        </w:rPr>
        <w:t xml:space="preserve">Total abstinence (when this is in line with the preferred and usual lifestyle of the subject). Periodic abstinence (eg, calendar, ovulation, symptothermal, postovulation </w:t>
      </w:r>
      <w:r w:rsidRPr="0082174C">
        <w:rPr>
          <w:rFonts w:asciiTheme="majorHAnsi" w:eastAsiaTheme="minorEastAsia" w:hAnsiTheme="majorHAnsi" w:cs="Verdana"/>
          <w:lang w:eastAsia="it-IT"/>
        </w:rPr>
        <w:lastRenderedPageBreak/>
        <w:t>methods) and withdrawal are not acceptable methods of contraception</w:t>
      </w:r>
    </w:p>
    <w:p w:rsidR="002144A6" w:rsidRPr="0082174C" w:rsidRDefault="00C11D40" w:rsidP="00487DFD">
      <w:pPr>
        <w:pStyle w:val="ListParagraph"/>
        <w:widowControl w:val="0"/>
        <w:numPr>
          <w:ilvl w:val="0"/>
          <w:numId w:val="26"/>
        </w:numPr>
        <w:autoSpaceDE w:val="0"/>
        <w:autoSpaceDN w:val="0"/>
        <w:adjustRightInd w:val="0"/>
        <w:spacing w:line="360" w:lineRule="auto"/>
        <w:rPr>
          <w:rFonts w:asciiTheme="majorHAnsi" w:eastAsiaTheme="minorEastAsia" w:hAnsiTheme="majorHAnsi" w:cs="Verdana"/>
          <w:lang w:eastAsia="it-IT"/>
        </w:rPr>
      </w:pPr>
      <w:r w:rsidRPr="0082174C">
        <w:rPr>
          <w:rFonts w:asciiTheme="majorHAnsi" w:eastAsiaTheme="minorEastAsia" w:hAnsiTheme="majorHAnsi" w:cs="Verdana"/>
          <w:lang w:eastAsia="it-IT"/>
        </w:rPr>
        <w:t>Female sterilization (have had surgical bilateral oophorectomy with or without hysterectomy) or</w:t>
      </w:r>
      <w:r w:rsidR="002144A6" w:rsidRPr="0082174C">
        <w:rPr>
          <w:rFonts w:asciiTheme="majorHAnsi" w:eastAsiaTheme="minorEastAsia" w:hAnsiTheme="majorHAnsi" w:cs="Verdana"/>
          <w:lang w:eastAsia="it-IT"/>
        </w:rPr>
        <w:t xml:space="preserve"> </w:t>
      </w:r>
      <w:r w:rsidRPr="0082174C">
        <w:rPr>
          <w:rFonts w:asciiTheme="majorHAnsi" w:eastAsiaTheme="minorEastAsia" w:hAnsiTheme="majorHAnsi" w:cs="Verdana"/>
          <w:lang w:eastAsia="it-IT"/>
        </w:rPr>
        <w:t>tubal ligation at least 6 weeks before Baseline. In case of oophorectomy alone, only when the</w:t>
      </w:r>
      <w:r w:rsidR="002144A6" w:rsidRPr="0082174C">
        <w:rPr>
          <w:rFonts w:asciiTheme="majorHAnsi" w:eastAsiaTheme="minorEastAsia" w:hAnsiTheme="majorHAnsi" w:cs="Verdana"/>
          <w:lang w:eastAsia="it-IT"/>
        </w:rPr>
        <w:t xml:space="preserve"> </w:t>
      </w:r>
      <w:r w:rsidRPr="0082174C">
        <w:rPr>
          <w:rFonts w:asciiTheme="majorHAnsi" w:eastAsiaTheme="minorEastAsia" w:hAnsiTheme="majorHAnsi" w:cs="Verdana"/>
          <w:lang w:eastAsia="it-IT"/>
        </w:rPr>
        <w:t>reproductive status of the woman has been confirmed by follow up hormone level assessment</w:t>
      </w:r>
    </w:p>
    <w:p w:rsidR="002144A6" w:rsidRPr="0082174C" w:rsidRDefault="00C11D40" w:rsidP="00487DFD">
      <w:pPr>
        <w:pStyle w:val="ListParagraph"/>
        <w:widowControl w:val="0"/>
        <w:numPr>
          <w:ilvl w:val="0"/>
          <w:numId w:val="26"/>
        </w:numPr>
        <w:autoSpaceDE w:val="0"/>
        <w:autoSpaceDN w:val="0"/>
        <w:adjustRightInd w:val="0"/>
        <w:spacing w:line="360" w:lineRule="auto"/>
        <w:rPr>
          <w:rFonts w:asciiTheme="majorHAnsi" w:eastAsiaTheme="minorEastAsia" w:hAnsiTheme="majorHAnsi" w:cs="Verdana"/>
          <w:lang w:eastAsia="it-IT"/>
        </w:rPr>
      </w:pPr>
      <w:r w:rsidRPr="0082174C">
        <w:rPr>
          <w:rFonts w:asciiTheme="majorHAnsi" w:eastAsiaTheme="minorEastAsia" w:hAnsiTheme="majorHAnsi" w:cs="Verdana"/>
          <w:lang w:eastAsia="it-IT"/>
        </w:rPr>
        <w:t>Male sterilization (at least 6 months prior to Baseline). For female subjects in the study, the</w:t>
      </w:r>
      <w:r w:rsidR="002144A6" w:rsidRPr="0082174C">
        <w:rPr>
          <w:rFonts w:asciiTheme="majorHAnsi" w:eastAsiaTheme="minorEastAsia" w:hAnsiTheme="majorHAnsi" w:cs="Verdana"/>
          <w:lang w:eastAsia="it-IT"/>
        </w:rPr>
        <w:t xml:space="preserve"> </w:t>
      </w:r>
      <w:r w:rsidRPr="0082174C">
        <w:rPr>
          <w:rFonts w:asciiTheme="majorHAnsi" w:eastAsiaTheme="minorEastAsia" w:hAnsiTheme="majorHAnsi" w:cs="Verdana"/>
          <w:lang w:eastAsia="it-IT"/>
        </w:rPr>
        <w:t>vasectomized male partner should be the sole partner for that subject</w:t>
      </w:r>
    </w:p>
    <w:p w:rsidR="002144A6" w:rsidRPr="0082174C" w:rsidRDefault="00C11D40" w:rsidP="00487DFD">
      <w:pPr>
        <w:pStyle w:val="ListParagraph"/>
        <w:widowControl w:val="0"/>
        <w:numPr>
          <w:ilvl w:val="0"/>
          <w:numId w:val="26"/>
        </w:numPr>
        <w:autoSpaceDE w:val="0"/>
        <w:autoSpaceDN w:val="0"/>
        <w:adjustRightInd w:val="0"/>
        <w:spacing w:line="360" w:lineRule="auto"/>
        <w:rPr>
          <w:rFonts w:asciiTheme="majorHAnsi" w:eastAsiaTheme="minorEastAsia" w:hAnsiTheme="majorHAnsi" w:cs="Verdana"/>
          <w:lang w:eastAsia="it-IT"/>
        </w:rPr>
      </w:pPr>
      <w:r w:rsidRPr="0082174C">
        <w:rPr>
          <w:rFonts w:asciiTheme="majorHAnsi" w:eastAsiaTheme="minorEastAsia" w:hAnsiTheme="majorHAnsi" w:cs="Verdana"/>
          <w:lang w:eastAsia="it-IT"/>
        </w:rPr>
        <w:t>Use of oral, injected or implanted hormonal methods of contraception or other forms of</w:t>
      </w:r>
      <w:r w:rsidR="002144A6" w:rsidRPr="0082174C">
        <w:rPr>
          <w:rFonts w:asciiTheme="majorHAnsi" w:eastAsiaTheme="minorEastAsia" w:hAnsiTheme="majorHAnsi" w:cs="Verdana"/>
          <w:lang w:eastAsia="it-IT"/>
        </w:rPr>
        <w:t xml:space="preserve"> </w:t>
      </w:r>
      <w:r w:rsidRPr="0082174C">
        <w:rPr>
          <w:rFonts w:asciiTheme="majorHAnsi" w:eastAsiaTheme="minorEastAsia" w:hAnsiTheme="majorHAnsi" w:cs="Verdana"/>
          <w:lang w:eastAsia="it-IT"/>
        </w:rPr>
        <w:t>hormonal contraception that have comparable efficacy (failure rate &lt; 1%), for example hormone</w:t>
      </w:r>
      <w:r w:rsidR="002144A6" w:rsidRPr="0082174C">
        <w:rPr>
          <w:rFonts w:asciiTheme="majorHAnsi" w:eastAsiaTheme="minorEastAsia" w:hAnsiTheme="majorHAnsi" w:cs="Verdana"/>
          <w:lang w:eastAsia="it-IT"/>
        </w:rPr>
        <w:t xml:space="preserve"> </w:t>
      </w:r>
      <w:r w:rsidRPr="0082174C">
        <w:rPr>
          <w:rFonts w:asciiTheme="majorHAnsi" w:eastAsiaTheme="minorEastAsia" w:hAnsiTheme="majorHAnsi" w:cs="Verdana"/>
          <w:lang w:eastAsia="it-IT"/>
        </w:rPr>
        <w:t>vaginal ring or transdermal hormone contraception</w:t>
      </w:r>
    </w:p>
    <w:p w:rsidR="00C11D40" w:rsidRPr="0082174C" w:rsidRDefault="00C11D40" w:rsidP="00487DFD">
      <w:pPr>
        <w:pStyle w:val="ListParagraph"/>
        <w:widowControl w:val="0"/>
        <w:numPr>
          <w:ilvl w:val="0"/>
          <w:numId w:val="26"/>
        </w:numPr>
        <w:autoSpaceDE w:val="0"/>
        <w:autoSpaceDN w:val="0"/>
        <w:adjustRightInd w:val="0"/>
        <w:spacing w:line="360" w:lineRule="auto"/>
        <w:rPr>
          <w:rFonts w:asciiTheme="majorHAnsi" w:eastAsiaTheme="minorEastAsia" w:hAnsiTheme="majorHAnsi" w:cs="Verdana"/>
          <w:lang w:eastAsia="it-IT"/>
        </w:rPr>
      </w:pPr>
      <w:r w:rsidRPr="0082174C">
        <w:rPr>
          <w:rFonts w:asciiTheme="majorHAnsi" w:eastAsiaTheme="minorEastAsia" w:hAnsiTheme="majorHAnsi" w:cs="Verdana"/>
          <w:lang w:eastAsia="it-IT"/>
        </w:rPr>
        <w:t>Placement of an intrauterine device (IUD) or intrauterine system (IUS)</w:t>
      </w:r>
    </w:p>
    <w:p w:rsidR="00C11D40" w:rsidRPr="00487DFD" w:rsidRDefault="00C11D40" w:rsidP="00487DFD">
      <w:pPr>
        <w:widowControl w:val="0"/>
        <w:autoSpaceDE w:val="0"/>
        <w:autoSpaceDN w:val="0"/>
        <w:adjustRightInd w:val="0"/>
        <w:spacing w:line="360" w:lineRule="auto"/>
        <w:rPr>
          <w:rFonts w:asciiTheme="majorHAnsi" w:eastAsiaTheme="minorEastAsia" w:hAnsiTheme="majorHAnsi" w:cs="Verdana"/>
          <w:lang w:eastAsia="it-IT"/>
        </w:rPr>
      </w:pPr>
    </w:p>
    <w:p w:rsidR="00C11D40" w:rsidRPr="00487DFD" w:rsidRDefault="00C11D40" w:rsidP="00487DFD">
      <w:pPr>
        <w:pStyle w:val="ListParagraph"/>
        <w:widowControl w:val="0"/>
        <w:numPr>
          <w:ilvl w:val="0"/>
          <w:numId w:val="24"/>
        </w:numPr>
        <w:autoSpaceDE w:val="0"/>
        <w:autoSpaceDN w:val="0"/>
        <w:adjustRightInd w:val="0"/>
        <w:spacing w:after="240" w:line="360" w:lineRule="auto"/>
        <w:rPr>
          <w:rFonts w:asciiTheme="majorHAnsi" w:eastAsiaTheme="minorEastAsia" w:hAnsiTheme="majorHAnsi" w:cs="Arial"/>
          <w:lang w:eastAsia="it-IT"/>
        </w:rPr>
      </w:pPr>
      <w:r w:rsidRPr="00487DFD">
        <w:rPr>
          <w:rFonts w:asciiTheme="majorHAnsi" w:eastAsiaTheme="minorEastAsia" w:hAnsiTheme="majorHAnsi" w:cs="Verdana"/>
          <w:lang w:eastAsia="it-IT"/>
        </w:rPr>
        <w:t>Participation in an investigational drug, biologic, or device study within 6 Months prior to Baseline [Note: observational clinical studies solely involving over-the-counter vitamins, supplements, or diets are not exclusionary</w:t>
      </w:r>
    </w:p>
    <w:p w:rsidR="00C11D40" w:rsidRPr="00487DFD" w:rsidRDefault="00C11D40" w:rsidP="00487DFD">
      <w:pPr>
        <w:pStyle w:val="ListParagraph"/>
        <w:widowControl w:val="0"/>
        <w:autoSpaceDE w:val="0"/>
        <w:autoSpaceDN w:val="0"/>
        <w:adjustRightInd w:val="0"/>
        <w:spacing w:line="360" w:lineRule="auto"/>
        <w:rPr>
          <w:rFonts w:asciiTheme="majorHAnsi" w:eastAsiaTheme="minorEastAsia" w:hAnsiTheme="majorHAnsi" w:cs="Verdana"/>
          <w:lang w:eastAsia="it-IT"/>
        </w:rPr>
      </w:pPr>
    </w:p>
    <w:p w:rsidR="002144A6" w:rsidRPr="00487DFD" w:rsidRDefault="002144A6" w:rsidP="00487DFD">
      <w:pPr>
        <w:autoSpaceDE w:val="0"/>
        <w:autoSpaceDN w:val="0"/>
        <w:adjustRightInd w:val="0"/>
        <w:spacing w:line="360" w:lineRule="auto"/>
        <w:rPr>
          <w:rFonts w:asciiTheme="majorHAnsi" w:hAnsiTheme="majorHAnsi"/>
          <w:lang w:val="en-GB" w:eastAsia="it-IT"/>
        </w:rPr>
      </w:pPr>
      <w:r w:rsidRPr="00487DFD">
        <w:rPr>
          <w:rFonts w:asciiTheme="majorHAnsi" w:hAnsiTheme="majorHAnsi"/>
          <w:lang w:val="en-GB" w:eastAsia="it-IT"/>
        </w:rPr>
        <w:t>In cases where both eyes are eligible, the eye with the worse BCVA at Baseline will be selected as the study eye. If both eyes have the same BCVA, it is recommended to select the right eye as the study eye.</w:t>
      </w:r>
    </w:p>
    <w:p w:rsidR="00A22311" w:rsidRPr="00487DFD" w:rsidRDefault="002144A6" w:rsidP="00487DFD">
      <w:pPr>
        <w:spacing w:line="360" w:lineRule="auto"/>
        <w:rPr>
          <w:rFonts w:asciiTheme="majorHAnsi" w:hAnsiTheme="majorHAnsi"/>
        </w:rPr>
      </w:pPr>
      <w:r w:rsidRPr="003179E6">
        <w:rPr>
          <w:rFonts w:asciiTheme="majorHAnsi" w:eastAsiaTheme="minorEastAsia" w:hAnsiTheme="majorHAnsi"/>
          <w:color w:val="191919"/>
          <w:lang w:eastAsia="it-IT"/>
        </w:rPr>
        <w:t> </w:t>
      </w:r>
    </w:p>
    <w:p w:rsidR="00797F05" w:rsidRPr="00487DFD" w:rsidRDefault="00797F05" w:rsidP="00487DFD">
      <w:pPr>
        <w:autoSpaceDE w:val="0"/>
        <w:autoSpaceDN w:val="0"/>
        <w:adjustRightInd w:val="0"/>
        <w:spacing w:line="360" w:lineRule="auto"/>
        <w:rPr>
          <w:rFonts w:asciiTheme="majorHAnsi" w:hAnsiTheme="majorHAnsi"/>
        </w:rPr>
      </w:pPr>
      <w:bookmarkStart w:id="34" w:name="_Toc324107855"/>
      <w:bookmarkStart w:id="35" w:name="_Toc224986883"/>
      <w:bookmarkStart w:id="36" w:name="_Toc232177661"/>
      <w:bookmarkStart w:id="37" w:name="_Toc269803196"/>
    </w:p>
    <w:p w:rsidR="00A22311" w:rsidRPr="00487DFD" w:rsidRDefault="00A22311" w:rsidP="00487DFD">
      <w:pPr>
        <w:pStyle w:val="Heading3"/>
        <w:spacing w:line="360" w:lineRule="auto"/>
        <w:rPr>
          <w:rFonts w:asciiTheme="majorHAnsi" w:hAnsiTheme="majorHAnsi"/>
        </w:rPr>
      </w:pPr>
      <w:r w:rsidRPr="00487DFD">
        <w:rPr>
          <w:rFonts w:asciiTheme="majorHAnsi" w:hAnsiTheme="majorHAnsi"/>
        </w:rPr>
        <w:t>Withdrawal Criteria</w:t>
      </w:r>
      <w:bookmarkEnd w:id="34"/>
      <w:r w:rsidR="00797F05" w:rsidRPr="00487DFD">
        <w:rPr>
          <w:rFonts w:asciiTheme="majorHAnsi" w:hAnsiTheme="majorHAnsi"/>
        </w:rPr>
        <w:t xml:space="preserve"> </w:t>
      </w:r>
    </w:p>
    <w:p w:rsidR="00797F05" w:rsidRPr="00487DFD" w:rsidRDefault="00797F05" w:rsidP="00487DFD">
      <w:pPr>
        <w:pStyle w:val="ListParagraph"/>
        <w:autoSpaceDE w:val="0"/>
        <w:autoSpaceDN w:val="0"/>
        <w:adjustRightInd w:val="0"/>
        <w:spacing w:line="360" w:lineRule="auto"/>
        <w:rPr>
          <w:rFonts w:asciiTheme="majorHAnsi" w:hAnsiTheme="majorHAnsi"/>
        </w:rPr>
      </w:pPr>
    </w:p>
    <w:p w:rsidR="00A22311" w:rsidRPr="00487DFD" w:rsidRDefault="00A22311" w:rsidP="00487DFD">
      <w:pPr>
        <w:autoSpaceDE w:val="0"/>
        <w:autoSpaceDN w:val="0"/>
        <w:adjustRightInd w:val="0"/>
        <w:spacing w:line="360" w:lineRule="auto"/>
        <w:rPr>
          <w:rFonts w:asciiTheme="majorHAnsi" w:hAnsiTheme="majorHAnsi"/>
          <w:lang w:val="en-GB" w:eastAsia="it-IT"/>
        </w:rPr>
      </w:pPr>
      <w:r w:rsidRPr="00487DFD">
        <w:rPr>
          <w:rFonts w:asciiTheme="majorHAnsi" w:hAnsiTheme="majorHAnsi"/>
          <w:lang w:val="en-GB" w:eastAsia="it-IT"/>
        </w:rPr>
        <w:t>Subjects have the right to withdraw from the study at any time, for any reason, without</w:t>
      </w:r>
    </w:p>
    <w:p w:rsidR="00A22311" w:rsidRPr="00487DFD" w:rsidRDefault="00A22311" w:rsidP="00487DFD">
      <w:pPr>
        <w:autoSpaceDE w:val="0"/>
        <w:autoSpaceDN w:val="0"/>
        <w:adjustRightInd w:val="0"/>
        <w:spacing w:line="360" w:lineRule="auto"/>
        <w:rPr>
          <w:rFonts w:asciiTheme="majorHAnsi" w:hAnsiTheme="majorHAnsi"/>
          <w:lang w:val="en-GB" w:eastAsia="it-IT"/>
        </w:rPr>
      </w:pPr>
      <w:r w:rsidRPr="00487DFD">
        <w:rPr>
          <w:rFonts w:asciiTheme="majorHAnsi" w:hAnsiTheme="majorHAnsi"/>
          <w:lang w:val="en-GB" w:eastAsia="it-IT"/>
        </w:rPr>
        <w:t>jeopardizing their medical care. Where possible, subjects will be followed for safety and</w:t>
      </w:r>
    </w:p>
    <w:p w:rsidR="00A22311" w:rsidRPr="00487DFD" w:rsidRDefault="00A22311" w:rsidP="00487DFD">
      <w:pPr>
        <w:autoSpaceDE w:val="0"/>
        <w:autoSpaceDN w:val="0"/>
        <w:adjustRightInd w:val="0"/>
        <w:spacing w:line="360" w:lineRule="auto"/>
        <w:rPr>
          <w:rFonts w:asciiTheme="majorHAnsi" w:hAnsiTheme="majorHAnsi"/>
          <w:lang w:val="en-GB" w:eastAsia="it-IT"/>
        </w:rPr>
      </w:pPr>
      <w:r w:rsidRPr="00487DFD">
        <w:rPr>
          <w:rFonts w:asciiTheme="majorHAnsi" w:hAnsiTheme="majorHAnsi"/>
          <w:lang w:val="en-GB" w:eastAsia="it-IT"/>
        </w:rPr>
        <w:t>encouraged to return for follow-up visits for any unresolved safety events.</w:t>
      </w:r>
    </w:p>
    <w:p w:rsidR="00A22311" w:rsidRPr="00487DFD" w:rsidRDefault="00A22311" w:rsidP="00487DFD">
      <w:pPr>
        <w:autoSpaceDE w:val="0"/>
        <w:autoSpaceDN w:val="0"/>
        <w:adjustRightInd w:val="0"/>
        <w:spacing w:line="360" w:lineRule="auto"/>
        <w:rPr>
          <w:rFonts w:asciiTheme="majorHAnsi" w:hAnsiTheme="majorHAnsi"/>
          <w:lang w:val="en-GB" w:eastAsia="it-IT"/>
        </w:rPr>
      </w:pPr>
      <w:r w:rsidRPr="00487DFD">
        <w:rPr>
          <w:rFonts w:asciiTheme="majorHAnsi" w:hAnsiTheme="majorHAnsi"/>
          <w:lang w:val="en-GB" w:eastAsia="it-IT"/>
        </w:rPr>
        <w:t>Subjects who withdraw from the study for any reason at any time will not be replaced.</w:t>
      </w:r>
    </w:p>
    <w:p w:rsidR="00A22311" w:rsidRPr="00487DFD" w:rsidRDefault="00A22311" w:rsidP="00487DFD">
      <w:pPr>
        <w:autoSpaceDE w:val="0"/>
        <w:autoSpaceDN w:val="0"/>
        <w:adjustRightInd w:val="0"/>
        <w:spacing w:line="360" w:lineRule="auto"/>
        <w:rPr>
          <w:rFonts w:asciiTheme="majorHAnsi" w:hAnsiTheme="majorHAnsi"/>
          <w:lang w:val="en-GB" w:eastAsia="it-IT"/>
        </w:rPr>
      </w:pPr>
      <w:r w:rsidRPr="00487DFD">
        <w:rPr>
          <w:rFonts w:asciiTheme="majorHAnsi" w:hAnsiTheme="majorHAnsi"/>
          <w:lang w:val="en-GB" w:eastAsia="it-IT"/>
        </w:rPr>
        <w:t xml:space="preserve">Subjects who voluntarily withdraw from the study prior to the </w:t>
      </w:r>
      <w:r w:rsidR="00697EFC">
        <w:rPr>
          <w:rFonts w:asciiTheme="majorHAnsi" w:hAnsiTheme="majorHAnsi"/>
          <w:lang w:val="en-GB" w:eastAsia="it-IT"/>
        </w:rPr>
        <w:t>Week 12</w:t>
      </w:r>
      <w:r w:rsidR="00D70D5B" w:rsidRPr="00487DFD">
        <w:rPr>
          <w:rFonts w:asciiTheme="majorHAnsi" w:hAnsiTheme="majorHAnsi"/>
          <w:lang w:val="en-GB" w:eastAsia="it-IT"/>
        </w:rPr>
        <w:t xml:space="preserve"> Visit (EOS) </w:t>
      </w:r>
      <w:r w:rsidRPr="00487DFD">
        <w:rPr>
          <w:rFonts w:asciiTheme="majorHAnsi" w:hAnsiTheme="majorHAnsi"/>
          <w:lang w:val="en-GB" w:eastAsia="it-IT"/>
        </w:rPr>
        <w:t>will be</w:t>
      </w:r>
    </w:p>
    <w:p w:rsidR="00A22311" w:rsidRPr="00487DFD" w:rsidRDefault="00A22311" w:rsidP="00487DFD">
      <w:pPr>
        <w:spacing w:line="360" w:lineRule="auto"/>
        <w:rPr>
          <w:rFonts w:asciiTheme="majorHAnsi" w:hAnsiTheme="majorHAnsi"/>
          <w:lang w:val="en-GB"/>
        </w:rPr>
      </w:pPr>
      <w:r w:rsidRPr="00487DFD">
        <w:rPr>
          <w:rFonts w:asciiTheme="majorHAnsi" w:hAnsiTheme="majorHAnsi"/>
          <w:lang w:val="en-GB" w:eastAsia="it-IT"/>
        </w:rPr>
        <w:t>asked to complete all pro</w:t>
      </w:r>
      <w:r w:rsidR="00697EFC">
        <w:rPr>
          <w:rFonts w:asciiTheme="majorHAnsi" w:hAnsiTheme="majorHAnsi"/>
          <w:lang w:val="en-GB" w:eastAsia="it-IT"/>
        </w:rPr>
        <w:t>cedures outlined in the Week 12</w:t>
      </w:r>
      <w:r w:rsidRPr="00487DFD">
        <w:rPr>
          <w:rFonts w:asciiTheme="majorHAnsi" w:hAnsiTheme="majorHAnsi"/>
          <w:lang w:val="en-GB" w:eastAsia="it-IT"/>
        </w:rPr>
        <w:t xml:space="preserve"> visit.</w:t>
      </w:r>
    </w:p>
    <w:p w:rsidR="00A22311" w:rsidRPr="00487DFD" w:rsidRDefault="00A22311" w:rsidP="00487DFD">
      <w:pPr>
        <w:pStyle w:val="Heading2"/>
        <w:tabs>
          <w:tab w:val="num" w:pos="0"/>
          <w:tab w:val="left" w:pos="600"/>
        </w:tabs>
        <w:spacing w:before="360" w:after="240" w:line="360" w:lineRule="auto"/>
        <w:ind w:left="936"/>
        <w:jc w:val="left"/>
        <w:rPr>
          <w:rFonts w:asciiTheme="majorHAnsi" w:hAnsiTheme="majorHAnsi"/>
          <w:sz w:val="24"/>
          <w:szCs w:val="24"/>
        </w:rPr>
      </w:pPr>
      <w:r w:rsidRPr="00487DFD">
        <w:rPr>
          <w:rFonts w:asciiTheme="majorHAnsi" w:hAnsiTheme="majorHAnsi"/>
          <w:sz w:val="24"/>
          <w:szCs w:val="24"/>
        </w:rPr>
        <w:lastRenderedPageBreak/>
        <w:t xml:space="preserve"> </w:t>
      </w:r>
      <w:bookmarkStart w:id="38" w:name="_Toc324107856"/>
      <w:r w:rsidRPr="00487DFD">
        <w:rPr>
          <w:rFonts w:asciiTheme="majorHAnsi" w:hAnsiTheme="majorHAnsi"/>
          <w:sz w:val="24"/>
          <w:szCs w:val="24"/>
        </w:rPr>
        <w:t>Compliance with Standards</w:t>
      </w:r>
      <w:bookmarkEnd w:id="35"/>
      <w:bookmarkEnd w:id="36"/>
      <w:bookmarkEnd w:id="37"/>
      <w:bookmarkEnd w:id="38"/>
    </w:p>
    <w:p w:rsidR="00A22311" w:rsidRPr="00487DFD" w:rsidRDefault="00A22311" w:rsidP="00487DFD">
      <w:pPr>
        <w:spacing w:line="360" w:lineRule="auto"/>
        <w:jc w:val="both"/>
        <w:rPr>
          <w:rFonts w:asciiTheme="majorHAnsi" w:hAnsiTheme="majorHAnsi"/>
        </w:rPr>
      </w:pPr>
      <w:r w:rsidRPr="00487DFD">
        <w:rPr>
          <w:rFonts w:asciiTheme="majorHAnsi" w:hAnsiTheme="majorHAnsi"/>
        </w:rPr>
        <w:t xml:space="preserve">This study will be conducted in accordance with applicable state, national, and international standards. </w:t>
      </w:r>
      <w:r w:rsidR="00D70D5B" w:rsidRPr="00487DFD">
        <w:rPr>
          <w:rFonts w:asciiTheme="majorHAnsi" w:hAnsiTheme="majorHAnsi"/>
        </w:rPr>
        <w:t xml:space="preserve">The Istitution </w:t>
      </w:r>
      <w:r w:rsidRPr="00487DFD">
        <w:rPr>
          <w:rFonts w:asciiTheme="majorHAnsi" w:hAnsiTheme="majorHAnsi"/>
        </w:rPr>
        <w:t xml:space="preserve">will have attained the appropriate </w:t>
      </w:r>
      <w:r w:rsidR="00D70D5B" w:rsidRPr="00487DFD">
        <w:rPr>
          <w:rFonts w:asciiTheme="majorHAnsi" w:hAnsiTheme="majorHAnsi"/>
        </w:rPr>
        <w:t>state</w:t>
      </w:r>
      <w:r w:rsidRPr="00487DFD">
        <w:rPr>
          <w:rFonts w:asciiTheme="majorHAnsi" w:hAnsiTheme="majorHAnsi"/>
        </w:rPr>
        <w:t xml:space="preserve"> and local licensing requirements permitting the utilization of </w:t>
      </w:r>
      <w:r w:rsidR="00D70D5B" w:rsidRPr="00487DFD">
        <w:rPr>
          <w:rFonts w:asciiTheme="majorHAnsi" w:hAnsiTheme="majorHAnsi"/>
        </w:rPr>
        <w:t>Pascal Synthesis 577</w:t>
      </w:r>
      <w:r w:rsidRPr="00487DFD">
        <w:rPr>
          <w:rFonts w:asciiTheme="majorHAnsi" w:hAnsiTheme="majorHAnsi"/>
        </w:rPr>
        <w:t xml:space="preserve"> syste</w:t>
      </w:r>
      <w:r w:rsidR="00D70D5B" w:rsidRPr="00487DFD">
        <w:rPr>
          <w:rFonts w:asciiTheme="majorHAnsi" w:hAnsiTheme="majorHAnsi"/>
        </w:rPr>
        <w:t>m</w:t>
      </w:r>
      <w:r w:rsidRPr="00487DFD">
        <w:rPr>
          <w:rFonts w:asciiTheme="majorHAnsi" w:hAnsiTheme="majorHAnsi"/>
        </w:rPr>
        <w:t>. Personnel wi</w:t>
      </w:r>
      <w:r w:rsidR="00615B2D" w:rsidRPr="00487DFD">
        <w:rPr>
          <w:rFonts w:asciiTheme="majorHAnsi" w:hAnsiTheme="majorHAnsi"/>
        </w:rPr>
        <w:t xml:space="preserve">ll be licensed to operate laser </w:t>
      </w:r>
      <w:r w:rsidRPr="00487DFD">
        <w:rPr>
          <w:rFonts w:asciiTheme="majorHAnsi" w:hAnsiTheme="majorHAnsi"/>
        </w:rPr>
        <w:t>equipment as req</w:t>
      </w:r>
      <w:r w:rsidR="00615B2D" w:rsidRPr="00487DFD">
        <w:rPr>
          <w:rFonts w:asciiTheme="majorHAnsi" w:hAnsiTheme="majorHAnsi"/>
        </w:rPr>
        <w:t xml:space="preserve">uired by applicable </w:t>
      </w:r>
      <w:r w:rsidRPr="00487DFD">
        <w:rPr>
          <w:rFonts w:asciiTheme="majorHAnsi" w:hAnsiTheme="majorHAnsi"/>
        </w:rPr>
        <w:t xml:space="preserve">state regulations. </w:t>
      </w:r>
    </w:p>
    <w:p w:rsidR="00A22311" w:rsidRPr="00487DFD" w:rsidRDefault="00A22311" w:rsidP="00487DFD">
      <w:pPr>
        <w:spacing w:line="360" w:lineRule="auto"/>
        <w:jc w:val="both"/>
        <w:rPr>
          <w:rFonts w:asciiTheme="majorHAnsi" w:hAnsiTheme="majorHAnsi"/>
        </w:rPr>
      </w:pPr>
      <w:r w:rsidRPr="00487DFD">
        <w:rPr>
          <w:rFonts w:asciiTheme="majorHAnsi" w:hAnsiTheme="majorHAnsi"/>
        </w:rPr>
        <w:t xml:space="preserve">The </w:t>
      </w:r>
      <w:r w:rsidR="00615B2D" w:rsidRPr="00487DFD">
        <w:rPr>
          <w:rFonts w:asciiTheme="majorHAnsi" w:hAnsiTheme="majorHAnsi"/>
        </w:rPr>
        <w:t xml:space="preserve">Pascal Synthesis 577 system </w:t>
      </w:r>
      <w:r w:rsidRPr="00487DFD">
        <w:rPr>
          <w:rFonts w:asciiTheme="majorHAnsi" w:hAnsiTheme="majorHAnsi"/>
        </w:rPr>
        <w:t xml:space="preserve">will be delivered by </w:t>
      </w:r>
      <w:r w:rsidR="00615B2D" w:rsidRPr="00487DFD">
        <w:rPr>
          <w:rFonts w:asciiTheme="majorHAnsi" w:hAnsiTheme="majorHAnsi"/>
        </w:rPr>
        <w:t>Topcon</w:t>
      </w:r>
      <w:r w:rsidRPr="00487DFD">
        <w:rPr>
          <w:rFonts w:asciiTheme="majorHAnsi" w:hAnsiTheme="majorHAnsi"/>
        </w:rPr>
        <w:t xml:space="preserve"> with an operating manual. During the study, </w:t>
      </w:r>
      <w:r w:rsidR="00615B2D" w:rsidRPr="00487DFD">
        <w:rPr>
          <w:rFonts w:asciiTheme="majorHAnsi" w:hAnsiTheme="majorHAnsi"/>
        </w:rPr>
        <w:t>Topcon</w:t>
      </w:r>
      <w:r w:rsidRPr="00487DFD">
        <w:rPr>
          <w:rFonts w:asciiTheme="majorHAnsi" w:hAnsiTheme="majorHAnsi"/>
        </w:rPr>
        <w:t xml:space="preserve"> personnel will be available as needed to support the investigators. In addition, investigators will undergo training on </w:t>
      </w:r>
      <w:r w:rsidR="00615B2D" w:rsidRPr="00487DFD">
        <w:rPr>
          <w:rFonts w:asciiTheme="majorHAnsi" w:hAnsiTheme="majorHAnsi"/>
        </w:rPr>
        <w:t xml:space="preserve">Pascal Synthesis 577 system </w:t>
      </w:r>
      <w:r w:rsidRPr="00487DFD">
        <w:rPr>
          <w:rFonts w:asciiTheme="majorHAnsi" w:hAnsiTheme="majorHAnsi"/>
        </w:rPr>
        <w:t>operation prior to study initiation.</w:t>
      </w:r>
    </w:p>
    <w:p w:rsidR="00A22311" w:rsidRPr="00487DFD" w:rsidRDefault="00A22311" w:rsidP="00487DFD">
      <w:pPr>
        <w:pStyle w:val="Heading1"/>
        <w:spacing w:before="360" w:after="240" w:line="360" w:lineRule="auto"/>
        <w:rPr>
          <w:rFonts w:asciiTheme="majorHAnsi" w:hAnsiTheme="majorHAnsi"/>
          <w:sz w:val="24"/>
          <w:szCs w:val="24"/>
        </w:rPr>
      </w:pPr>
      <w:bookmarkStart w:id="39" w:name="_Toc183339654"/>
      <w:bookmarkStart w:id="40" w:name="_Toc183339741"/>
      <w:bookmarkStart w:id="41" w:name="_Toc183339833"/>
      <w:bookmarkStart w:id="42" w:name="_Toc183846964"/>
      <w:bookmarkStart w:id="43" w:name="_Toc224986885"/>
      <w:bookmarkStart w:id="44" w:name="_Toc232177663"/>
      <w:bookmarkStart w:id="45" w:name="_Toc269803197"/>
      <w:bookmarkStart w:id="46" w:name="_Toc324107857"/>
      <w:bookmarkStart w:id="47" w:name="_Toc194168463"/>
      <w:bookmarkEnd w:id="39"/>
      <w:bookmarkEnd w:id="40"/>
      <w:bookmarkEnd w:id="41"/>
      <w:bookmarkEnd w:id="42"/>
      <w:r w:rsidRPr="00487DFD">
        <w:rPr>
          <w:rFonts w:asciiTheme="majorHAnsi" w:hAnsiTheme="majorHAnsi"/>
          <w:sz w:val="24"/>
          <w:szCs w:val="24"/>
        </w:rPr>
        <w:t>STUDY TREATMENT</w:t>
      </w:r>
      <w:bookmarkEnd w:id="43"/>
      <w:bookmarkEnd w:id="44"/>
      <w:bookmarkEnd w:id="45"/>
      <w:bookmarkEnd w:id="46"/>
    </w:p>
    <w:p w:rsidR="00A22311" w:rsidRPr="00487DFD" w:rsidRDefault="00A22311" w:rsidP="00487DFD">
      <w:pPr>
        <w:pStyle w:val="Heading2"/>
        <w:tabs>
          <w:tab w:val="num" w:pos="0"/>
          <w:tab w:val="left" w:pos="600"/>
        </w:tabs>
        <w:spacing w:before="360" w:after="240" w:line="360" w:lineRule="auto"/>
        <w:ind w:left="936"/>
        <w:jc w:val="left"/>
        <w:rPr>
          <w:rFonts w:asciiTheme="majorHAnsi" w:hAnsiTheme="majorHAnsi"/>
          <w:sz w:val="24"/>
          <w:szCs w:val="24"/>
        </w:rPr>
      </w:pPr>
      <w:bookmarkStart w:id="48" w:name="_Toc224986886"/>
      <w:bookmarkStart w:id="49" w:name="_Toc232177664"/>
      <w:bookmarkStart w:id="50" w:name="_Toc269803198"/>
      <w:r w:rsidRPr="00487DFD">
        <w:rPr>
          <w:rFonts w:asciiTheme="majorHAnsi" w:hAnsiTheme="majorHAnsi"/>
          <w:sz w:val="24"/>
          <w:szCs w:val="24"/>
        </w:rPr>
        <w:t xml:space="preserve"> </w:t>
      </w:r>
      <w:bookmarkEnd w:id="48"/>
      <w:bookmarkEnd w:id="49"/>
      <w:bookmarkEnd w:id="50"/>
      <w:r w:rsidR="00797F05" w:rsidRPr="00487DFD">
        <w:rPr>
          <w:rFonts w:asciiTheme="majorHAnsi" w:hAnsiTheme="majorHAnsi"/>
          <w:sz w:val="24"/>
          <w:szCs w:val="24"/>
        </w:rPr>
        <w:t>Subthreshold laser treatment</w:t>
      </w:r>
    </w:p>
    <w:p w:rsidR="004E3753" w:rsidRPr="00487DFD" w:rsidRDefault="004E3753" w:rsidP="00487DFD">
      <w:pPr>
        <w:widowControl w:val="0"/>
        <w:autoSpaceDE w:val="0"/>
        <w:autoSpaceDN w:val="0"/>
        <w:adjustRightInd w:val="0"/>
        <w:spacing w:line="360" w:lineRule="auto"/>
        <w:rPr>
          <w:rFonts w:asciiTheme="majorHAnsi" w:eastAsiaTheme="minorEastAsia" w:hAnsiTheme="majorHAnsi" w:cs="Verdana"/>
          <w:lang w:eastAsia="it-IT"/>
        </w:rPr>
      </w:pPr>
      <w:r w:rsidRPr="00487DFD">
        <w:rPr>
          <w:rFonts w:asciiTheme="majorHAnsi" w:eastAsiaTheme="minorEastAsia" w:hAnsiTheme="majorHAnsi" w:cs="Verdana"/>
          <w:lang w:eastAsia="it-IT"/>
        </w:rPr>
        <w:t>PASCAL Streamline 577™ combines the optimum 577 nm wavelength with the most complete and comprehensive scanning laser configuration. The Streamline 577 offers ophthalmologists a far superior treatment solution.</w:t>
      </w:r>
    </w:p>
    <w:p w:rsidR="00CA745F" w:rsidRPr="00487DFD" w:rsidRDefault="00CA745F" w:rsidP="00487DFD">
      <w:pPr>
        <w:widowControl w:val="0"/>
        <w:autoSpaceDE w:val="0"/>
        <w:autoSpaceDN w:val="0"/>
        <w:adjustRightInd w:val="0"/>
        <w:spacing w:after="240" w:line="360" w:lineRule="auto"/>
        <w:rPr>
          <w:rFonts w:asciiTheme="majorHAnsi" w:eastAsiaTheme="minorEastAsia" w:hAnsiTheme="majorHAnsi" w:cs="Times"/>
          <w:lang w:eastAsia="it-IT"/>
        </w:rPr>
      </w:pPr>
      <w:r w:rsidRPr="00487DFD">
        <w:rPr>
          <w:rFonts w:asciiTheme="majorHAnsi" w:eastAsiaTheme="minorEastAsia" w:hAnsiTheme="majorHAnsi" w:cs="Times"/>
          <w:lang w:eastAsia="it-IT"/>
        </w:rPr>
        <w:t xml:space="preserve">The longer wavelength of the 577 better targets the RPE with less scatter than 532 or 561 nm lasers. The combined absorption by both melanin and the oxyhemoglobin makes the 577 more efficient. Energy is concentrated to a smaller volume allowing use of lower powers and shorter pulse durations. </w:t>
      </w:r>
    </w:p>
    <w:p w:rsidR="00CA745F" w:rsidRPr="00487DFD" w:rsidRDefault="00CA745F" w:rsidP="00487DFD">
      <w:pPr>
        <w:widowControl w:val="0"/>
        <w:autoSpaceDE w:val="0"/>
        <w:autoSpaceDN w:val="0"/>
        <w:adjustRightInd w:val="0"/>
        <w:spacing w:after="240" w:line="360" w:lineRule="auto"/>
        <w:rPr>
          <w:rFonts w:asciiTheme="majorHAnsi" w:eastAsiaTheme="minorEastAsia" w:hAnsiTheme="majorHAnsi" w:cs="Times"/>
          <w:color w:val="1A1718"/>
          <w:lang w:eastAsia="it-IT"/>
        </w:rPr>
      </w:pPr>
      <w:r w:rsidRPr="00487DFD">
        <w:rPr>
          <w:rFonts w:asciiTheme="majorHAnsi" w:eastAsiaTheme="minorEastAsia" w:hAnsiTheme="majorHAnsi" w:cs="Times"/>
          <w:noProof/>
          <w:lang w:val="en-IN" w:eastAsia="en-IN"/>
        </w:rPr>
        <w:drawing>
          <wp:anchor distT="0" distB="0" distL="114300" distR="114300" simplePos="0" relativeHeight="251659264" behindDoc="0" locked="0" layoutInCell="1" allowOverlap="1" wp14:anchorId="27F0A9B4" wp14:editId="56AB35E8">
            <wp:simplePos x="0" y="0"/>
            <wp:positionH relativeFrom="column">
              <wp:posOffset>0</wp:posOffset>
            </wp:positionH>
            <wp:positionV relativeFrom="paragraph">
              <wp:posOffset>130175</wp:posOffset>
            </wp:positionV>
            <wp:extent cx="5076190" cy="2507615"/>
            <wp:effectExtent l="0" t="0" r="3810" b="6985"/>
            <wp:wrapTopAndBottom/>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ta 2016-01-14 alle 09.49.18.png"/>
                    <pic:cNvPicPr/>
                  </pic:nvPicPr>
                  <pic:blipFill>
                    <a:blip r:embed="rId8">
                      <a:extLst>
                        <a:ext uri="{28A0092B-C50C-407E-A947-70E740481C1C}">
                          <a14:useLocalDpi xmlns:a14="http://schemas.microsoft.com/office/drawing/2010/main" val="0"/>
                        </a:ext>
                      </a:extLst>
                    </a:blip>
                    <a:stretch>
                      <a:fillRect/>
                    </a:stretch>
                  </pic:blipFill>
                  <pic:spPr>
                    <a:xfrm>
                      <a:off x="0" y="0"/>
                      <a:ext cx="5076190" cy="2507615"/>
                    </a:xfrm>
                    <a:prstGeom prst="rect">
                      <a:avLst/>
                    </a:prstGeom>
                  </pic:spPr>
                </pic:pic>
              </a:graphicData>
            </a:graphic>
            <wp14:sizeRelH relativeFrom="page">
              <wp14:pctWidth>0</wp14:pctWidth>
            </wp14:sizeRelH>
            <wp14:sizeRelV relativeFrom="page">
              <wp14:pctHeight>0</wp14:pctHeight>
            </wp14:sizeRelV>
          </wp:anchor>
        </w:drawing>
      </w:r>
    </w:p>
    <w:p w:rsidR="00CA745F" w:rsidRPr="00487DFD" w:rsidRDefault="00CA745F" w:rsidP="00487DFD">
      <w:pPr>
        <w:widowControl w:val="0"/>
        <w:autoSpaceDE w:val="0"/>
        <w:autoSpaceDN w:val="0"/>
        <w:adjustRightInd w:val="0"/>
        <w:spacing w:after="240" w:line="360" w:lineRule="auto"/>
        <w:rPr>
          <w:rFonts w:asciiTheme="majorHAnsi" w:eastAsiaTheme="minorEastAsia" w:hAnsiTheme="majorHAnsi" w:cs="Times"/>
          <w:lang w:eastAsia="it-IT"/>
        </w:rPr>
      </w:pPr>
      <w:r w:rsidRPr="00487DFD">
        <w:rPr>
          <w:rFonts w:asciiTheme="majorHAnsi" w:eastAsiaTheme="minorEastAsia" w:hAnsiTheme="majorHAnsi" w:cs="Times"/>
          <w:color w:val="1A1718"/>
          <w:lang w:eastAsia="it-IT"/>
        </w:rPr>
        <w:lastRenderedPageBreak/>
        <w:t>What is Subthreshold?</w:t>
      </w:r>
    </w:p>
    <w:p w:rsidR="00540595" w:rsidRPr="00487DFD" w:rsidRDefault="00CA745F" w:rsidP="00487DFD">
      <w:pPr>
        <w:widowControl w:val="0"/>
        <w:autoSpaceDE w:val="0"/>
        <w:autoSpaceDN w:val="0"/>
        <w:adjustRightInd w:val="0"/>
        <w:spacing w:after="240" w:line="360" w:lineRule="auto"/>
        <w:rPr>
          <w:rFonts w:asciiTheme="majorHAnsi" w:eastAsiaTheme="minorEastAsia" w:hAnsiTheme="majorHAnsi" w:cs="Times"/>
          <w:lang w:eastAsia="it-IT"/>
        </w:rPr>
      </w:pPr>
      <w:r w:rsidRPr="00487DFD">
        <w:rPr>
          <w:rFonts w:asciiTheme="majorHAnsi" w:eastAsiaTheme="minorEastAsia" w:hAnsiTheme="majorHAnsi" w:cs="Times"/>
          <w:color w:val="1A1718"/>
          <w:lang w:eastAsia="it-IT"/>
        </w:rPr>
        <w:t xml:space="preserve">Subthreshold photocoagulation is a method where the burn spots cannot be seen with biomicroscopy. With subthreshold photocoagulation, the treated areas cannot be seen on color fundus photograph, but they also cannot be seen on OCT or FA when the subthreshold level is adequately set. Subthreshold photocoagulation can be considered to be truly minimally invasive or non-damaging photocoagulation. A term sometimes used is photo-thermal stimulation since the RPE layer is heated and stimulated, but not destroyed. </w:t>
      </w:r>
    </w:p>
    <w:p w:rsidR="004E3753" w:rsidRPr="00487DFD" w:rsidRDefault="00CA745F" w:rsidP="00487DFD">
      <w:pPr>
        <w:widowControl w:val="0"/>
        <w:autoSpaceDE w:val="0"/>
        <w:autoSpaceDN w:val="0"/>
        <w:adjustRightInd w:val="0"/>
        <w:spacing w:after="240" w:line="360" w:lineRule="auto"/>
        <w:rPr>
          <w:rFonts w:asciiTheme="majorHAnsi" w:eastAsiaTheme="minorEastAsia" w:hAnsiTheme="majorHAnsi" w:cs="Times"/>
          <w:lang w:eastAsia="it-IT"/>
        </w:rPr>
      </w:pPr>
      <w:r w:rsidRPr="00487DFD">
        <w:rPr>
          <w:rFonts w:asciiTheme="majorHAnsi" w:eastAsiaTheme="minorEastAsia" w:hAnsiTheme="majorHAnsi" w:cs="Times"/>
          <w:color w:val="1A1718"/>
          <w:lang w:eastAsia="it-IT"/>
        </w:rPr>
        <w:t>The threshold level output power is set to obtain barely visible burn at approximately 200mW to 250mW using the titration mode, and irradiation is conducted after switching over to Endpoint Management.</w:t>
      </w:r>
    </w:p>
    <w:p w:rsidR="004E3753" w:rsidRPr="00487DFD" w:rsidRDefault="004E3753" w:rsidP="00487DFD">
      <w:pPr>
        <w:spacing w:line="360" w:lineRule="auto"/>
        <w:rPr>
          <w:rFonts w:asciiTheme="majorHAnsi" w:hAnsiTheme="majorHAnsi"/>
          <w:highlight w:val="cyan"/>
        </w:rPr>
      </w:pPr>
    </w:p>
    <w:p w:rsidR="00A22311" w:rsidRPr="00487DFD" w:rsidRDefault="00A22311" w:rsidP="00487DFD">
      <w:pPr>
        <w:pStyle w:val="Heading1"/>
        <w:spacing w:before="360" w:after="240" w:line="360" w:lineRule="auto"/>
        <w:rPr>
          <w:rFonts w:asciiTheme="majorHAnsi" w:hAnsiTheme="majorHAnsi"/>
          <w:sz w:val="24"/>
          <w:szCs w:val="24"/>
        </w:rPr>
      </w:pPr>
      <w:bookmarkStart w:id="51" w:name="_Toc242244643"/>
      <w:bookmarkStart w:id="52" w:name="_Toc242244644"/>
      <w:bookmarkStart w:id="53" w:name="_Toc215292773"/>
      <w:bookmarkStart w:id="54" w:name="_Toc232177670"/>
      <w:bookmarkStart w:id="55" w:name="_Toc269803201"/>
      <w:bookmarkStart w:id="56" w:name="_Toc324107862"/>
      <w:bookmarkEnd w:id="47"/>
      <w:bookmarkEnd w:id="51"/>
      <w:bookmarkEnd w:id="52"/>
      <w:r w:rsidRPr="00487DFD">
        <w:rPr>
          <w:rFonts w:asciiTheme="majorHAnsi" w:hAnsiTheme="majorHAnsi"/>
          <w:sz w:val="24"/>
          <w:szCs w:val="24"/>
        </w:rPr>
        <w:t>S</w:t>
      </w:r>
      <w:bookmarkEnd w:id="53"/>
      <w:r w:rsidRPr="00487DFD">
        <w:rPr>
          <w:rFonts w:asciiTheme="majorHAnsi" w:hAnsiTheme="majorHAnsi"/>
          <w:sz w:val="24"/>
          <w:szCs w:val="24"/>
        </w:rPr>
        <w:t>TUDY PROCEDURES</w:t>
      </w:r>
      <w:bookmarkEnd w:id="54"/>
      <w:bookmarkEnd w:id="55"/>
      <w:bookmarkEnd w:id="56"/>
    </w:p>
    <w:p w:rsidR="00A22311" w:rsidRPr="00487DFD" w:rsidRDefault="00A22311" w:rsidP="00487DFD">
      <w:pPr>
        <w:pStyle w:val="Heading2"/>
        <w:tabs>
          <w:tab w:val="num" w:pos="0"/>
          <w:tab w:val="left" w:pos="600"/>
        </w:tabs>
        <w:spacing w:before="360" w:after="240" w:line="360" w:lineRule="auto"/>
        <w:ind w:left="936"/>
        <w:jc w:val="left"/>
        <w:rPr>
          <w:rFonts w:asciiTheme="majorHAnsi" w:hAnsiTheme="majorHAnsi"/>
          <w:sz w:val="24"/>
          <w:szCs w:val="24"/>
        </w:rPr>
      </w:pPr>
      <w:bookmarkStart w:id="57" w:name="_Toc232177672"/>
      <w:bookmarkStart w:id="58" w:name="_Toc269803202"/>
      <w:r w:rsidRPr="00487DFD">
        <w:rPr>
          <w:rFonts w:asciiTheme="majorHAnsi" w:hAnsiTheme="majorHAnsi"/>
          <w:sz w:val="24"/>
          <w:szCs w:val="24"/>
        </w:rPr>
        <w:t xml:space="preserve"> </w:t>
      </w:r>
      <w:bookmarkStart w:id="59" w:name="_Toc324107863"/>
      <w:r w:rsidRPr="00487DFD">
        <w:rPr>
          <w:rFonts w:asciiTheme="majorHAnsi" w:hAnsiTheme="majorHAnsi"/>
          <w:sz w:val="24"/>
          <w:szCs w:val="24"/>
        </w:rPr>
        <w:t>Informed Consent</w:t>
      </w:r>
      <w:bookmarkEnd w:id="57"/>
      <w:bookmarkEnd w:id="58"/>
      <w:bookmarkEnd w:id="59"/>
    </w:p>
    <w:p w:rsidR="00A22311" w:rsidRPr="00487DFD" w:rsidRDefault="00A22311" w:rsidP="00487DFD">
      <w:pPr>
        <w:spacing w:line="360" w:lineRule="auto"/>
        <w:jc w:val="both"/>
        <w:rPr>
          <w:rFonts w:asciiTheme="majorHAnsi" w:hAnsiTheme="majorHAnsi"/>
        </w:rPr>
      </w:pPr>
    </w:p>
    <w:p w:rsidR="00A22311" w:rsidRPr="00487DFD" w:rsidRDefault="00A22311" w:rsidP="00487DFD">
      <w:pPr>
        <w:spacing w:line="360" w:lineRule="auto"/>
        <w:jc w:val="both"/>
        <w:rPr>
          <w:rFonts w:asciiTheme="majorHAnsi" w:hAnsiTheme="majorHAnsi"/>
        </w:rPr>
      </w:pPr>
      <w:r w:rsidRPr="00487DFD">
        <w:rPr>
          <w:rFonts w:asciiTheme="majorHAnsi" w:hAnsiTheme="majorHAnsi"/>
          <w:u w:color="000000"/>
        </w:rPr>
        <w:t>Informed consent must be obtained and documented in writing prior to the</w:t>
      </w:r>
      <w:r w:rsidRPr="00487DFD">
        <w:rPr>
          <w:rFonts w:asciiTheme="majorHAnsi" w:hAnsiTheme="majorHAnsi"/>
        </w:rPr>
        <w:t xml:space="preserve"> initiation of any study procedures. The subject (or the subject's legally authorized representative) must be allowed sufficient time to thoroughly read (or have explained), the informed consent form, which will be written at a level that can be understood by someone educated to an 8</w:t>
      </w:r>
      <w:r w:rsidRPr="00487DFD">
        <w:rPr>
          <w:rFonts w:asciiTheme="majorHAnsi" w:hAnsiTheme="majorHAnsi"/>
          <w:vertAlign w:val="superscript"/>
        </w:rPr>
        <w:t>th</w:t>
      </w:r>
      <w:r w:rsidRPr="00487DFD">
        <w:rPr>
          <w:rFonts w:asciiTheme="majorHAnsi" w:hAnsiTheme="majorHAnsi"/>
        </w:rPr>
        <w:t xml:space="preserve"> grade level. The Investigator or his/her designee should answer any questions that the subject/representative might have. If the subject agrees to participate in the study, i.e., provides informed consent, the subject/representative must sign both copies of the informed consent form. The witness and the Investigator must also sign both copies of the informed consent form. One copy of the informed consent form should be given to the subject/representative. If applicable, it will be provided in a certified translation of the local language. The date of the subject’s signature on the informed consent form should be noted in the subject’s medical chart. </w:t>
      </w:r>
    </w:p>
    <w:p w:rsidR="00A22311" w:rsidRPr="00487DFD" w:rsidRDefault="00A22311" w:rsidP="00487DFD">
      <w:pPr>
        <w:autoSpaceDE w:val="0"/>
        <w:autoSpaceDN w:val="0"/>
        <w:adjustRightInd w:val="0"/>
        <w:spacing w:line="360" w:lineRule="auto"/>
        <w:ind w:left="1080" w:firstLine="360"/>
        <w:jc w:val="both"/>
        <w:rPr>
          <w:rFonts w:asciiTheme="majorHAnsi" w:hAnsiTheme="majorHAnsi"/>
        </w:rPr>
      </w:pPr>
    </w:p>
    <w:p w:rsidR="00A22311" w:rsidRPr="006C0623" w:rsidRDefault="00A22311" w:rsidP="00487DFD">
      <w:pPr>
        <w:autoSpaceDE w:val="0"/>
        <w:autoSpaceDN w:val="0"/>
        <w:adjustRightInd w:val="0"/>
        <w:spacing w:line="360" w:lineRule="auto"/>
        <w:jc w:val="both"/>
        <w:rPr>
          <w:rFonts w:asciiTheme="majorHAnsi" w:hAnsiTheme="majorHAnsi"/>
          <w:lang w:eastAsia="it-IT"/>
        </w:rPr>
      </w:pPr>
      <w:r w:rsidRPr="00487DFD">
        <w:rPr>
          <w:rFonts w:asciiTheme="majorHAnsi" w:hAnsiTheme="majorHAnsi"/>
        </w:rPr>
        <w:t xml:space="preserve">Subjects who provide written informed consent will </w:t>
      </w:r>
      <w:r w:rsidR="00615B2D" w:rsidRPr="00487DFD">
        <w:rPr>
          <w:rFonts w:asciiTheme="majorHAnsi" w:hAnsiTheme="majorHAnsi"/>
        </w:rPr>
        <w:t xml:space="preserve">be screened for eligibility </w:t>
      </w:r>
      <w:r w:rsidRPr="00487DFD">
        <w:rPr>
          <w:rFonts w:asciiTheme="majorHAnsi" w:hAnsiTheme="majorHAnsi"/>
        </w:rPr>
        <w:t>and once they are determined as being eligible, they will be enrolled into the study.</w:t>
      </w:r>
      <w:bookmarkStart w:id="60" w:name="_Toc269803203"/>
      <w:r w:rsidRPr="00487DFD">
        <w:rPr>
          <w:rFonts w:asciiTheme="majorHAnsi" w:hAnsiTheme="majorHAnsi"/>
        </w:rPr>
        <w:t xml:space="preserve"> </w:t>
      </w:r>
      <w:bookmarkEnd w:id="60"/>
    </w:p>
    <w:p w:rsidR="00A22311" w:rsidRPr="00487DFD" w:rsidRDefault="00A22311" w:rsidP="00487DFD">
      <w:pPr>
        <w:pStyle w:val="Heading2"/>
        <w:tabs>
          <w:tab w:val="num" w:pos="0"/>
          <w:tab w:val="left" w:pos="600"/>
        </w:tabs>
        <w:spacing w:before="360" w:after="240" w:line="360" w:lineRule="auto"/>
        <w:ind w:left="936"/>
        <w:jc w:val="left"/>
        <w:rPr>
          <w:rFonts w:asciiTheme="majorHAnsi" w:hAnsiTheme="majorHAnsi"/>
          <w:sz w:val="24"/>
          <w:szCs w:val="24"/>
        </w:rPr>
      </w:pPr>
      <w:bookmarkStart w:id="61" w:name="_Toc264432517"/>
      <w:bookmarkStart w:id="62" w:name="_Toc264432518"/>
      <w:bookmarkStart w:id="63" w:name="_Toc232177673"/>
      <w:bookmarkStart w:id="64" w:name="_Toc269803205"/>
      <w:bookmarkEnd w:id="61"/>
      <w:bookmarkEnd w:id="62"/>
      <w:r w:rsidRPr="00487DFD">
        <w:rPr>
          <w:rFonts w:asciiTheme="majorHAnsi" w:hAnsiTheme="majorHAnsi"/>
          <w:sz w:val="24"/>
          <w:szCs w:val="24"/>
        </w:rPr>
        <w:lastRenderedPageBreak/>
        <w:t xml:space="preserve"> </w:t>
      </w:r>
      <w:bookmarkStart w:id="65" w:name="_Toc324107864"/>
      <w:r w:rsidRPr="00487DFD">
        <w:rPr>
          <w:rFonts w:asciiTheme="majorHAnsi" w:hAnsiTheme="majorHAnsi"/>
          <w:sz w:val="24"/>
          <w:szCs w:val="24"/>
        </w:rPr>
        <w:t>Assignment of Subject Identification</w:t>
      </w:r>
      <w:bookmarkEnd w:id="63"/>
      <w:bookmarkEnd w:id="64"/>
      <w:bookmarkEnd w:id="65"/>
    </w:p>
    <w:p w:rsidR="00A22311" w:rsidRPr="00487DFD" w:rsidRDefault="00A22311" w:rsidP="00487DFD">
      <w:pPr>
        <w:autoSpaceDE w:val="0"/>
        <w:autoSpaceDN w:val="0"/>
        <w:adjustRightInd w:val="0"/>
        <w:spacing w:line="360" w:lineRule="auto"/>
        <w:jc w:val="both"/>
        <w:rPr>
          <w:rFonts w:asciiTheme="majorHAnsi" w:hAnsiTheme="majorHAnsi"/>
        </w:rPr>
      </w:pPr>
      <w:r w:rsidRPr="00487DFD">
        <w:rPr>
          <w:rFonts w:asciiTheme="majorHAnsi" w:hAnsiTheme="majorHAnsi"/>
        </w:rPr>
        <w:t>A subject identification number (ID) will be assigned at screening. This ID should be used on all study-related documents. To maintain confidentiality, the subject’s name should not be recorded on any study document other than the informed consent form.</w:t>
      </w:r>
      <w:bookmarkStart w:id="66" w:name="_Toc232177674"/>
    </w:p>
    <w:p w:rsidR="00A22311" w:rsidRPr="00487DFD" w:rsidRDefault="00A22311" w:rsidP="00487DFD">
      <w:pPr>
        <w:pStyle w:val="Heading2"/>
        <w:tabs>
          <w:tab w:val="num" w:pos="0"/>
          <w:tab w:val="left" w:pos="600"/>
        </w:tabs>
        <w:spacing w:before="360" w:after="240" w:line="360" w:lineRule="auto"/>
        <w:ind w:left="936"/>
        <w:jc w:val="left"/>
        <w:rPr>
          <w:rFonts w:asciiTheme="majorHAnsi" w:hAnsiTheme="majorHAnsi"/>
          <w:sz w:val="24"/>
          <w:szCs w:val="24"/>
        </w:rPr>
      </w:pPr>
      <w:bookmarkStart w:id="67" w:name="_Toc269803206"/>
      <w:r w:rsidRPr="00487DFD">
        <w:rPr>
          <w:rFonts w:asciiTheme="majorHAnsi" w:hAnsiTheme="majorHAnsi"/>
          <w:sz w:val="24"/>
          <w:szCs w:val="24"/>
        </w:rPr>
        <w:t xml:space="preserve"> </w:t>
      </w:r>
      <w:bookmarkStart w:id="68" w:name="_Toc324107865"/>
      <w:r w:rsidRPr="00487DFD">
        <w:rPr>
          <w:rFonts w:asciiTheme="majorHAnsi" w:hAnsiTheme="majorHAnsi"/>
          <w:sz w:val="24"/>
          <w:szCs w:val="24"/>
        </w:rPr>
        <w:t>Screen Failure</w:t>
      </w:r>
      <w:bookmarkEnd w:id="66"/>
      <w:bookmarkEnd w:id="67"/>
      <w:bookmarkEnd w:id="68"/>
    </w:p>
    <w:p w:rsidR="00A22311" w:rsidRPr="00487DFD" w:rsidRDefault="00A22311" w:rsidP="00487DFD">
      <w:pPr>
        <w:spacing w:line="360" w:lineRule="auto"/>
        <w:jc w:val="both"/>
        <w:rPr>
          <w:rFonts w:asciiTheme="majorHAnsi" w:hAnsiTheme="majorHAnsi"/>
          <w:highlight w:val="cyan"/>
        </w:rPr>
      </w:pPr>
      <w:r w:rsidRPr="00487DFD">
        <w:rPr>
          <w:rFonts w:asciiTheme="majorHAnsi" w:hAnsiTheme="majorHAnsi"/>
        </w:rPr>
        <w:t>A record of screen failures and the reasons for the screen failures will be maintained by the investigator.</w:t>
      </w:r>
    </w:p>
    <w:p w:rsidR="00A22311" w:rsidRPr="00487DFD" w:rsidRDefault="00A22311" w:rsidP="00487DFD">
      <w:pPr>
        <w:pStyle w:val="Heading2"/>
        <w:tabs>
          <w:tab w:val="num" w:pos="0"/>
          <w:tab w:val="left" w:pos="600"/>
        </w:tabs>
        <w:spacing w:before="360" w:after="240" w:line="360" w:lineRule="auto"/>
        <w:ind w:left="936"/>
        <w:jc w:val="left"/>
        <w:rPr>
          <w:rFonts w:asciiTheme="majorHAnsi" w:hAnsiTheme="majorHAnsi"/>
          <w:sz w:val="24"/>
          <w:szCs w:val="24"/>
        </w:rPr>
      </w:pPr>
      <w:bookmarkStart w:id="69" w:name="_Toc269803207"/>
      <w:r w:rsidRPr="00487DFD">
        <w:rPr>
          <w:rFonts w:asciiTheme="majorHAnsi" w:hAnsiTheme="majorHAnsi"/>
          <w:sz w:val="24"/>
          <w:szCs w:val="24"/>
        </w:rPr>
        <w:t xml:space="preserve"> </w:t>
      </w:r>
      <w:bookmarkStart w:id="70" w:name="_Toc324107866"/>
      <w:r w:rsidRPr="00487DFD">
        <w:rPr>
          <w:rFonts w:asciiTheme="majorHAnsi" w:hAnsiTheme="majorHAnsi"/>
          <w:sz w:val="24"/>
          <w:szCs w:val="24"/>
        </w:rPr>
        <w:t>Concomitant and Excluded Therapies</w:t>
      </w:r>
      <w:bookmarkEnd w:id="69"/>
      <w:bookmarkEnd w:id="70"/>
      <w:r w:rsidRPr="00487DFD">
        <w:rPr>
          <w:rFonts w:asciiTheme="majorHAnsi" w:hAnsiTheme="majorHAnsi"/>
          <w:sz w:val="24"/>
          <w:szCs w:val="24"/>
        </w:rPr>
        <w:t xml:space="preserve"> </w:t>
      </w:r>
    </w:p>
    <w:p w:rsidR="00A22311" w:rsidRPr="00487DFD" w:rsidRDefault="00A22311" w:rsidP="00487DFD">
      <w:pPr>
        <w:spacing w:line="360" w:lineRule="auto"/>
        <w:jc w:val="both"/>
        <w:rPr>
          <w:rFonts w:asciiTheme="majorHAnsi" w:hAnsiTheme="majorHAnsi"/>
        </w:rPr>
      </w:pPr>
      <w:r w:rsidRPr="00487DFD">
        <w:rPr>
          <w:rFonts w:asciiTheme="majorHAnsi" w:hAnsiTheme="majorHAnsi"/>
        </w:rPr>
        <w:t>Concomitant medications are any prescription drugs or devices used by a subject during the study. The CRF will record administration of these medications.</w:t>
      </w:r>
    </w:p>
    <w:p w:rsidR="00A22311" w:rsidRPr="00487DFD" w:rsidRDefault="00A22311" w:rsidP="00487DFD">
      <w:pPr>
        <w:spacing w:line="360" w:lineRule="auto"/>
        <w:ind w:left="720"/>
        <w:jc w:val="both"/>
        <w:rPr>
          <w:rFonts w:asciiTheme="majorHAnsi" w:hAnsiTheme="majorHAnsi"/>
        </w:rPr>
      </w:pPr>
    </w:p>
    <w:p w:rsidR="00A22311" w:rsidRPr="00487DFD" w:rsidRDefault="00797F05" w:rsidP="00487DFD">
      <w:pPr>
        <w:spacing w:line="360" w:lineRule="auto"/>
        <w:jc w:val="both"/>
        <w:rPr>
          <w:rFonts w:asciiTheme="majorHAnsi" w:hAnsiTheme="majorHAnsi"/>
          <w:highlight w:val="yellow"/>
        </w:rPr>
      </w:pPr>
      <w:r w:rsidRPr="00487DFD">
        <w:rPr>
          <w:rFonts w:asciiTheme="majorHAnsi" w:hAnsiTheme="majorHAnsi"/>
        </w:rPr>
        <w:t xml:space="preserve">No other treatments for GA and/or reticular </w:t>
      </w:r>
      <w:r w:rsidR="00A22311" w:rsidRPr="00487DFD">
        <w:rPr>
          <w:rFonts w:asciiTheme="majorHAnsi" w:hAnsiTheme="majorHAnsi"/>
        </w:rPr>
        <w:t xml:space="preserve">is permitted for the study eye during the trial, </w:t>
      </w:r>
      <w:r w:rsidR="001C3D72" w:rsidRPr="00487DFD">
        <w:rPr>
          <w:rFonts w:asciiTheme="majorHAnsi" w:hAnsiTheme="majorHAnsi"/>
        </w:rPr>
        <w:t xml:space="preserve">except the use of </w:t>
      </w:r>
      <w:r w:rsidR="006C73FC" w:rsidRPr="00487DFD">
        <w:rPr>
          <w:rFonts w:asciiTheme="majorHAnsi" w:hAnsiTheme="majorHAnsi"/>
        </w:rPr>
        <w:t>alimentary supplements.</w:t>
      </w:r>
      <w:r w:rsidR="00A22311" w:rsidRPr="00487DFD">
        <w:rPr>
          <w:rFonts w:asciiTheme="majorHAnsi" w:hAnsiTheme="majorHAnsi"/>
        </w:rPr>
        <w:t xml:space="preserve"> </w:t>
      </w:r>
    </w:p>
    <w:p w:rsidR="00A22311" w:rsidRPr="00487DFD" w:rsidRDefault="00A22311" w:rsidP="00487DFD">
      <w:pPr>
        <w:spacing w:line="360" w:lineRule="auto"/>
        <w:ind w:left="720"/>
        <w:jc w:val="both"/>
        <w:rPr>
          <w:rFonts w:asciiTheme="majorHAnsi" w:hAnsiTheme="majorHAnsi"/>
          <w:highlight w:val="yellow"/>
        </w:rPr>
      </w:pPr>
    </w:p>
    <w:p w:rsidR="00A22311" w:rsidRPr="00487DFD" w:rsidRDefault="00A22311" w:rsidP="00487DFD">
      <w:pPr>
        <w:spacing w:line="360" w:lineRule="auto"/>
        <w:jc w:val="both"/>
        <w:rPr>
          <w:rFonts w:asciiTheme="majorHAnsi" w:hAnsiTheme="majorHAnsi"/>
        </w:rPr>
      </w:pPr>
      <w:r w:rsidRPr="00487DFD">
        <w:rPr>
          <w:rFonts w:asciiTheme="majorHAnsi" w:hAnsiTheme="majorHAnsi"/>
        </w:rPr>
        <w:t>Investigators are reminded to avoid enrolling any subject likely to requir</w:t>
      </w:r>
      <w:r w:rsidR="00697EFC">
        <w:rPr>
          <w:rFonts w:asciiTheme="majorHAnsi" w:hAnsiTheme="majorHAnsi"/>
        </w:rPr>
        <w:t>e cataract surgery during the 12</w:t>
      </w:r>
      <w:r w:rsidRPr="00487DFD">
        <w:rPr>
          <w:rFonts w:asciiTheme="majorHAnsi" w:hAnsiTheme="majorHAnsi"/>
        </w:rPr>
        <w:t xml:space="preserve"> week</w:t>
      </w:r>
      <w:r w:rsidR="00697EFC">
        <w:rPr>
          <w:rFonts w:asciiTheme="majorHAnsi" w:hAnsiTheme="majorHAnsi"/>
        </w:rPr>
        <w:t>s</w:t>
      </w:r>
      <w:r w:rsidRPr="00487DFD">
        <w:rPr>
          <w:rFonts w:asciiTheme="majorHAnsi" w:hAnsiTheme="majorHAnsi"/>
        </w:rPr>
        <w:t xml:space="preserve"> study period. </w:t>
      </w:r>
    </w:p>
    <w:p w:rsidR="00A22311" w:rsidRPr="00487DFD" w:rsidRDefault="00A22311" w:rsidP="00487DFD">
      <w:pPr>
        <w:spacing w:line="360" w:lineRule="auto"/>
        <w:ind w:left="720"/>
        <w:jc w:val="both"/>
        <w:rPr>
          <w:rFonts w:asciiTheme="majorHAnsi" w:hAnsiTheme="majorHAnsi"/>
          <w:highlight w:val="yellow"/>
        </w:rPr>
      </w:pPr>
    </w:p>
    <w:p w:rsidR="00A22311" w:rsidRPr="00487DFD" w:rsidRDefault="00A22311" w:rsidP="00487DFD">
      <w:pPr>
        <w:spacing w:line="360" w:lineRule="auto"/>
        <w:jc w:val="both"/>
        <w:rPr>
          <w:rFonts w:asciiTheme="majorHAnsi" w:hAnsiTheme="majorHAnsi"/>
        </w:rPr>
      </w:pPr>
      <w:r w:rsidRPr="00487DFD">
        <w:rPr>
          <w:rFonts w:asciiTheme="majorHAnsi" w:hAnsiTheme="majorHAnsi"/>
        </w:rPr>
        <w:t>No other experimental or investigational treatments are allowed during this study, including ocular experimental and investigational treatments in either eye.</w:t>
      </w:r>
    </w:p>
    <w:p w:rsidR="00A22311" w:rsidRPr="00487DFD" w:rsidRDefault="00A22311" w:rsidP="00487DFD">
      <w:pPr>
        <w:pStyle w:val="Heading2"/>
        <w:tabs>
          <w:tab w:val="num" w:pos="0"/>
          <w:tab w:val="left" w:pos="600"/>
        </w:tabs>
        <w:spacing w:before="360" w:after="240" w:line="360" w:lineRule="auto"/>
        <w:ind w:left="936"/>
        <w:jc w:val="left"/>
        <w:rPr>
          <w:rFonts w:asciiTheme="majorHAnsi" w:hAnsiTheme="majorHAnsi"/>
          <w:sz w:val="24"/>
          <w:szCs w:val="24"/>
        </w:rPr>
      </w:pPr>
      <w:bookmarkStart w:id="71" w:name="_Toc232177675"/>
      <w:bookmarkStart w:id="72" w:name="_Toc269803208"/>
      <w:r w:rsidRPr="00487DFD">
        <w:rPr>
          <w:rFonts w:asciiTheme="majorHAnsi" w:hAnsiTheme="majorHAnsi"/>
          <w:sz w:val="24"/>
          <w:szCs w:val="24"/>
        </w:rPr>
        <w:t xml:space="preserve"> </w:t>
      </w:r>
      <w:bookmarkStart w:id="73" w:name="_Toc324107867"/>
      <w:r w:rsidRPr="00487DFD">
        <w:rPr>
          <w:rFonts w:asciiTheme="majorHAnsi" w:hAnsiTheme="majorHAnsi"/>
          <w:sz w:val="24"/>
          <w:szCs w:val="24"/>
        </w:rPr>
        <w:t>Timing of Study Assessments</w:t>
      </w:r>
      <w:bookmarkEnd w:id="71"/>
      <w:bookmarkEnd w:id="72"/>
      <w:bookmarkEnd w:id="73"/>
      <w:r w:rsidRPr="00487DFD">
        <w:rPr>
          <w:rFonts w:asciiTheme="majorHAnsi" w:hAnsiTheme="majorHAnsi"/>
          <w:sz w:val="24"/>
          <w:szCs w:val="24"/>
        </w:rPr>
        <w:t xml:space="preserve">  </w:t>
      </w:r>
    </w:p>
    <w:p w:rsidR="00A22311" w:rsidRPr="003179E6" w:rsidRDefault="00A22311" w:rsidP="00487DFD">
      <w:pPr>
        <w:pStyle w:val="Heading3"/>
        <w:spacing w:line="360" w:lineRule="auto"/>
        <w:rPr>
          <w:rFonts w:asciiTheme="majorHAnsi" w:hAnsiTheme="majorHAnsi"/>
          <w:lang w:val="en-US"/>
        </w:rPr>
      </w:pPr>
      <w:bookmarkStart w:id="74" w:name="_Toc324107868"/>
      <w:r w:rsidRPr="003179E6">
        <w:rPr>
          <w:rFonts w:asciiTheme="majorHAnsi" w:hAnsiTheme="majorHAnsi"/>
          <w:lang w:val="en-US"/>
        </w:rPr>
        <w:t>Screening (Day -14 to Day 0)</w:t>
      </w:r>
      <w:bookmarkEnd w:id="74"/>
    </w:p>
    <w:p w:rsidR="00A22311" w:rsidRPr="00487DFD" w:rsidRDefault="00A22311" w:rsidP="00487DFD">
      <w:pPr>
        <w:autoSpaceDE w:val="0"/>
        <w:autoSpaceDN w:val="0"/>
        <w:adjustRightInd w:val="0"/>
        <w:spacing w:line="360" w:lineRule="auto"/>
        <w:ind w:left="630"/>
        <w:jc w:val="both"/>
        <w:rPr>
          <w:rFonts w:asciiTheme="majorHAnsi" w:hAnsiTheme="majorHAnsi"/>
        </w:rPr>
      </w:pPr>
      <w:r w:rsidRPr="00487DFD">
        <w:rPr>
          <w:rFonts w:asciiTheme="majorHAnsi" w:hAnsiTheme="majorHAnsi"/>
        </w:rPr>
        <w:t>After obtaining informed consent, the following study assessments will be performed within 14 days prior to Day 0 and all ocular assessments will be performed</w:t>
      </w:r>
      <w:r w:rsidRPr="00487DFD">
        <w:rPr>
          <w:rFonts w:asciiTheme="majorHAnsi" w:hAnsiTheme="majorHAnsi"/>
          <w:b/>
        </w:rPr>
        <w:t>:</w:t>
      </w:r>
    </w:p>
    <w:p w:rsidR="00A22311" w:rsidRPr="00487DFD" w:rsidRDefault="00A22311" w:rsidP="00487DFD">
      <w:pPr>
        <w:keepNext/>
        <w:numPr>
          <w:ilvl w:val="0"/>
          <w:numId w:val="13"/>
        </w:numPr>
        <w:spacing w:before="60" w:line="360" w:lineRule="auto"/>
        <w:jc w:val="both"/>
        <w:rPr>
          <w:rFonts w:asciiTheme="majorHAnsi" w:hAnsiTheme="majorHAnsi"/>
        </w:rPr>
      </w:pPr>
      <w:r w:rsidRPr="00487DFD">
        <w:rPr>
          <w:rFonts w:asciiTheme="majorHAnsi" w:hAnsiTheme="majorHAnsi"/>
        </w:rPr>
        <w:t>Demographic information</w:t>
      </w:r>
    </w:p>
    <w:p w:rsidR="00A22311" w:rsidRPr="00487DFD" w:rsidRDefault="00A22311" w:rsidP="00487DFD">
      <w:pPr>
        <w:numPr>
          <w:ilvl w:val="0"/>
          <w:numId w:val="14"/>
        </w:numPr>
        <w:spacing w:line="360" w:lineRule="auto"/>
        <w:jc w:val="both"/>
        <w:rPr>
          <w:rFonts w:asciiTheme="majorHAnsi" w:hAnsiTheme="majorHAnsi"/>
        </w:rPr>
      </w:pPr>
      <w:r w:rsidRPr="00487DFD">
        <w:rPr>
          <w:rFonts w:asciiTheme="majorHAnsi" w:hAnsiTheme="majorHAnsi"/>
        </w:rPr>
        <w:t xml:space="preserve">Medical history </w:t>
      </w:r>
      <w:r w:rsidR="00615B2D" w:rsidRPr="00487DFD">
        <w:rPr>
          <w:rFonts w:asciiTheme="majorHAnsi" w:hAnsiTheme="majorHAnsi"/>
        </w:rPr>
        <w:t>and record of concomitant medications</w:t>
      </w:r>
    </w:p>
    <w:p w:rsidR="00A22311" w:rsidRPr="00487DFD" w:rsidRDefault="00A22311" w:rsidP="00487DFD">
      <w:pPr>
        <w:numPr>
          <w:ilvl w:val="0"/>
          <w:numId w:val="13"/>
        </w:numPr>
        <w:spacing w:before="60" w:line="360" w:lineRule="auto"/>
        <w:jc w:val="both"/>
        <w:rPr>
          <w:rFonts w:asciiTheme="majorHAnsi" w:hAnsiTheme="majorHAnsi"/>
        </w:rPr>
      </w:pPr>
      <w:r w:rsidRPr="00487DFD">
        <w:rPr>
          <w:rFonts w:asciiTheme="majorHAnsi" w:hAnsiTheme="majorHAnsi"/>
        </w:rPr>
        <w:t>Ophthalmic history, including prior medication use</w:t>
      </w:r>
    </w:p>
    <w:p w:rsidR="00A22311" w:rsidRPr="00487DFD" w:rsidRDefault="00A22311" w:rsidP="00487DFD">
      <w:pPr>
        <w:numPr>
          <w:ilvl w:val="0"/>
          <w:numId w:val="13"/>
        </w:numPr>
        <w:spacing w:before="60" w:line="360" w:lineRule="auto"/>
        <w:jc w:val="both"/>
        <w:rPr>
          <w:rFonts w:asciiTheme="majorHAnsi" w:hAnsiTheme="majorHAnsi"/>
        </w:rPr>
      </w:pPr>
      <w:r w:rsidRPr="00487DFD">
        <w:rPr>
          <w:rFonts w:asciiTheme="majorHAnsi" w:hAnsiTheme="majorHAnsi"/>
        </w:rPr>
        <w:t>Best Corrected ETDRS Visual Acuity (VA) at 4 meters prior to dilatation</w:t>
      </w:r>
    </w:p>
    <w:p w:rsidR="00A22311" w:rsidRPr="00487DFD" w:rsidRDefault="00A22311" w:rsidP="00487DFD">
      <w:pPr>
        <w:numPr>
          <w:ilvl w:val="0"/>
          <w:numId w:val="13"/>
        </w:numPr>
        <w:spacing w:before="60" w:line="360" w:lineRule="auto"/>
        <w:jc w:val="both"/>
        <w:rPr>
          <w:rFonts w:asciiTheme="majorHAnsi" w:hAnsiTheme="majorHAnsi"/>
        </w:rPr>
      </w:pPr>
      <w:r w:rsidRPr="00487DFD">
        <w:rPr>
          <w:rFonts w:asciiTheme="majorHAnsi" w:hAnsiTheme="majorHAnsi"/>
        </w:rPr>
        <w:lastRenderedPageBreak/>
        <w:t>Slit lamp examination</w:t>
      </w:r>
    </w:p>
    <w:p w:rsidR="00A22311" w:rsidRPr="00487DFD" w:rsidRDefault="00A22311" w:rsidP="00487DFD">
      <w:pPr>
        <w:numPr>
          <w:ilvl w:val="0"/>
          <w:numId w:val="13"/>
        </w:numPr>
        <w:spacing w:before="60" w:line="360" w:lineRule="auto"/>
        <w:jc w:val="both"/>
        <w:rPr>
          <w:rFonts w:asciiTheme="majorHAnsi" w:hAnsiTheme="majorHAnsi"/>
        </w:rPr>
      </w:pPr>
      <w:r w:rsidRPr="00487DFD">
        <w:rPr>
          <w:rFonts w:asciiTheme="majorHAnsi" w:hAnsiTheme="majorHAnsi"/>
        </w:rPr>
        <w:t>Fundus examination (by indirect ophthalmoscopy)</w:t>
      </w:r>
    </w:p>
    <w:p w:rsidR="00A22311" w:rsidRPr="00487DFD" w:rsidRDefault="00A22311" w:rsidP="00487DFD">
      <w:pPr>
        <w:numPr>
          <w:ilvl w:val="0"/>
          <w:numId w:val="13"/>
        </w:numPr>
        <w:spacing w:before="60" w:line="360" w:lineRule="auto"/>
        <w:jc w:val="both"/>
        <w:rPr>
          <w:rFonts w:asciiTheme="majorHAnsi" w:hAnsiTheme="majorHAnsi"/>
        </w:rPr>
      </w:pPr>
      <w:r w:rsidRPr="00487DFD">
        <w:rPr>
          <w:rFonts w:asciiTheme="majorHAnsi" w:hAnsiTheme="majorHAnsi"/>
        </w:rPr>
        <w:t>Intraocular pressure (IOP)</w:t>
      </w:r>
    </w:p>
    <w:p w:rsidR="00A22311" w:rsidRPr="00487DFD" w:rsidRDefault="00A22311" w:rsidP="00487DFD">
      <w:pPr>
        <w:numPr>
          <w:ilvl w:val="0"/>
          <w:numId w:val="13"/>
        </w:numPr>
        <w:spacing w:before="60" w:line="360" w:lineRule="auto"/>
        <w:jc w:val="both"/>
        <w:rPr>
          <w:rFonts w:asciiTheme="majorHAnsi" w:hAnsiTheme="majorHAnsi"/>
        </w:rPr>
      </w:pPr>
      <w:r w:rsidRPr="00487DFD">
        <w:rPr>
          <w:rFonts w:asciiTheme="majorHAnsi" w:hAnsiTheme="majorHAnsi"/>
        </w:rPr>
        <w:t>Spectral Domain Optical Coherence Tomography (SD-OCT)</w:t>
      </w:r>
    </w:p>
    <w:p w:rsidR="00A22311" w:rsidRPr="006C0623" w:rsidRDefault="00615B2D" w:rsidP="00487DFD">
      <w:pPr>
        <w:numPr>
          <w:ilvl w:val="0"/>
          <w:numId w:val="13"/>
        </w:numPr>
        <w:spacing w:before="60" w:line="360" w:lineRule="auto"/>
        <w:jc w:val="both"/>
        <w:rPr>
          <w:rFonts w:asciiTheme="majorHAnsi" w:hAnsiTheme="majorHAnsi"/>
        </w:rPr>
      </w:pPr>
      <w:r w:rsidRPr="006C0623">
        <w:rPr>
          <w:rFonts w:asciiTheme="majorHAnsi" w:hAnsiTheme="majorHAnsi"/>
        </w:rPr>
        <w:t>BAF</w:t>
      </w:r>
      <w:r w:rsidR="008D2F0E" w:rsidRPr="006C0623">
        <w:rPr>
          <w:rFonts w:asciiTheme="majorHAnsi" w:hAnsiTheme="majorHAnsi"/>
        </w:rPr>
        <w:t xml:space="preserve"> in the area later treated with laser</w:t>
      </w:r>
      <w:r w:rsidR="00697EFC">
        <w:rPr>
          <w:rFonts w:asciiTheme="majorHAnsi" w:hAnsiTheme="majorHAnsi"/>
        </w:rPr>
        <w:t xml:space="preserve"> (Autofluorescence)</w:t>
      </w:r>
    </w:p>
    <w:p w:rsidR="00A22311" w:rsidRPr="006C0623" w:rsidRDefault="00797F05" w:rsidP="00487DFD">
      <w:pPr>
        <w:numPr>
          <w:ilvl w:val="0"/>
          <w:numId w:val="13"/>
        </w:numPr>
        <w:spacing w:before="60" w:line="360" w:lineRule="auto"/>
        <w:jc w:val="both"/>
        <w:rPr>
          <w:rFonts w:asciiTheme="majorHAnsi" w:hAnsiTheme="majorHAnsi"/>
        </w:rPr>
      </w:pPr>
      <w:r w:rsidRPr="006C0623">
        <w:rPr>
          <w:rFonts w:asciiTheme="majorHAnsi" w:hAnsiTheme="majorHAnsi"/>
        </w:rPr>
        <w:t xml:space="preserve">Microperimetry in </w:t>
      </w:r>
      <w:r w:rsidR="008D2F0E" w:rsidRPr="006C0623">
        <w:rPr>
          <w:rFonts w:asciiTheme="majorHAnsi" w:hAnsiTheme="majorHAnsi"/>
        </w:rPr>
        <w:t>a</w:t>
      </w:r>
      <w:r w:rsidR="001C3D72" w:rsidRPr="006C0623">
        <w:rPr>
          <w:rFonts w:asciiTheme="majorHAnsi" w:hAnsiTheme="majorHAnsi"/>
        </w:rPr>
        <w:t xml:space="preserve"> </w:t>
      </w:r>
      <w:r w:rsidR="00F91BB1" w:rsidRPr="006C0623">
        <w:rPr>
          <w:rFonts w:asciiTheme="majorHAnsi" w:hAnsiTheme="majorHAnsi"/>
        </w:rPr>
        <w:t>customized area</w:t>
      </w:r>
      <w:r w:rsidR="008D2F0E" w:rsidRPr="006C0623">
        <w:rPr>
          <w:rFonts w:asciiTheme="majorHAnsi" w:hAnsiTheme="majorHAnsi"/>
        </w:rPr>
        <w:t xml:space="preserve"> later treated with laser</w:t>
      </w:r>
    </w:p>
    <w:p w:rsidR="00A22311" w:rsidRPr="00487DFD" w:rsidRDefault="00A22311" w:rsidP="00487DFD">
      <w:pPr>
        <w:pStyle w:val="Heading3"/>
        <w:spacing w:line="360" w:lineRule="auto"/>
        <w:rPr>
          <w:rFonts w:asciiTheme="majorHAnsi" w:hAnsiTheme="majorHAnsi"/>
        </w:rPr>
      </w:pPr>
      <w:bookmarkStart w:id="75" w:name="_Toc324107869"/>
      <w:r w:rsidRPr="00487DFD">
        <w:rPr>
          <w:rFonts w:asciiTheme="majorHAnsi" w:hAnsiTheme="majorHAnsi"/>
        </w:rPr>
        <w:t>Day 0</w:t>
      </w:r>
      <w:r w:rsidR="0082174C">
        <w:rPr>
          <w:rFonts w:asciiTheme="majorHAnsi" w:hAnsiTheme="majorHAnsi"/>
        </w:rPr>
        <w:t xml:space="preserve"> (Baseline)</w:t>
      </w:r>
      <w:r w:rsidRPr="00487DFD">
        <w:rPr>
          <w:rFonts w:asciiTheme="majorHAnsi" w:hAnsiTheme="majorHAnsi"/>
        </w:rPr>
        <w:t xml:space="preserve"> – </w:t>
      </w:r>
      <w:bookmarkEnd w:id="75"/>
      <w:r w:rsidR="00615B2D" w:rsidRPr="00487DFD">
        <w:rPr>
          <w:rFonts w:asciiTheme="majorHAnsi" w:hAnsiTheme="majorHAnsi"/>
        </w:rPr>
        <w:t xml:space="preserve">Treatment Visit </w:t>
      </w:r>
    </w:p>
    <w:p w:rsidR="00615B2D" w:rsidRPr="00487DFD" w:rsidRDefault="00615B2D" w:rsidP="00487DFD">
      <w:pPr>
        <w:numPr>
          <w:ilvl w:val="0"/>
          <w:numId w:val="13"/>
        </w:numPr>
        <w:spacing w:before="60" w:line="360" w:lineRule="auto"/>
        <w:jc w:val="both"/>
        <w:rPr>
          <w:rFonts w:asciiTheme="majorHAnsi" w:hAnsiTheme="majorHAnsi"/>
        </w:rPr>
      </w:pPr>
      <w:r w:rsidRPr="00487DFD">
        <w:rPr>
          <w:rFonts w:asciiTheme="majorHAnsi" w:hAnsiTheme="majorHAnsi"/>
        </w:rPr>
        <w:t>Ophthalmic history, including prior medication use</w:t>
      </w:r>
    </w:p>
    <w:p w:rsidR="00615B2D" w:rsidRPr="00487DFD" w:rsidRDefault="00615B2D" w:rsidP="00487DFD">
      <w:pPr>
        <w:numPr>
          <w:ilvl w:val="0"/>
          <w:numId w:val="13"/>
        </w:numPr>
        <w:spacing w:before="60" w:line="360" w:lineRule="auto"/>
        <w:jc w:val="both"/>
        <w:rPr>
          <w:rFonts w:asciiTheme="majorHAnsi" w:hAnsiTheme="majorHAnsi"/>
        </w:rPr>
      </w:pPr>
      <w:r w:rsidRPr="00487DFD">
        <w:rPr>
          <w:rFonts w:asciiTheme="majorHAnsi" w:hAnsiTheme="majorHAnsi"/>
        </w:rPr>
        <w:t>Best Corrected ETDRS Visual Acuity (VA) at 4 meters prior to dilatation</w:t>
      </w:r>
    </w:p>
    <w:p w:rsidR="00615B2D" w:rsidRPr="00487DFD" w:rsidRDefault="00615B2D" w:rsidP="00487DFD">
      <w:pPr>
        <w:numPr>
          <w:ilvl w:val="0"/>
          <w:numId w:val="13"/>
        </w:numPr>
        <w:spacing w:before="60" w:line="360" w:lineRule="auto"/>
        <w:jc w:val="both"/>
        <w:rPr>
          <w:rFonts w:asciiTheme="majorHAnsi" w:hAnsiTheme="majorHAnsi"/>
        </w:rPr>
      </w:pPr>
      <w:r w:rsidRPr="00487DFD">
        <w:rPr>
          <w:rFonts w:asciiTheme="majorHAnsi" w:hAnsiTheme="majorHAnsi"/>
        </w:rPr>
        <w:t>Slit lamp examination</w:t>
      </w:r>
    </w:p>
    <w:p w:rsidR="00615B2D" w:rsidRPr="00487DFD" w:rsidRDefault="00615B2D" w:rsidP="00487DFD">
      <w:pPr>
        <w:numPr>
          <w:ilvl w:val="0"/>
          <w:numId w:val="13"/>
        </w:numPr>
        <w:spacing w:before="60" w:line="360" w:lineRule="auto"/>
        <w:jc w:val="both"/>
        <w:rPr>
          <w:rFonts w:asciiTheme="majorHAnsi" w:hAnsiTheme="majorHAnsi"/>
        </w:rPr>
      </w:pPr>
      <w:r w:rsidRPr="00487DFD">
        <w:rPr>
          <w:rFonts w:asciiTheme="majorHAnsi" w:hAnsiTheme="majorHAnsi"/>
        </w:rPr>
        <w:t>Fundus examination (by indirect ophthalmoscopy)</w:t>
      </w:r>
    </w:p>
    <w:p w:rsidR="00615B2D" w:rsidRPr="00487DFD" w:rsidRDefault="00615B2D" w:rsidP="00487DFD">
      <w:pPr>
        <w:numPr>
          <w:ilvl w:val="0"/>
          <w:numId w:val="13"/>
        </w:numPr>
        <w:spacing w:before="60" w:line="360" w:lineRule="auto"/>
        <w:jc w:val="both"/>
        <w:rPr>
          <w:rFonts w:asciiTheme="majorHAnsi" w:hAnsiTheme="majorHAnsi"/>
        </w:rPr>
      </w:pPr>
      <w:r w:rsidRPr="00487DFD">
        <w:rPr>
          <w:rFonts w:asciiTheme="majorHAnsi" w:hAnsiTheme="majorHAnsi"/>
        </w:rPr>
        <w:t>Intraocular pressure (IOP)</w:t>
      </w:r>
    </w:p>
    <w:p w:rsidR="00615B2D" w:rsidRPr="00487DFD" w:rsidRDefault="00615B2D" w:rsidP="00487DFD">
      <w:pPr>
        <w:numPr>
          <w:ilvl w:val="0"/>
          <w:numId w:val="13"/>
        </w:numPr>
        <w:spacing w:before="60" w:line="360" w:lineRule="auto"/>
        <w:jc w:val="both"/>
        <w:rPr>
          <w:rFonts w:asciiTheme="majorHAnsi" w:hAnsiTheme="majorHAnsi"/>
        </w:rPr>
      </w:pPr>
      <w:r w:rsidRPr="00487DFD">
        <w:rPr>
          <w:rFonts w:asciiTheme="majorHAnsi" w:hAnsiTheme="majorHAnsi"/>
        </w:rPr>
        <w:t>Spectral Domain Optical Coherence Tomography (SD-OCT)</w:t>
      </w:r>
    </w:p>
    <w:p w:rsidR="008D2F0E" w:rsidRPr="006C0623" w:rsidRDefault="008D2F0E" w:rsidP="00487DFD">
      <w:pPr>
        <w:numPr>
          <w:ilvl w:val="0"/>
          <w:numId w:val="13"/>
        </w:numPr>
        <w:spacing w:before="60" w:line="360" w:lineRule="auto"/>
        <w:jc w:val="both"/>
        <w:rPr>
          <w:rFonts w:asciiTheme="majorHAnsi" w:hAnsiTheme="majorHAnsi"/>
        </w:rPr>
      </w:pPr>
      <w:r w:rsidRPr="006C0623">
        <w:rPr>
          <w:rFonts w:asciiTheme="majorHAnsi" w:hAnsiTheme="majorHAnsi"/>
        </w:rPr>
        <w:t>BAF in the area later treated with laser</w:t>
      </w:r>
      <w:r w:rsidR="00697EFC">
        <w:rPr>
          <w:rFonts w:asciiTheme="majorHAnsi" w:hAnsiTheme="majorHAnsi"/>
        </w:rPr>
        <w:t xml:space="preserve"> (Autofluorescence)</w:t>
      </w:r>
    </w:p>
    <w:p w:rsidR="008D2F0E" w:rsidRPr="006C0623" w:rsidRDefault="008D2F0E" w:rsidP="00487DFD">
      <w:pPr>
        <w:numPr>
          <w:ilvl w:val="0"/>
          <w:numId w:val="13"/>
        </w:numPr>
        <w:spacing w:before="60" w:line="360" w:lineRule="auto"/>
        <w:jc w:val="both"/>
        <w:rPr>
          <w:rFonts w:asciiTheme="majorHAnsi" w:hAnsiTheme="majorHAnsi"/>
        </w:rPr>
      </w:pPr>
      <w:r w:rsidRPr="006C0623">
        <w:rPr>
          <w:rFonts w:asciiTheme="majorHAnsi" w:hAnsiTheme="majorHAnsi"/>
        </w:rPr>
        <w:t>Microperimetry in a customized area later treated with laser</w:t>
      </w:r>
    </w:p>
    <w:p w:rsidR="00797F05" w:rsidRPr="00487DFD" w:rsidRDefault="00797F05" w:rsidP="00487DFD">
      <w:pPr>
        <w:numPr>
          <w:ilvl w:val="0"/>
          <w:numId w:val="13"/>
        </w:numPr>
        <w:spacing w:before="60" w:line="360" w:lineRule="auto"/>
        <w:jc w:val="both"/>
        <w:rPr>
          <w:rFonts w:asciiTheme="majorHAnsi" w:hAnsiTheme="majorHAnsi"/>
        </w:rPr>
      </w:pPr>
      <w:r w:rsidRPr="00487DFD">
        <w:rPr>
          <w:rFonts w:asciiTheme="majorHAnsi" w:hAnsiTheme="majorHAnsi"/>
        </w:rPr>
        <w:t xml:space="preserve">An </w:t>
      </w:r>
      <w:r w:rsidR="00817ABD" w:rsidRPr="00487DFD">
        <w:rPr>
          <w:rFonts w:asciiTheme="majorHAnsi" w:hAnsiTheme="majorHAnsi"/>
        </w:rPr>
        <w:t xml:space="preserve">extramacular </w:t>
      </w:r>
      <w:r w:rsidRPr="00487DFD">
        <w:rPr>
          <w:rFonts w:asciiTheme="majorHAnsi" w:hAnsiTheme="majorHAnsi"/>
        </w:rPr>
        <w:t xml:space="preserve">area of 1.27 </w:t>
      </w:r>
      <w:r w:rsidR="007A1BA4" w:rsidRPr="00487DFD">
        <w:rPr>
          <w:rFonts w:asciiTheme="majorHAnsi" w:hAnsiTheme="majorHAnsi"/>
        </w:rPr>
        <w:t>mm2</w:t>
      </w:r>
      <w:r w:rsidRPr="00487DFD">
        <w:rPr>
          <w:rFonts w:asciiTheme="majorHAnsi" w:hAnsiTheme="majorHAnsi"/>
          <w:vertAlign w:val="superscript"/>
        </w:rPr>
        <w:t xml:space="preserve"> </w:t>
      </w:r>
      <w:r w:rsidRPr="00487DFD">
        <w:rPr>
          <w:rFonts w:asciiTheme="majorHAnsi" w:hAnsiTheme="majorHAnsi"/>
        </w:rPr>
        <w:t xml:space="preserve">( ½ of a disk area, disk area= 2.54 </w:t>
      </w:r>
      <w:r w:rsidR="007A1BA4" w:rsidRPr="00487DFD">
        <w:rPr>
          <w:rFonts w:asciiTheme="majorHAnsi" w:hAnsiTheme="majorHAnsi"/>
        </w:rPr>
        <w:t>m</w:t>
      </w:r>
      <w:r w:rsidRPr="00487DFD">
        <w:rPr>
          <w:rFonts w:asciiTheme="majorHAnsi" w:hAnsiTheme="majorHAnsi"/>
        </w:rPr>
        <w:t>m</w:t>
      </w:r>
      <w:r w:rsidRPr="00487DFD">
        <w:rPr>
          <w:rFonts w:asciiTheme="majorHAnsi" w:hAnsiTheme="majorHAnsi"/>
          <w:vertAlign w:val="superscript"/>
        </w:rPr>
        <w:t xml:space="preserve">2 </w:t>
      </w:r>
      <w:r w:rsidRPr="00487DFD">
        <w:rPr>
          <w:rFonts w:asciiTheme="majorHAnsi" w:hAnsiTheme="majorHAnsi"/>
        </w:rPr>
        <w:t xml:space="preserve">) </w:t>
      </w:r>
      <w:r w:rsidR="00817ABD" w:rsidRPr="00487DFD">
        <w:rPr>
          <w:rFonts w:asciiTheme="majorHAnsi" w:hAnsiTheme="majorHAnsi"/>
        </w:rPr>
        <w:t xml:space="preserve"> is treated with subth</w:t>
      </w:r>
      <w:r w:rsidR="004626D8" w:rsidRPr="00487DFD">
        <w:rPr>
          <w:rFonts w:asciiTheme="majorHAnsi" w:hAnsiTheme="majorHAnsi"/>
        </w:rPr>
        <w:t>r</w:t>
      </w:r>
      <w:r w:rsidR="00817ABD" w:rsidRPr="00487DFD">
        <w:rPr>
          <w:rFonts w:asciiTheme="majorHAnsi" w:hAnsiTheme="majorHAnsi"/>
        </w:rPr>
        <w:t>eshold laser.</w:t>
      </w:r>
    </w:p>
    <w:p w:rsidR="002144A6" w:rsidRDefault="00615B2D" w:rsidP="00487DFD">
      <w:pPr>
        <w:numPr>
          <w:ilvl w:val="0"/>
          <w:numId w:val="13"/>
        </w:numPr>
        <w:spacing w:line="360" w:lineRule="auto"/>
        <w:jc w:val="both"/>
        <w:rPr>
          <w:rFonts w:asciiTheme="majorHAnsi" w:hAnsiTheme="majorHAnsi"/>
        </w:rPr>
      </w:pPr>
      <w:r w:rsidRPr="00487DFD">
        <w:rPr>
          <w:rFonts w:asciiTheme="majorHAnsi" w:hAnsiTheme="majorHAnsi"/>
        </w:rPr>
        <w:t>Record concomitant medications</w:t>
      </w:r>
    </w:p>
    <w:p w:rsidR="0082174C" w:rsidRPr="00487DFD" w:rsidRDefault="0082174C" w:rsidP="00487DFD">
      <w:pPr>
        <w:numPr>
          <w:ilvl w:val="0"/>
          <w:numId w:val="13"/>
        </w:numPr>
        <w:spacing w:line="360" w:lineRule="auto"/>
        <w:jc w:val="both"/>
        <w:rPr>
          <w:rFonts w:asciiTheme="majorHAnsi" w:hAnsiTheme="majorHAnsi"/>
        </w:rPr>
      </w:pPr>
      <w:r>
        <w:rPr>
          <w:rFonts w:asciiTheme="majorHAnsi" w:hAnsiTheme="majorHAnsi"/>
        </w:rPr>
        <w:t>Post treatment assessment</w:t>
      </w:r>
    </w:p>
    <w:p w:rsidR="008D2F0E" w:rsidRPr="00487DFD" w:rsidRDefault="008D2F0E" w:rsidP="00487DFD">
      <w:pPr>
        <w:spacing w:line="360" w:lineRule="auto"/>
        <w:jc w:val="both"/>
        <w:rPr>
          <w:rFonts w:asciiTheme="majorHAnsi" w:eastAsiaTheme="minorEastAsia" w:hAnsiTheme="majorHAnsi"/>
          <w:color w:val="191919"/>
          <w:lang w:val="it-IT" w:eastAsia="it-IT"/>
        </w:rPr>
      </w:pPr>
    </w:p>
    <w:p w:rsidR="008D2F0E" w:rsidRPr="00487DFD" w:rsidRDefault="008D2F0E" w:rsidP="00487DFD">
      <w:pPr>
        <w:spacing w:line="360" w:lineRule="auto"/>
        <w:jc w:val="both"/>
        <w:rPr>
          <w:rFonts w:asciiTheme="majorHAnsi" w:eastAsiaTheme="minorEastAsia" w:hAnsiTheme="majorHAnsi"/>
          <w:color w:val="191919"/>
          <w:lang w:val="it-IT" w:eastAsia="it-IT"/>
        </w:rPr>
      </w:pPr>
    </w:p>
    <w:p w:rsidR="002144A6" w:rsidRPr="003179E6" w:rsidRDefault="008D2F0E" w:rsidP="00487DFD">
      <w:pPr>
        <w:spacing w:line="360" w:lineRule="auto"/>
        <w:jc w:val="both"/>
        <w:rPr>
          <w:rFonts w:asciiTheme="majorHAnsi" w:eastAsiaTheme="minorEastAsia" w:hAnsiTheme="majorHAnsi"/>
          <w:color w:val="191919"/>
          <w:lang w:eastAsia="it-IT"/>
        </w:rPr>
      </w:pPr>
      <w:r w:rsidRPr="00487DFD">
        <w:rPr>
          <w:rFonts w:asciiTheme="majorHAnsi" w:hAnsiTheme="majorHAnsi"/>
          <w:lang w:val="en-GB" w:eastAsia="it-IT"/>
        </w:rPr>
        <w:t>Screening visit and Day 0 can be performed on the same day</w:t>
      </w:r>
    </w:p>
    <w:p w:rsidR="00A22311" w:rsidRPr="006C0623" w:rsidRDefault="00615B2D" w:rsidP="00487DFD">
      <w:pPr>
        <w:pStyle w:val="Heading3"/>
        <w:spacing w:line="360" w:lineRule="auto"/>
        <w:rPr>
          <w:rFonts w:asciiTheme="majorHAnsi" w:hAnsiTheme="majorHAnsi"/>
          <w:lang w:val="en-US"/>
        </w:rPr>
      </w:pPr>
      <w:bookmarkStart w:id="76" w:name="_Toc324107870"/>
      <w:r w:rsidRPr="00487DFD">
        <w:rPr>
          <w:rFonts w:asciiTheme="majorHAnsi" w:hAnsiTheme="majorHAnsi"/>
          <w:lang w:val="en-GB"/>
        </w:rPr>
        <w:t>Follow-up Visits (</w:t>
      </w:r>
      <w:bookmarkEnd w:id="76"/>
      <w:r w:rsidRPr="00487DFD">
        <w:rPr>
          <w:rFonts w:asciiTheme="majorHAnsi" w:hAnsiTheme="majorHAnsi"/>
          <w:lang w:val="en-GB"/>
        </w:rPr>
        <w:t>week 4</w:t>
      </w:r>
      <w:r w:rsidR="007E668F" w:rsidRPr="00487DFD">
        <w:rPr>
          <w:rFonts w:asciiTheme="majorHAnsi" w:hAnsiTheme="majorHAnsi"/>
          <w:lang w:val="en-GB"/>
        </w:rPr>
        <w:t xml:space="preserve"> +/- 7 days </w:t>
      </w:r>
      <w:r w:rsidRPr="00487DFD">
        <w:rPr>
          <w:rFonts w:asciiTheme="majorHAnsi" w:hAnsiTheme="majorHAnsi"/>
          <w:lang w:val="en-GB"/>
        </w:rPr>
        <w:t>, week</w:t>
      </w:r>
      <w:r w:rsidR="007E668F" w:rsidRPr="00487DFD">
        <w:rPr>
          <w:rFonts w:asciiTheme="majorHAnsi" w:hAnsiTheme="majorHAnsi"/>
          <w:lang w:val="en-GB"/>
        </w:rPr>
        <w:t xml:space="preserve"> 12 +/- 7 days</w:t>
      </w:r>
      <w:r w:rsidRPr="00487DFD">
        <w:rPr>
          <w:rFonts w:asciiTheme="majorHAnsi" w:hAnsiTheme="majorHAnsi"/>
          <w:lang w:val="en-GB"/>
        </w:rPr>
        <w:t>)</w:t>
      </w:r>
      <w:r w:rsidR="00817ABD" w:rsidRPr="00487DFD">
        <w:rPr>
          <w:rFonts w:asciiTheme="majorHAnsi" w:hAnsiTheme="majorHAnsi"/>
          <w:lang w:val="en-GB"/>
        </w:rPr>
        <w:t xml:space="preserve"> </w:t>
      </w:r>
    </w:p>
    <w:p w:rsidR="00A22311" w:rsidRPr="00487DFD" w:rsidRDefault="00A22311" w:rsidP="00487DFD">
      <w:pPr>
        <w:spacing w:line="360" w:lineRule="auto"/>
        <w:ind w:left="720"/>
        <w:jc w:val="both"/>
        <w:rPr>
          <w:rFonts w:asciiTheme="majorHAnsi" w:hAnsiTheme="majorHAnsi"/>
        </w:rPr>
      </w:pPr>
    </w:p>
    <w:p w:rsidR="00A22311" w:rsidRPr="00487DFD" w:rsidRDefault="008D2F0E" w:rsidP="00487DFD">
      <w:pPr>
        <w:numPr>
          <w:ilvl w:val="0"/>
          <w:numId w:val="9"/>
        </w:numPr>
        <w:tabs>
          <w:tab w:val="clear" w:pos="1080"/>
        </w:tabs>
        <w:spacing w:line="360" w:lineRule="auto"/>
        <w:jc w:val="both"/>
        <w:rPr>
          <w:rFonts w:asciiTheme="majorHAnsi" w:hAnsiTheme="majorHAnsi"/>
        </w:rPr>
      </w:pPr>
      <w:r w:rsidRPr="00487DFD">
        <w:rPr>
          <w:rFonts w:asciiTheme="majorHAnsi" w:hAnsiTheme="majorHAnsi"/>
        </w:rPr>
        <w:t>B</w:t>
      </w:r>
      <w:r w:rsidR="00A22311" w:rsidRPr="00487DFD">
        <w:rPr>
          <w:rFonts w:asciiTheme="majorHAnsi" w:hAnsiTheme="majorHAnsi"/>
        </w:rPr>
        <w:t>V</w:t>
      </w:r>
      <w:r w:rsidRPr="00487DFD">
        <w:rPr>
          <w:rFonts w:asciiTheme="majorHAnsi" w:hAnsiTheme="majorHAnsi"/>
        </w:rPr>
        <w:t>C</w:t>
      </w:r>
      <w:r w:rsidR="00A22311" w:rsidRPr="00487DFD">
        <w:rPr>
          <w:rFonts w:asciiTheme="majorHAnsi" w:hAnsiTheme="majorHAnsi"/>
        </w:rPr>
        <w:t>A</w:t>
      </w:r>
    </w:p>
    <w:p w:rsidR="008D2F0E" w:rsidRPr="00487DFD" w:rsidRDefault="008D2F0E" w:rsidP="00487DFD">
      <w:pPr>
        <w:numPr>
          <w:ilvl w:val="0"/>
          <w:numId w:val="13"/>
        </w:numPr>
        <w:spacing w:line="360" w:lineRule="auto"/>
        <w:ind w:left="994" w:hanging="274"/>
        <w:jc w:val="both"/>
        <w:rPr>
          <w:rFonts w:asciiTheme="majorHAnsi" w:hAnsiTheme="majorHAnsi"/>
        </w:rPr>
      </w:pPr>
      <w:r w:rsidRPr="00487DFD">
        <w:rPr>
          <w:rFonts w:asciiTheme="majorHAnsi" w:hAnsiTheme="majorHAnsi"/>
        </w:rPr>
        <w:t xml:space="preserve"> </w:t>
      </w:r>
      <w:r w:rsidR="00A22311" w:rsidRPr="00487DFD">
        <w:rPr>
          <w:rFonts w:asciiTheme="majorHAnsi" w:hAnsiTheme="majorHAnsi"/>
        </w:rPr>
        <w:t>Slit lamp examination</w:t>
      </w:r>
    </w:p>
    <w:p w:rsidR="00615B2D" w:rsidRPr="00487DFD" w:rsidRDefault="00615B2D" w:rsidP="00487DFD">
      <w:pPr>
        <w:numPr>
          <w:ilvl w:val="0"/>
          <w:numId w:val="13"/>
        </w:numPr>
        <w:spacing w:line="360" w:lineRule="auto"/>
        <w:ind w:left="994" w:hanging="274"/>
        <w:jc w:val="both"/>
        <w:rPr>
          <w:rFonts w:asciiTheme="majorHAnsi" w:hAnsiTheme="majorHAnsi"/>
        </w:rPr>
      </w:pPr>
      <w:r w:rsidRPr="00487DFD">
        <w:rPr>
          <w:rFonts w:asciiTheme="majorHAnsi" w:hAnsiTheme="majorHAnsi"/>
        </w:rPr>
        <w:t>Fundus examination (by indirect ophthalmoscopy)</w:t>
      </w:r>
    </w:p>
    <w:p w:rsidR="00A22311" w:rsidRPr="00487DFD" w:rsidRDefault="00A22311" w:rsidP="00697EFC">
      <w:pPr>
        <w:numPr>
          <w:ilvl w:val="0"/>
          <w:numId w:val="13"/>
        </w:numPr>
        <w:spacing w:line="360" w:lineRule="auto"/>
        <w:ind w:left="994" w:hanging="274"/>
        <w:jc w:val="both"/>
        <w:rPr>
          <w:rFonts w:asciiTheme="majorHAnsi" w:hAnsiTheme="majorHAnsi"/>
        </w:rPr>
      </w:pPr>
      <w:r w:rsidRPr="00487DFD">
        <w:rPr>
          <w:rFonts w:asciiTheme="majorHAnsi" w:hAnsiTheme="majorHAnsi"/>
        </w:rPr>
        <w:t>IOP</w:t>
      </w:r>
    </w:p>
    <w:p w:rsidR="00697EFC" w:rsidRPr="00697EFC" w:rsidRDefault="00697EFC" w:rsidP="00697EFC">
      <w:pPr>
        <w:numPr>
          <w:ilvl w:val="0"/>
          <w:numId w:val="13"/>
        </w:numPr>
        <w:spacing w:line="360" w:lineRule="auto"/>
        <w:ind w:left="994" w:hanging="274"/>
        <w:jc w:val="both"/>
        <w:rPr>
          <w:rFonts w:asciiTheme="majorHAnsi" w:hAnsiTheme="majorHAnsi"/>
        </w:rPr>
      </w:pPr>
      <w:r w:rsidRPr="00697EFC">
        <w:rPr>
          <w:rFonts w:asciiTheme="majorHAnsi" w:hAnsiTheme="majorHAnsi"/>
        </w:rPr>
        <w:t>Spectral Domain Optical Coherence Tomography (SD-OCT)</w:t>
      </w:r>
    </w:p>
    <w:p w:rsidR="008D2F0E" w:rsidRPr="006C0623" w:rsidRDefault="008D2F0E" w:rsidP="00697EFC">
      <w:pPr>
        <w:numPr>
          <w:ilvl w:val="0"/>
          <w:numId w:val="13"/>
        </w:numPr>
        <w:spacing w:line="360" w:lineRule="auto"/>
        <w:ind w:left="994" w:hanging="274"/>
        <w:jc w:val="both"/>
        <w:rPr>
          <w:rFonts w:asciiTheme="majorHAnsi" w:hAnsiTheme="majorHAnsi"/>
        </w:rPr>
      </w:pPr>
      <w:r w:rsidRPr="006C0623">
        <w:rPr>
          <w:rFonts w:asciiTheme="majorHAnsi" w:hAnsiTheme="majorHAnsi"/>
        </w:rPr>
        <w:lastRenderedPageBreak/>
        <w:t>BAF in the area previously treated with laser</w:t>
      </w:r>
      <w:r w:rsidR="00697EFC">
        <w:rPr>
          <w:rFonts w:asciiTheme="majorHAnsi" w:hAnsiTheme="majorHAnsi"/>
        </w:rPr>
        <w:t xml:space="preserve"> (Autofluorescence)</w:t>
      </w:r>
    </w:p>
    <w:p w:rsidR="008D2F0E" w:rsidRPr="006C0623" w:rsidRDefault="008D2F0E" w:rsidP="00697EFC">
      <w:pPr>
        <w:numPr>
          <w:ilvl w:val="0"/>
          <w:numId w:val="13"/>
        </w:numPr>
        <w:spacing w:line="360" w:lineRule="auto"/>
        <w:ind w:left="994" w:hanging="274"/>
        <w:jc w:val="both"/>
        <w:rPr>
          <w:rFonts w:asciiTheme="majorHAnsi" w:hAnsiTheme="majorHAnsi"/>
        </w:rPr>
      </w:pPr>
      <w:r w:rsidRPr="006C0623">
        <w:rPr>
          <w:rFonts w:asciiTheme="majorHAnsi" w:hAnsiTheme="majorHAnsi"/>
        </w:rPr>
        <w:t>Microperimetry in a customized area previously treated with laser</w:t>
      </w:r>
    </w:p>
    <w:p w:rsidR="00615B2D" w:rsidRPr="00487DFD" w:rsidRDefault="00615B2D" w:rsidP="00487DFD">
      <w:pPr>
        <w:numPr>
          <w:ilvl w:val="0"/>
          <w:numId w:val="9"/>
        </w:numPr>
        <w:spacing w:line="360" w:lineRule="auto"/>
        <w:jc w:val="both"/>
        <w:rPr>
          <w:rFonts w:asciiTheme="majorHAnsi" w:hAnsiTheme="majorHAnsi"/>
        </w:rPr>
      </w:pPr>
      <w:r w:rsidRPr="00487DFD">
        <w:rPr>
          <w:rFonts w:asciiTheme="majorHAnsi" w:hAnsiTheme="majorHAnsi"/>
        </w:rPr>
        <w:t>Record concomitant medications</w:t>
      </w:r>
    </w:p>
    <w:p w:rsidR="00A22311" w:rsidRPr="00487DFD" w:rsidRDefault="00A22311" w:rsidP="00487DFD">
      <w:pPr>
        <w:pStyle w:val="Heading3"/>
        <w:spacing w:line="360" w:lineRule="auto"/>
        <w:rPr>
          <w:rFonts w:asciiTheme="majorHAnsi" w:hAnsiTheme="majorHAnsi"/>
        </w:rPr>
      </w:pPr>
      <w:bookmarkStart w:id="77" w:name="_Toc324107877"/>
      <w:r w:rsidRPr="00487DFD">
        <w:rPr>
          <w:rFonts w:asciiTheme="majorHAnsi" w:hAnsiTheme="majorHAnsi"/>
        </w:rPr>
        <w:t>Unscheduled Visits</w:t>
      </w:r>
      <w:bookmarkEnd w:id="77"/>
    </w:p>
    <w:p w:rsidR="00A22311" w:rsidRPr="00487DFD" w:rsidRDefault="00A22311" w:rsidP="00487DFD">
      <w:pPr>
        <w:keepNext/>
        <w:spacing w:line="360" w:lineRule="auto"/>
        <w:jc w:val="both"/>
        <w:rPr>
          <w:rFonts w:asciiTheme="majorHAnsi" w:hAnsiTheme="majorHAnsi"/>
        </w:rPr>
      </w:pPr>
      <w:r w:rsidRPr="00487DFD">
        <w:rPr>
          <w:rFonts w:asciiTheme="majorHAnsi" w:hAnsiTheme="majorHAnsi"/>
        </w:rPr>
        <w:t xml:space="preserve">If at any time during the study, outside of the above scheduled visits, the physician determines the subject should be assessed for re-treatment, an unscheduled visit may occur and the following assessments should be performed on </w:t>
      </w:r>
      <w:r w:rsidRPr="00487DFD">
        <w:rPr>
          <w:rFonts w:asciiTheme="majorHAnsi" w:hAnsiTheme="majorHAnsi"/>
          <w:b/>
        </w:rPr>
        <w:t>the study eye</w:t>
      </w:r>
      <w:r w:rsidRPr="00487DFD">
        <w:rPr>
          <w:rFonts w:asciiTheme="majorHAnsi" w:hAnsiTheme="majorHAnsi"/>
        </w:rPr>
        <w:t>:</w:t>
      </w:r>
    </w:p>
    <w:p w:rsidR="00615B2D" w:rsidRPr="00487DFD" w:rsidRDefault="00615B2D" w:rsidP="00487DFD">
      <w:pPr>
        <w:numPr>
          <w:ilvl w:val="0"/>
          <w:numId w:val="13"/>
        </w:numPr>
        <w:spacing w:before="60" w:line="360" w:lineRule="auto"/>
        <w:jc w:val="both"/>
        <w:rPr>
          <w:rFonts w:asciiTheme="majorHAnsi" w:hAnsiTheme="majorHAnsi"/>
        </w:rPr>
      </w:pPr>
      <w:r w:rsidRPr="00487DFD">
        <w:rPr>
          <w:rFonts w:asciiTheme="majorHAnsi" w:hAnsiTheme="majorHAnsi"/>
        </w:rPr>
        <w:t>Best Corrected ETDRS Visual Acuity (VA) at 4 meters prior to dilatation</w:t>
      </w:r>
    </w:p>
    <w:p w:rsidR="00615B2D" w:rsidRPr="00487DFD" w:rsidRDefault="00615B2D" w:rsidP="00487DFD">
      <w:pPr>
        <w:numPr>
          <w:ilvl w:val="0"/>
          <w:numId w:val="13"/>
        </w:numPr>
        <w:spacing w:before="60" w:line="360" w:lineRule="auto"/>
        <w:jc w:val="both"/>
        <w:rPr>
          <w:rFonts w:asciiTheme="majorHAnsi" w:hAnsiTheme="majorHAnsi"/>
        </w:rPr>
      </w:pPr>
      <w:r w:rsidRPr="00487DFD">
        <w:rPr>
          <w:rFonts w:asciiTheme="majorHAnsi" w:hAnsiTheme="majorHAnsi"/>
        </w:rPr>
        <w:t>Slit lamp examination</w:t>
      </w:r>
    </w:p>
    <w:p w:rsidR="00615B2D" w:rsidRPr="00487DFD" w:rsidRDefault="00615B2D" w:rsidP="00487DFD">
      <w:pPr>
        <w:numPr>
          <w:ilvl w:val="0"/>
          <w:numId w:val="13"/>
        </w:numPr>
        <w:spacing w:before="60" w:line="360" w:lineRule="auto"/>
        <w:jc w:val="both"/>
        <w:rPr>
          <w:rFonts w:asciiTheme="majorHAnsi" w:hAnsiTheme="majorHAnsi"/>
        </w:rPr>
      </w:pPr>
      <w:r w:rsidRPr="00487DFD">
        <w:rPr>
          <w:rFonts w:asciiTheme="majorHAnsi" w:hAnsiTheme="majorHAnsi"/>
        </w:rPr>
        <w:t>Fundus examination (by indirect ophthalmoscopy)</w:t>
      </w:r>
    </w:p>
    <w:p w:rsidR="00615B2D" w:rsidRPr="00487DFD" w:rsidRDefault="00615B2D" w:rsidP="00487DFD">
      <w:pPr>
        <w:numPr>
          <w:ilvl w:val="0"/>
          <w:numId w:val="13"/>
        </w:numPr>
        <w:spacing w:before="60" w:line="360" w:lineRule="auto"/>
        <w:jc w:val="both"/>
        <w:rPr>
          <w:rFonts w:asciiTheme="majorHAnsi" w:hAnsiTheme="majorHAnsi"/>
        </w:rPr>
      </w:pPr>
      <w:r w:rsidRPr="00487DFD">
        <w:rPr>
          <w:rFonts w:asciiTheme="majorHAnsi" w:hAnsiTheme="majorHAnsi"/>
        </w:rPr>
        <w:t>Intraocular pressure (IOP)</w:t>
      </w:r>
    </w:p>
    <w:p w:rsidR="00615B2D" w:rsidRPr="00487DFD" w:rsidRDefault="00615B2D" w:rsidP="00487DFD">
      <w:pPr>
        <w:numPr>
          <w:ilvl w:val="0"/>
          <w:numId w:val="13"/>
        </w:numPr>
        <w:spacing w:before="60" w:line="360" w:lineRule="auto"/>
        <w:jc w:val="both"/>
        <w:rPr>
          <w:rFonts w:asciiTheme="majorHAnsi" w:hAnsiTheme="majorHAnsi"/>
        </w:rPr>
      </w:pPr>
      <w:r w:rsidRPr="00487DFD">
        <w:rPr>
          <w:rFonts w:asciiTheme="majorHAnsi" w:hAnsiTheme="majorHAnsi"/>
        </w:rPr>
        <w:t>Spectral Domain Optical Coherence Tomography (SD-OCT)</w:t>
      </w:r>
    </w:p>
    <w:p w:rsidR="00615B2D" w:rsidRPr="00487DFD" w:rsidRDefault="00615B2D" w:rsidP="00487DFD">
      <w:pPr>
        <w:numPr>
          <w:ilvl w:val="0"/>
          <w:numId w:val="13"/>
        </w:numPr>
        <w:spacing w:before="60" w:line="360" w:lineRule="auto"/>
        <w:jc w:val="both"/>
        <w:rPr>
          <w:rFonts w:asciiTheme="majorHAnsi" w:hAnsiTheme="majorHAnsi"/>
        </w:rPr>
      </w:pPr>
      <w:r w:rsidRPr="00487DFD">
        <w:rPr>
          <w:rFonts w:asciiTheme="majorHAnsi" w:hAnsiTheme="majorHAnsi"/>
        </w:rPr>
        <w:t>BAF</w:t>
      </w:r>
      <w:r w:rsidR="008D2F0E" w:rsidRPr="00487DFD">
        <w:rPr>
          <w:rFonts w:asciiTheme="majorHAnsi" w:hAnsiTheme="majorHAnsi"/>
        </w:rPr>
        <w:t xml:space="preserve"> in a customized area treated by laser</w:t>
      </w:r>
      <w:r w:rsidR="00697EFC">
        <w:rPr>
          <w:rFonts w:asciiTheme="majorHAnsi" w:hAnsiTheme="majorHAnsi"/>
        </w:rPr>
        <w:t xml:space="preserve"> (Autofluorescence)</w:t>
      </w:r>
    </w:p>
    <w:p w:rsidR="00A22311" w:rsidRPr="00487DFD" w:rsidRDefault="00615B2D" w:rsidP="00487DFD">
      <w:pPr>
        <w:numPr>
          <w:ilvl w:val="0"/>
          <w:numId w:val="13"/>
        </w:numPr>
        <w:spacing w:before="60" w:line="360" w:lineRule="auto"/>
        <w:jc w:val="both"/>
        <w:rPr>
          <w:rFonts w:asciiTheme="majorHAnsi" w:hAnsiTheme="majorHAnsi"/>
        </w:rPr>
      </w:pPr>
      <w:r w:rsidRPr="00487DFD">
        <w:rPr>
          <w:rFonts w:asciiTheme="majorHAnsi" w:hAnsiTheme="majorHAnsi"/>
        </w:rPr>
        <w:t xml:space="preserve">Microperimetry in </w:t>
      </w:r>
      <w:r w:rsidR="008D2F0E" w:rsidRPr="00487DFD">
        <w:rPr>
          <w:rFonts w:asciiTheme="majorHAnsi" w:hAnsiTheme="majorHAnsi"/>
        </w:rPr>
        <w:t>a</w:t>
      </w:r>
      <w:r w:rsidRPr="00487DFD">
        <w:rPr>
          <w:rFonts w:asciiTheme="majorHAnsi" w:hAnsiTheme="majorHAnsi"/>
        </w:rPr>
        <w:t xml:space="preserve"> customized area</w:t>
      </w:r>
      <w:r w:rsidR="004626D8" w:rsidRPr="00487DFD">
        <w:rPr>
          <w:rFonts w:asciiTheme="majorHAnsi" w:hAnsiTheme="majorHAnsi"/>
        </w:rPr>
        <w:t xml:space="preserve"> treated by laser</w:t>
      </w:r>
    </w:p>
    <w:p w:rsidR="00A22311" w:rsidRPr="00487DFD" w:rsidRDefault="00A22311" w:rsidP="00487DFD">
      <w:pPr>
        <w:numPr>
          <w:ilvl w:val="0"/>
          <w:numId w:val="14"/>
        </w:numPr>
        <w:spacing w:line="360" w:lineRule="auto"/>
        <w:jc w:val="both"/>
        <w:rPr>
          <w:rFonts w:asciiTheme="majorHAnsi" w:hAnsiTheme="majorHAnsi"/>
        </w:rPr>
      </w:pPr>
      <w:r w:rsidRPr="00487DFD">
        <w:rPr>
          <w:rFonts w:asciiTheme="majorHAnsi" w:hAnsiTheme="majorHAnsi"/>
        </w:rPr>
        <w:t xml:space="preserve">Record adverse events </w:t>
      </w:r>
    </w:p>
    <w:p w:rsidR="00A22311" w:rsidRPr="00487DFD" w:rsidRDefault="00A22311" w:rsidP="00487DFD">
      <w:pPr>
        <w:numPr>
          <w:ilvl w:val="0"/>
          <w:numId w:val="14"/>
        </w:numPr>
        <w:spacing w:line="360" w:lineRule="auto"/>
        <w:jc w:val="both"/>
        <w:rPr>
          <w:rFonts w:asciiTheme="majorHAnsi" w:hAnsiTheme="majorHAnsi"/>
        </w:rPr>
      </w:pPr>
      <w:r w:rsidRPr="00487DFD">
        <w:rPr>
          <w:rFonts w:asciiTheme="majorHAnsi" w:hAnsiTheme="majorHAnsi"/>
        </w:rPr>
        <w:t>Record concomitant medications</w:t>
      </w:r>
    </w:p>
    <w:p w:rsidR="00A22311" w:rsidRPr="00487DFD" w:rsidRDefault="00A22311" w:rsidP="00487DFD">
      <w:pPr>
        <w:pStyle w:val="Heading3"/>
        <w:spacing w:line="360" w:lineRule="auto"/>
        <w:rPr>
          <w:rFonts w:asciiTheme="majorHAnsi" w:hAnsiTheme="majorHAnsi"/>
        </w:rPr>
      </w:pPr>
      <w:bookmarkStart w:id="78" w:name="_Toc324107878"/>
      <w:bookmarkStart w:id="79" w:name="_Toc194168470"/>
      <w:r w:rsidRPr="00487DFD">
        <w:rPr>
          <w:rFonts w:asciiTheme="majorHAnsi" w:hAnsiTheme="majorHAnsi"/>
        </w:rPr>
        <w:t>Follow Up of Discontinued Subjects</w:t>
      </w:r>
      <w:bookmarkEnd w:id="78"/>
    </w:p>
    <w:bookmarkEnd w:id="79"/>
    <w:p w:rsidR="00A22311" w:rsidRPr="00487DFD" w:rsidRDefault="00A22311" w:rsidP="00487DFD">
      <w:pPr>
        <w:widowControl w:val="0"/>
        <w:tabs>
          <w:tab w:val="left" w:pos="0"/>
        </w:tabs>
        <w:suppressAutoHyphens/>
        <w:spacing w:line="360" w:lineRule="auto"/>
        <w:jc w:val="both"/>
        <w:rPr>
          <w:rFonts w:asciiTheme="majorHAnsi" w:hAnsiTheme="majorHAnsi"/>
        </w:rPr>
      </w:pPr>
      <w:r w:rsidRPr="00487DFD">
        <w:rPr>
          <w:rFonts w:asciiTheme="majorHAnsi" w:hAnsiTheme="majorHAnsi"/>
        </w:rPr>
        <w:t>Subjects who discontinue the study will be followed for safety where possible and encouraged to return for follow-up visits for any unresolved safety events.</w:t>
      </w:r>
    </w:p>
    <w:p w:rsidR="00A22311" w:rsidRPr="00487DFD" w:rsidRDefault="00A22311" w:rsidP="00487DFD">
      <w:pPr>
        <w:widowControl w:val="0"/>
        <w:tabs>
          <w:tab w:val="left" w:pos="0"/>
        </w:tabs>
        <w:suppressAutoHyphens/>
        <w:spacing w:line="360" w:lineRule="auto"/>
        <w:jc w:val="both"/>
        <w:rPr>
          <w:rFonts w:asciiTheme="majorHAnsi" w:hAnsiTheme="majorHAnsi"/>
        </w:rPr>
      </w:pPr>
    </w:p>
    <w:p w:rsidR="00A22311" w:rsidRPr="00487DFD" w:rsidRDefault="00A22311" w:rsidP="00487DFD">
      <w:pPr>
        <w:spacing w:line="360" w:lineRule="auto"/>
        <w:jc w:val="both"/>
        <w:rPr>
          <w:rFonts w:asciiTheme="majorHAnsi" w:hAnsiTheme="majorHAnsi"/>
        </w:rPr>
      </w:pPr>
      <w:r w:rsidRPr="00487DFD">
        <w:rPr>
          <w:rFonts w:asciiTheme="majorHAnsi" w:hAnsiTheme="majorHAnsi"/>
        </w:rPr>
        <w:t xml:space="preserve">Subjects who voluntarily withdraw from the study will be asked to complete procedures outlined in the Week </w:t>
      </w:r>
      <w:r w:rsidR="00697EFC">
        <w:rPr>
          <w:rFonts w:asciiTheme="majorHAnsi" w:hAnsiTheme="majorHAnsi"/>
        </w:rPr>
        <w:t>12</w:t>
      </w:r>
      <w:r w:rsidRPr="00487DFD">
        <w:rPr>
          <w:rFonts w:asciiTheme="majorHAnsi" w:hAnsiTheme="majorHAnsi"/>
        </w:rPr>
        <w:t xml:space="preserve"> visit. Subjects who are withdrawn due to adverse events will be followed at least until resolution or stabilization of the adverse event.</w:t>
      </w:r>
    </w:p>
    <w:p w:rsidR="00A22311" w:rsidRPr="00487DFD" w:rsidRDefault="00A22311" w:rsidP="00487DFD">
      <w:pPr>
        <w:spacing w:line="360" w:lineRule="auto"/>
        <w:jc w:val="both"/>
        <w:rPr>
          <w:rFonts w:asciiTheme="majorHAnsi" w:hAnsiTheme="majorHAnsi"/>
        </w:rPr>
      </w:pPr>
    </w:p>
    <w:p w:rsidR="00F459A7" w:rsidRPr="00487DFD" w:rsidRDefault="00A22311" w:rsidP="00487DFD">
      <w:pPr>
        <w:spacing w:line="360" w:lineRule="auto"/>
        <w:rPr>
          <w:rFonts w:asciiTheme="majorHAnsi" w:hAnsiTheme="majorHAnsi"/>
        </w:rPr>
      </w:pPr>
      <w:r w:rsidRPr="00487DFD">
        <w:rPr>
          <w:rFonts w:asciiTheme="majorHAnsi" w:hAnsiTheme="majorHAnsi"/>
        </w:rPr>
        <w:t>All procedures should be completed as soon as possible after the determination is made to discontinue the subject from the study. If the subject will remain in the study for safety evaluation, follow-up visits should be scheduled according to the schedule of visits and procedures</w:t>
      </w:r>
      <w:r w:rsidR="00817ABD" w:rsidRPr="00487DFD">
        <w:rPr>
          <w:rFonts w:asciiTheme="majorHAnsi" w:hAnsiTheme="majorHAnsi"/>
        </w:rPr>
        <w:t>.</w:t>
      </w:r>
    </w:p>
    <w:p w:rsidR="00817ABD" w:rsidRPr="00487DFD" w:rsidRDefault="00817ABD" w:rsidP="00487DFD">
      <w:pPr>
        <w:spacing w:line="360" w:lineRule="auto"/>
        <w:rPr>
          <w:rFonts w:asciiTheme="majorHAnsi" w:hAnsiTheme="majorHAnsi"/>
        </w:rPr>
      </w:pPr>
    </w:p>
    <w:p w:rsidR="00817ABD" w:rsidRPr="00487DFD" w:rsidRDefault="00817ABD" w:rsidP="00487DFD">
      <w:pPr>
        <w:spacing w:line="360" w:lineRule="auto"/>
        <w:rPr>
          <w:rFonts w:asciiTheme="majorHAnsi" w:hAnsiTheme="majorHAnsi"/>
        </w:rPr>
      </w:pPr>
    </w:p>
    <w:p w:rsidR="00817ABD" w:rsidRPr="00487DFD" w:rsidRDefault="00817ABD" w:rsidP="00487DFD">
      <w:pPr>
        <w:pStyle w:val="Heading1"/>
        <w:autoSpaceDE w:val="0"/>
        <w:spacing w:line="360" w:lineRule="auto"/>
        <w:rPr>
          <w:rFonts w:asciiTheme="majorHAnsi" w:hAnsiTheme="majorHAnsi"/>
          <w:sz w:val="24"/>
          <w:szCs w:val="24"/>
        </w:rPr>
      </w:pPr>
      <w:bookmarkStart w:id="80" w:name="_Toc224986906"/>
      <w:bookmarkStart w:id="81" w:name="_Toc324107879"/>
      <w:r w:rsidRPr="00487DFD">
        <w:rPr>
          <w:rFonts w:asciiTheme="majorHAnsi" w:hAnsiTheme="majorHAnsi"/>
          <w:caps/>
          <w:sz w:val="24"/>
          <w:szCs w:val="24"/>
        </w:rPr>
        <w:lastRenderedPageBreak/>
        <w:t>EFFICACY PARAMETERS</w:t>
      </w:r>
      <w:bookmarkEnd w:id="80"/>
      <w:bookmarkEnd w:id="81"/>
    </w:p>
    <w:p w:rsidR="00817ABD" w:rsidRPr="00487DFD" w:rsidRDefault="00817ABD" w:rsidP="00487DFD">
      <w:pPr>
        <w:autoSpaceDE w:val="0"/>
        <w:autoSpaceDN w:val="0"/>
        <w:adjustRightInd w:val="0"/>
        <w:spacing w:line="360" w:lineRule="auto"/>
        <w:rPr>
          <w:rFonts w:asciiTheme="majorHAnsi" w:hAnsiTheme="majorHAnsi"/>
          <w:lang w:val="en-GB" w:eastAsia="it-IT"/>
        </w:rPr>
      </w:pPr>
      <w:r w:rsidRPr="00487DFD">
        <w:rPr>
          <w:rFonts w:asciiTheme="majorHAnsi" w:hAnsiTheme="majorHAnsi"/>
          <w:lang w:val="en-GB" w:eastAsia="it-IT"/>
        </w:rPr>
        <w:t>Efficacy assessments will include best corrected visual acuity (BCVA), opt</w:t>
      </w:r>
      <w:r w:rsidR="00B754A1" w:rsidRPr="00487DFD">
        <w:rPr>
          <w:rFonts w:asciiTheme="majorHAnsi" w:hAnsiTheme="majorHAnsi"/>
          <w:lang w:val="en-GB" w:eastAsia="it-IT"/>
        </w:rPr>
        <w:t xml:space="preserve">ical coherence tomography (OCT), </w:t>
      </w:r>
      <w:r w:rsidR="00615B2D" w:rsidRPr="00487DFD">
        <w:rPr>
          <w:rFonts w:asciiTheme="majorHAnsi" w:hAnsiTheme="majorHAnsi"/>
          <w:lang w:val="en-GB" w:eastAsia="it-IT"/>
        </w:rPr>
        <w:t xml:space="preserve">BAF </w:t>
      </w:r>
      <w:r w:rsidRPr="00487DFD">
        <w:rPr>
          <w:rFonts w:asciiTheme="majorHAnsi" w:hAnsiTheme="majorHAnsi"/>
          <w:lang w:val="en-GB" w:eastAsia="it-IT"/>
        </w:rPr>
        <w:t>and</w:t>
      </w:r>
      <w:r w:rsidR="00615B2D" w:rsidRPr="00487DFD">
        <w:rPr>
          <w:rFonts w:asciiTheme="majorHAnsi" w:hAnsiTheme="majorHAnsi"/>
          <w:lang w:val="en-GB" w:eastAsia="it-IT"/>
        </w:rPr>
        <w:t xml:space="preserve"> </w:t>
      </w:r>
      <w:r w:rsidRPr="00487DFD">
        <w:rPr>
          <w:rFonts w:asciiTheme="majorHAnsi" w:hAnsiTheme="majorHAnsi"/>
          <w:lang w:val="en-GB" w:eastAsia="it-IT"/>
        </w:rPr>
        <w:t>microperimetry. Whenever possible, the same person should perform the evaluations specified by the protocol at each study visit. Unless otherwise indicated, all ocular assessments should be performed on the study eye only.</w:t>
      </w:r>
    </w:p>
    <w:p w:rsidR="00817ABD" w:rsidRPr="00487DFD" w:rsidRDefault="00817ABD" w:rsidP="00487DFD">
      <w:pPr>
        <w:pStyle w:val="Heading2"/>
        <w:spacing w:line="360" w:lineRule="auto"/>
        <w:ind w:left="936"/>
        <w:rPr>
          <w:rFonts w:asciiTheme="majorHAnsi" w:hAnsiTheme="majorHAnsi"/>
          <w:sz w:val="24"/>
          <w:szCs w:val="24"/>
        </w:rPr>
      </w:pPr>
      <w:bookmarkStart w:id="82" w:name="_Toc194168474"/>
      <w:bookmarkStart w:id="83" w:name="_Toc215285500"/>
      <w:bookmarkStart w:id="84" w:name="_Toc215286541"/>
      <w:bookmarkStart w:id="85" w:name="_Toc215288027"/>
      <w:bookmarkStart w:id="86" w:name="_Toc215288797"/>
      <w:bookmarkStart w:id="87" w:name="_Toc215289639"/>
      <w:bookmarkStart w:id="88" w:name="_Toc215290472"/>
      <w:bookmarkStart w:id="89" w:name="_Toc215292789"/>
      <w:r w:rsidRPr="00487DFD">
        <w:rPr>
          <w:rFonts w:asciiTheme="majorHAnsi" w:hAnsiTheme="majorHAnsi"/>
          <w:sz w:val="24"/>
          <w:szCs w:val="24"/>
        </w:rPr>
        <w:tab/>
      </w:r>
      <w:bookmarkStart w:id="90" w:name="_Toc324107880"/>
      <w:r w:rsidRPr="00487DFD">
        <w:rPr>
          <w:rFonts w:asciiTheme="majorHAnsi" w:hAnsiTheme="majorHAnsi"/>
          <w:sz w:val="24"/>
          <w:szCs w:val="24"/>
        </w:rPr>
        <w:t>ETDRS Best-Corrected Visual Acuity (VA)</w:t>
      </w:r>
      <w:bookmarkEnd w:id="82"/>
      <w:bookmarkEnd w:id="83"/>
      <w:bookmarkEnd w:id="84"/>
      <w:bookmarkEnd w:id="85"/>
      <w:bookmarkEnd w:id="86"/>
      <w:bookmarkEnd w:id="87"/>
      <w:bookmarkEnd w:id="88"/>
      <w:bookmarkEnd w:id="89"/>
      <w:bookmarkEnd w:id="90"/>
    </w:p>
    <w:p w:rsidR="004626D8" w:rsidRPr="00487DFD" w:rsidRDefault="00817ABD" w:rsidP="00487DFD">
      <w:pPr>
        <w:spacing w:line="360" w:lineRule="auto"/>
        <w:jc w:val="both"/>
        <w:rPr>
          <w:rFonts w:asciiTheme="majorHAnsi" w:hAnsiTheme="majorHAnsi"/>
          <w:u w:color="000000"/>
          <w:lang w:bidi="x-none"/>
        </w:rPr>
      </w:pPr>
      <w:r w:rsidRPr="00487DFD">
        <w:rPr>
          <w:rFonts w:asciiTheme="majorHAnsi" w:hAnsiTheme="majorHAnsi"/>
          <w:u w:color="000000"/>
          <w:lang w:bidi="x-none"/>
        </w:rPr>
        <w:t>Manifest refraction and VA measurement must be performed according to the standard procedure originally developed for ETDRS</w:t>
      </w:r>
      <w:r w:rsidR="004626D8" w:rsidRPr="00487DFD">
        <w:rPr>
          <w:rFonts w:asciiTheme="majorHAnsi" w:hAnsiTheme="majorHAnsi"/>
          <w:u w:color="000000"/>
          <w:lang w:bidi="x-none"/>
        </w:rPr>
        <w:t>.</w:t>
      </w:r>
    </w:p>
    <w:p w:rsidR="004626D8" w:rsidRPr="00487DFD" w:rsidRDefault="004626D8" w:rsidP="00487DFD">
      <w:pPr>
        <w:pStyle w:val="Heading2"/>
        <w:spacing w:line="360" w:lineRule="auto"/>
        <w:ind w:left="936"/>
        <w:rPr>
          <w:rFonts w:asciiTheme="majorHAnsi" w:hAnsiTheme="majorHAnsi"/>
          <w:sz w:val="24"/>
          <w:szCs w:val="24"/>
        </w:rPr>
      </w:pPr>
      <w:r w:rsidRPr="00487DFD">
        <w:rPr>
          <w:rFonts w:asciiTheme="majorHAnsi" w:hAnsiTheme="majorHAnsi"/>
          <w:sz w:val="24"/>
          <w:szCs w:val="24"/>
        </w:rPr>
        <w:t xml:space="preserve">Blue </w:t>
      </w:r>
      <w:r w:rsidRPr="006C0623">
        <w:rPr>
          <w:rFonts w:asciiTheme="majorHAnsi" w:hAnsiTheme="majorHAnsi"/>
          <w:sz w:val="24"/>
          <w:szCs w:val="24"/>
        </w:rPr>
        <w:t>auto-fluorescence</w:t>
      </w:r>
    </w:p>
    <w:p w:rsidR="00817ABD" w:rsidRPr="00487DFD" w:rsidRDefault="004626D8" w:rsidP="00487DFD">
      <w:pPr>
        <w:spacing w:line="360" w:lineRule="auto"/>
        <w:rPr>
          <w:rFonts w:asciiTheme="majorHAnsi" w:hAnsiTheme="majorHAnsi"/>
          <w:u w:color="000000"/>
          <w:lang w:bidi="x-none"/>
        </w:rPr>
      </w:pPr>
      <w:r w:rsidRPr="006C0623">
        <w:rPr>
          <w:rFonts w:asciiTheme="majorHAnsi" w:hAnsiTheme="majorHAnsi"/>
        </w:rPr>
        <w:t xml:space="preserve">BAF will be </w:t>
      </w:r>
      <w:r w:rsidR="00AA45E8" w:rsidRPr="006C0623">
        <w:rPr>
          <w:rFonts w:asciiTheme="majorHAnsi" w:hAnsiTheme="majorHAnsi"/>
        </w:rPr>
        <w:t xml:space="preserve">used </w:t>
      </w:r>
      <w:r w:rsidRPr="006C0623">
        <w:rPr>
          <w:rFonts w:asciiTheme="majorHAnsi" w:hAnsiTheme="majorHAnsi"/>
        </w:rPr>
        <w:t xml:space="preserve">to </w:t>
      </w:r>
      <w:r w:rsidR="008D2F0E" w:rsidRPr="006C0623">
        <w:rPr>
          <w:rFonts w:asciiTheme="majorHAnsi" w:hAnsiTheme="majorHAnsi"/>
        </w:rPr>
        <w:t xml:space="preserve">analyze atrophy as a well-defined </w:t>
      </w:r>
      <w:r w:rsidR="008D2F0E" w:rsidRPr="006C0623">
        <w:rPr>
          <w:rFonts w:asciiTheme="majorHAnsi" w:hAnsiTheme="majorHAnsi" w:cs="Times"/>
          <w:lang w:val="en-GB"/>
        </w:rPr>
        <w:t>hypo-autofluorescence</w:t>
      </w:r>
      <w:r w:rsidR="008D2F0E" w:rsidRPr="006C0623">
        <w:rPr>
          <w:rFonts w:asciiTheme="majorHAnsi" w:hAnsiTheme="majorHAnsi"/>
        </w:rPr>
        <w:t xml:space="preserve"> area.</w:t>
      </w:r>
    </w:p>
    <w:p w:rsidR="004626D8" w:rsidRPr="00487DFD" w:rsidRDefault="004626D8" w:rsidP="00487DFD">
      <w:pPr>
        <w:pStyle w:val="Heading2"/>
        <w:spacing w:line="360" w:lineRule="auto"/>
        <w:ind w:left="936"/>
        <w:rPr>
          <w:rFonts w:asciiTheme="majorHAnsi" w:hAnsiTheme="majorHAnsi"/>
          <w:sz w:val="24"/>
          <w:szCs w:val="24"/>
        </w:rPr>
      </w:pPr>
      <w:bookmarkStart w:id="91" w:name="_Toc324107883"/>
      <w:r w:rsidRPr="00487DFD">
        <w:rPr>
          <w:rFonts w:asciiTheme="majorHAnsi" w:hAnsiTheme="majorHAnsi"/>
          <w:sz w:val="24"/>
          <w:szCs w:val="24"/>
        </w:rPr>
        <w:t>Spectral Domain-Optical Coherence Tomography (SD-OCT)</w:t>
      </w:r>
      <w:bookmarkEnd w:id="91"/>
      <w:r w:rsidRPr="00487DFD">
        <w:rPr>
          <w:rFonts w:asciiTheme="majorHAnsi" w:hAnsiTheme="majorHAnsi"/>
          <w:sz w:val="24"/>
          <w:szCs w:val="24"/>
        </w:rPr>
        <w:t xml:space="preserve"> </w:t>
      </w:r>
    </w:p>
    <w:p w:rsidR="004626D8" w:rsidRPr="00487DFD" w:rsidRDefault="00921E2B" w:rsidP="00487DFD">
      <w:pPr>
        <w:widowControl w:val="0"/>
        <w:autoSpaceDE w:val="0"/>
        <w:autoSpaceDN w:val="0"/>
        <w:adjustRightInd w:val="0"/>
        <w:spacing w:after="240" w:line="360" w:lineRule="auto"/>
        <w:rPr>
          <w:rFonts w:asciiTheme="majorHAnsi" w:eastAsiaTheme="minorEastAsia" w:hAnsiTheme="majorHAnsi" w:cs="Arial"/>
          <w:lang w:eastAsia="it-IT"/>
        </w:rPr>
      </w:pPr>
      <w:r w:rsidRPr="006C0623">
        <w:rPr>
          <w:rFonts w:asciiTheme="majorHAnsi" w:hAnsiTheme="majorHAnsi"/>
          <w:u w:color="000000"/>
          <w:lang w:bidi="x-none"/>
        </w:rPr>
        <w:t xml:space="preserve">SD-OCT will be </w:t>
      </w:r>
      <w:r w:rsidR="00AA45E8" w:rsidRPr="006C0623">
        <w:rPr>
          <w:rFonts w:asciiTheme="majorHAnsi" w:hAnsiTheme="majorHAnsi"/>
          <w:u w:color="000000"/>
          <w:lang w:bidi="x-none"/>
        </w:rPr>
        <w:t xml:space="preserve">used </w:t>
      </w:r>
      <w:r w:rsidRPr="006C0623">
        <w:rPr>
          <w:rFonts w:asciiTheme="majorHAnsi" w:hAnsiTheme="majorHAnsi"/>
          <w:u w:color="000000"/>
          <w:lang w:bidi="x-none"/>
        </w:rPr>
        <w:t>to analyze the outer retinal morphology in t</w:t>
      </w:r>
      <w:r w:rsidR="00540595" w:rsidRPr="006C0623">
        <w:rPr>
          <w:rFonts w:asciiTheme="majorHAnsi" w:hAnsiTheme="majorHAnsi"/>
          <w:u w:color="000000"/>
          <w:lang w:bidi="x-none"/>
        </w:rPr>
        <w:t>h</w:t>
      </w:r>
      <w:r w:rsidRPr="006C0623">
        <w:rPr>
          <w:rFonts w:asciiTheme="majorHAnsi" w:hAnsiTheme="majorHAnsi"/>
          <w:u w:color="000000"/>
          <w:lang w:bidi="x-none"/>
        </w:rPr>
        <w:t>e treated area</w:t>
      </w:r>
    </w:p>
    <w:p w:rsidR="004626D8" w:rsidRPr="00487DFD" w:rsidRDefault="004626D8" w:rsidP="00487DFD">
      <w:pPr>
        <w:pStyle w:val="Heading2"/>
        <w:spacing w:line="360" w:lineRule="auto"/>
        <w:ind w:left="936"/>
        <w:rPr>
          <w:rFonts w:asciiTheme="majorHAnsi" w:hAnsiTheme="majorHAnsi"/>
          <w:sz w:val="24"/>
          <w:szCs w:val="24"/>
        </w:rPr>
      </w:pPr>
      <w:r w:rsidRPr="00487DFD">
        <w:rPr>
          <w:rFonts w:asciiTheme="majorHAnsi" w:hAnsiTheme="majorHAnsi"/>
          <w:sz w:val="24"/>
          <w:szCs w:val="24"/>
        </w:rPr>
        <w:t xml:space="preserve"> Microperimetry</w:t>
      </w:r>
    </w:p>
    <w:p w:rsidR="004626D8" w:rsidRPr="00487DFD" w:rsidRDefault="004626D8" w:rsidP="00487DFD">
      <w:pPr>
        <w:spacing w:line="360" w:lineRule="auto"/>
        <w:jc w:val="both"/>
        <w:rPr>
          <w:rFonts w:asciiTheme="majorHAnsi" w:hAnsiTheme="majorHAnsi"/>
          <w:u w:color="000000"/>
        </w:rPr>
      </w:pPr>
      <w:r w:rsidRPr="00487DFD">
        <w:rPr>
          <w:rFonts w:asciiTheme="majorHAnsi" w:hAnsiTheme="majorHAnsi"/>
          <w:u w:color="000000"/>
        </w:rPr>
        <w:t xml:space="preserve">Microperimetry will be </w:t>
      </w:r>
      <w:r w:rsidR="00AA45E8" w:rsidRPr="00487DFD">
        <w:rPr>
          <w:rFonts w:asciiTheme="majorHAnsi" w:hAnsiTheme="majorHAnsi"/>
          <w:u w:color="000000"/>
        </w:rPr>
        <w:t xml:space="preserve">used </w:t>
      </w:r>
      <w:r w:rsidRPr="00487DFD">
        <w:rPr>
          <w:rFonts w:asciiTheme="majorHAnsi" w:hAnsiTheme="majorHAnsi"/>
          <w:u w:color="000000"/>
        </w:rPr>
        <w:t xml:space="preserve">to asses improving of sensibility in the customized treated area. </w:t>
      </w:r>
    </w:p>
    <w:p w:rsidR="004626D8" w:rsidRPr="00487DFD" w:rsidRDefault="004626D8" w:rsidP="00487DFD">
      <w:pPr>
        <w:spacing w:line="360" w:lineRule="auto"/>
        <w:jc w:val="both"/>
        <w:rPr>
          <w:rFonts w:asciiTheme="majorHAnsi" w:hAnsiTheme="majorHAnsi"/>
          <w:u w:color="000000"/>
        </w:rPr>
      </w:pPr>
    </w:p>
    <w:p w:rsidR="00817ABD" w:rsidRPr="00487DFD" w:rsidRDefault="00817ABD" w:rsidP="00487DFD">
      <w:pPr>
        <w:spacing w:line="360" w:lineRule="auto"/>
        <w:jc w:val="both"/>
        <w:rPr>
          <w:rFonts w:asciiTheme="majorHAnsi" w:hAnsiTheme="majorHAnsi"/>
          <w:u w:color="000000"/>
        </w:rPr>
      </w:pPr>
    </w:p>
    <w:p w:rsidR="00817ABD" w:rsidRPr="00487DFD" w:rsidRDefault="00817ABD" w:rsidP="00487DFD">
      <w:pPr>
        <w:pStyle w:val="Heading1"/>
        <w:autoSpaceDE w:val="0"/>
        <w:spacing w:line="360" w:lineRule="auto"/>
        <w:rPr>
          <w:rFonts w:asciiTheme="majorHAnsi" w:hAnsiTheme="majorHAnsi"/>
          <w:sz w:val="24"/>
          <w:szCs w:val="24"/>
        </w:rPr>
      </w:pPr>
      <w:bookmarkStart w:id="92" w:name="_Toc224986912"/>
      <w:bookmarkStart w:id="93" w:name="_Toc290040068"/>
      <w:bookmarkStart w:id="94" w:name="_Toc324107886"/>
      <w:bookmarkStart w:id="95" w:name="_Toc215292786"/>
      <w:bookmarkStart w:id="96" w:name="_Toc194168471"/>
      <w:r w:rsidRPr="00487DFD">
        <w:rPr>
          <w:rFonts w:asciiTheme="majorHAnsi" w:hAnsiTheme="majorHAnsi"/>
          <w:caps/>
          <w:sz w:val="24"/>
          <w:szCs w:val="24"/>
        </w:rPr>
        <w:t>SAFETY PARAMETERS</w:t>
      </w:r>
      <w:bookmarkEnd w:id="92"/>
      <w:bookmarkEnd w:id="93"/>
      <w:bookmarkEnd w:id="94"/>
    </w:p>
    <w:p w:rsidR="00817ABD" w:rsidRPr="00487DFD" w:rsidRDefault="00817ABD" w:rsidP="00487DFD">
      <w:pPr>
        <w:spacing w:line="360" w:lineRule="auto"/>
        <w:jc w:val="both"/>
        <w:rPr>
          <w:rFonts w:asciiTheme="majorHAnsi" w:hAnsiTheme="majorHAnsi"/>
          <w:u w:color="000000"/>
        </w:rPr>
      </w:pPr>
      <w:r w:rsidRPr="00487DFD">
        <w:rPr>
          <w:rFonts w:asciiTheme="majorHAnsi" w:hAnsiTheme="majorHAnsi"/>
          <w:u w:color="000000"/>
        </w:rPr>
        <w:t xml:space="preserve">Safety assessments include incidence of adverse events/serious adverse events, visual acuity, </w:t>
      </w:r>
      <w:r w:rsidRPr="00487DFD">
        <w:rPr>
          <w:rFonts w:asciiTheme="majorHAnsi" w:hAnsiTheme="majorHAnsi"/>
          <w:u w:color="000000"/>
        </w:rPr>
        <w:tab/>
        <w:t>slit lamp findings, crystalline lens changes in phakic eyes, intraocular pressure, and fundus findings. The reporting time period is from day 0 throug</w:t>
      </w:r>
      <w:r w:rsidR="00697EFC">
        <w:rPr>
          <w:rFonts w:asciiTheme="majorHAnsi" w:hAnsiTheme="majorHAnsi"/>
          <w:u w:color="000000"/>
        </w:rPr>
        <w:t>h the last study visit (Week 12</w:t>
      </w:r>
      <w:r w:rsidRPr="00487DFD">
        <w:rPr>
          <w:rFonts w:asciiTheme="majorHAnsi" w:hAnsiTheme="majorHAnsi"/>
          <w:u w:color="000000"/>
        </w:rPr>
        <w:t xml:space="preserve">). </w:t>
      </w:r>
    </w:p>
    <w:p w:rsidR="002144A6" w:rsidRPr="00487DFD" w:rsidRDefault="002144A6" w:rsidP="00487DFD">
      <w:pPr>
        <w:spacing w:line="360" w:lineRule="auto"/>
        <w:jc w:val="both"/>
        <w:rPr>
          <w:rFonts w:asciiTheme="majorHAnsi" w:hAnsiTheme="majorHAnsi"/>
          <w:highlight w:val="yellow"/>
          <w:u w:color="000000"/>
        </w:rPr>
      </w:pPr>
    </w:p>
    <w:p w:rsidR="00817ABD" w:rsidRPr="00487DFD" w:rsidRDefault="00817ABD" w:rsidP="00487DFD">
      <w:pPr>
        <w:pStyle w:val="Heading2"/>
        <w:keepLines/>
        <w:spacing w:line="360" w:lineRule="auto"/>
        <w:ind w:left="578" w:hanging="578"/>
        <w:rPr>
          <w:rFonts w:asciiTheme="majorHAnsi" w:hAnsiTheme="majorHAnsi"/>
          <w:sz w:val="24"/>
          <w:szCs w:val="24"/>
        </w:rPr>
      </w:pPr>
      <w:bookmarkStart w:id="97" w:name="_Toc224986913"/>
      <w:bookmarkStart w:id="98" w:name="_Toc290040069"/>
      <w:bookmarkStart w:id="99" w:name="_Toc324107887"/>
      <w:r w:rsidRPr="00487DFD">
        <w:rPr>
          <w:rFonts w:asciiTheme="majorHAnsi" w:hAnsiTheme="majorHAnsi"/>
          <w:sz w:val="24"/>
          <w:szCs w:val="24"/>
        </w:rPr>
        <w:t>Definitions of Adverse Events</w:t>
      </w:r>
      <w:bookmarkEnd w:id="97"/>
      <w:bookmarkEnd w:id="98"/>
      <w:bookmarkEnd w:id="99"/>
    </w:p>
    <w:p w:rsidR="00817ABD" w:rsidRPr="00487DFD" w:rsidRDefault="00817ABD" w:rsidP="00487DFD">
      <w:pPr>
        <w:pStyle w:val="Heading3"/>
        <w:spacing w:line="360" w:lineRule="auto"/>
        <w:ind w:left="840"/>
        <w:rPr>
          <w:rFonts w:asciiTheme="majorHAnsi" w:hAnsiTheme="majorHAnsi"/>
          <w:lang w:val="en-GB"/>
        </w:rPr>
      </w:pPr>
      <w:bookmarkStart w:id="100" w:name="_Toc224986914"/>
      <w:bookmarkStart w:id="101" w:name="_Toc290040070"/>
      <w:bookmarkStart w:id="102" w:name="_Toc324107888"/>
      <w:r w:rsidRPr="00487DFD">
        <w:rPr>
          <w:rFonts w:asciiTheme="majorHAnsi" w:hAnsiTheme="majorHAnsi"/>
          <w:lang w:val="en-GB"/>
        </w:rPr>
        <w:t>Adverse Events (AE)</w:t>
      </w:r>
      <w:bookmarkEnd w:id="100"/>
      <w:bookmarkEnd w:id="101"/>
      <w:bookmarkEnd w:id="102"/>
    </w:p>
    <w:p w:rsidR="00817ABD" w:rsidRPr="00487DFD" w:rsidRDefault="00817ABD" w:rsidP="00487DFD">
      <w:pPr>
        <w:spacing w:line="360" w:lineRule="auto"/>
        <w:jc w:val="both"/>
        <w:rPr>
          <w:rFonts w:asciiTheme="majorHAnsi" w:hAnsiTheme="majorHAnsi"/>
        </w:rPr>
      </w:pPr>
      <w:r w:rsidRPr="00487DFD">
        <w:rPr>
          <w:rFonts w:asciiTheme="majorHAnsi" w:hAnsiTheme="majorHAnsi"/>
        </w:rPr>
        <w:t xml:space="preserve">An AE is any unfavorable and unintended sign, symptom, or disease temporally associated with the use of an investigational device or other protocol-imposed intervention, regardless of attribution. This includes the following: </w:t>
      </w:r>
    </w:p>
    <w:p w:rsidR="00817ABD" w:rsidRPr="00487DFD" w:rsidRDefault="00817ABD" w:rsidP="00487DFD">
      <w:pPr>
        <w:pStyle w:val="Bullet1"/>
        <w:spacing w:line="360" w:lineRule="auto"/>
        <w:jc w:val="both"/>
        <w:rPr>
          <w:rFonts w:asciiTheme="majorHAnsi" w:hAnsiTheme="majorHAnsi"/>
          <w:sz w:val="24"/>
          <w:szCs w:val="24"/>
        </w:rPr>
      </w:pPr>
      <w:r w:rsidRPr="00487DFD">
        <w:rPr>
          <w:rFonts w:asciiTheme="majorHAnsi" w:hAnsiTheme="majorHAnsi"/>
          <w:sz w:val="24"/>
          <w:szCs w:val="24"/>
        </w:rPr>
        <w:lastRenderedPageBreak/>
        <w:t>Any untoward medical occurrence not previously observed in the subject that emerges during the protocol-specified AE reporting period, including signs or symptoms associated with AMD that were not present prior to the AE reporting period.</w:t>
      </w:r>
    </w:p>
    <w:p w:rsidR="00817ABD" w:rsidRPr="00487DFD" w:rsidRDefault="00817ABD" w:rsidP="00487DFD">
      <w:pPr>
        <w:pStyle w:val="Bullet1"/>
        <w:spacing w:line="360" w:lineRule="auto"/>
        <w:jc w:val="both"/>
        <w:rPr>
          <w:rFonts w:asciiTheme="majorHAnsi" w:hAnsiTheme="majorHAnsi"/>
          <w:sz w:val="24"/>
          <w:szCs w:val="24"/>
        </w:rPr>
      </w:pPr>
      <w:r w:rsidRPr="00487DFD">
        <w:rPr>
          <w:rFonts w:asciiTheme="majorHAnsi" w:hAnsiTheme="majorHAnsi"/>
          <w:sz w:val="24"/>
          <w:szCs w:val="24"/>
        </w:rPr>
        <w:t xml:space="preserve">Complications that occur as a result of protocol-mandated interventions (e.g., invasive procedures such as injection procedures). </w:t>
      </w:r>
    </w:p>
    <w:p w:rsidR="00817ABD" w:rsidRPr="00487DFD" w:rsidRDefault="00817ABD" w:rsidP="00487DFD">
      <w:pPr>
        <w:pStyle w:val="Bullet1"/>
        <w:spacing w:line="360" w:lineRule="auto"/>
        <w:jc w:val="both"/>
        <w:rPr>
          <w:rFonts w:asciiTheme="majorHAnsi" w:hAnsiTheme="majorHAnsi"/>
          <w:sz w:val="24"/>
          <w:szCs w:val="24"/>
        </w:rPr>
      </w:pPr>
      <w:r w:rsidRPr="00487DFD">
        <w:rPr>
          <w:rFonts w:asciiTheme="majorHAnsi" w:hAnsiTheme="majorHAnsi"/>
          <w:sz w:val="24"/>
          <w:szCs w:val="24"/>
        </w:rPr>
        <w:t>Preexisting medical conditions (other than the condition being studied) judged by the investigator to have worsened in severity or frequency or changed in character during the protocol-specified AE reporting period.</w:t>
      </w:r>
    </w:p>
    <w:p w:rsidR="00817ABD" w:rsidRPr="00487DFD" w:rsidRDefault="00817ABD" w:rsidP="00487DFD">
      <w:pPr>
        <w:pStyle w:val="Heading3"/>
        <w:spacing w:line="360" w:lineRule="auto"/>
        <w:ind w:left="840"/>
        <w:rPr>
          <w:rFonts w:asciiTheme="majorHAnsi" w:hAnsiTheme="majorHAnsi"/>
        </w:rPr>
      </w:pPr>
      <w:bookmarkStart w:id="103" w:name="_Toc224986915"/>
      <w:bookmarkStart w:id="104" w:name="_Toc290040071"/>
      <w:bookmarkStart w:id="105" w:name="_Toc324107889"/>
      <w:r w:rsidRPr="00487DFD">
        <w:rPr>
          <w:rFonts w:asciiTheme="majorHAnsi" w:hAnsiTheme="majorHAnsi"/>
        </w:rPr>
        <w:t>Serious Adverse Events (SAE)</w:t>
      </w:r>
      <w:bookmarkEnd w:id="103"/>
      <w:bookmarkEnd w:id="104"/>
      <w:bookmarkEnd w:id="105"/>
    </w:p>
    <w:p w:rsidR="00817ABD" w:rsidRPr="00487DFD" w:rsidRDefault="00817ABD" w:rsidP="00487D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heme="majorHAnsi" w:hAnsiTheme="majorHAnsi"/>
        </w:rPr>
      </w:pPr>
      <w:r w:rsidRPr="00487DFD">
        <w:rPr>
          <w:rFonts w:asciiTheme="majorHAnsi" w:hAnsiTheme="majorHAnsi"/>
        </w:rPr>
        <w:t>An AE should be classified as an SAE and reported as such, if it meets the following criteria:</w:t>
      </w:r>
    </w:p>
    <w:p w:rsidR="00817ABD" w:rsidRPr="00487DFD" w:rsidRDefault="00817ABD" w:rsidP="00487DFD">
      <w:pPr>
        <w:pStyle w:val="Bullet1"/>
        <w:spacing w:line="360" w:lineRule="auto"/>
        <w:jc w:val="both"/>
        <w:rPr>
          <w:rFonts w:asciiTheme="majorHAnsi" w:hAnsiTheme="majorHAnsi"/>
          <w:sz w:val="24"/>
          <w:szCs w:val="24"/>
        </w:rPr>
      </w:pPr>
      <w:r w:rsidRPr="00487DFD">
        <w:rPr>
          <w:rFonts w:asciiTheme="majorHAnsi" w:hAnsiTheme="majorHAnsi"/>
          <w:sz w:val="24"/>
          <w:szCs w:val="24"/>
        </w:rPr>
        <w:t>It results in death (i.e., the AE actually causes or leads to death).</w:t>
      </w:r>
    </w:p>
    <w:p w:rsidR="00817ABD" w:rsidRPr="00487DFD" w:rsidRDefault="00817ABD" w:rsidP="00487DFD">
      <w:pPr>
        <w:pStyle w:val="Bullet1"/>
        <w:spacing w:line="360" w:lineRule="auto"/>
        <w:jc w:val="both"/>
        <w:rPr>
          <w:rFonts w:asciiTheme="majorHAnsi" w:hAnsiTheme="majorHAnsi"/>
          <w:sz w:val="24"/>
          <w:szCs w:val="24"/>
          <w:lang w:bidi="x-none"/>
        </w:rPr>
      </w:pPr>
      <w:r w:rsidRPr="00487DFD">
        <w:rPr>
          <w:rFonts w:asciiTheme="majorHAnsi" w:hAnsiTheme="majorHAnsi"/>
          <w:sz w:val="24"/>
          <w:szCs w:val="24"/>
          <w:lang w:bidi="x-none"/>
        </w:rPr>
        <w:t xml:space="preserve">It is life threatening (i.e., the AE, in the view of the investigator, places the subject at immediate risk of death). </w:t>
      </w:r>
    </w:p>
    <w:p w:rsidR="00817ABD" w:rsidRPr="00487DFD" w:rsidRDefault="00817ABD" w:rsidP="00487DFD">
      <w:pPr>
        <w:pStyle w:val="Bullet1"/>
        <w:spacing w:line="360" w:lineRule="auto"/>
        <w:jc w:val="both"/>
        <w:rPr>
          <w:rFonts w:asciiTheme="majorHAnsi" w:hAnsiTheme="majorHAnsi"/>
          <w:sz w:val="24"/>
          <w:szCs w:val="24"/>
          <w:lang w:bidi="x-none"/>
        </w:rPr>
      </w:pPr>
      <w:r w:rsidRPr="00487DFD">
        <w:rPr>
          <w:rFonts w:asciiTheme="majorHAnsi" w:hAnsiTheme="majorHAnsi"/>
          <w:sz w:val="24"/>
          <w:szCs w:val="24"/>
          <w:lang w:bidi="x-none"/>
        </w:rPr>
        <w:t xml:space="preserve">It requires or prolongs inpatient hospitalization. </w:t>
      </w:r>
    </w:p>
    <w:p w:rsidR="00817ABD" w:rsidRPr="00487DFD" w:rsidRDefault="00817ABD" w:rsidP="00487DFD">
      <w:pPr>
        <w:pStyle w:val="Bullet1"/>
        <w:spacing w:line="360" w:lineRule="auto"/>
        <w:jc w:val="both"/>
        <w:rPr>
          <w:rFonts w:asciiTheme="majorHAnsi" w:hAnsiTheme="majorHAnsi"/>
          <w:sz w:val="24"/>
          <w:szCs w:val="24"/>
          <w:lang w:bidi="x-none"/>
        </w:rPr>
      </w:pPr>
      <w:r w:rsidRPr="00487DFD">
        <w:rPr>
          <w:rFonts w:asciiTheme="majorHAnsi" w:hAnsiTheme="majorHAnsi"/>
          <w:sz w:val="24"/>
          <w:szCs w:val="24"/>
          <w:lang w:bidi="x-none"/>
        </w:rPr>
        <w:t xml:space="preserve">It results in persistent or significant disability/incapacity (i.e., the AE results in substantial disruption of the subject’s ability to conduct normal life functions). </w:t>
      </w:r>
    </w:p>
    <w:p w:rsidR="00817ABD" w:rsidRPr="00487DFD" w:rsidRDefault="00817ABD" w:rsidP="00487DFD">
      <w:pPr>
        <w:pStyle w:val="Bullet1"/>
        <w:spacing w:line="360" w:lineRule="auto"/>
        <w:jc w:val="both"/>
        <w:rPr>
          <w:rFonts w:asciiTheme="majorHAnsi" w:hAnsiTheme="majorHAnsi"/>
          <w:sz w:val="24"/>
          <w:szCs w:val="24"/>
          <w:lang w:bidi="x-none"/>
        </w:rPr>
      </w:pPr>
      <w:r w:rsidRPr="00487DFD">
        <w:rPr>
          <w:rFonts w:asciiTheme="majorHAnsi" w:hAnsiTheme="majorHAnsi"/>
          <w:sz w:val="24"/>
          <w:szCs w:val="24"/>
          <w:lang w:bidi="x-none"/>
        </w:rPr>
        <w:t>It results in a congenital anomaly/birth defect in a neonate/infant born to a mother exposed to the investigational product.</w:t>
      </w:r>
    </w:p>
    <w:p w:rsidR="00817ABD" w:rsidRPr="00487DFD" w:rsidRDefault="00817ABD" w:rsidP="00487DFD">
      <w:pPr>
        <w:pStyle w:val="Bullet1"/>
        <w:spacing w:line="360" w:lineRule="auto"/>
        <w:jc w:val="both"/>
        <w:rPr>
          <w:rFonts w:asciiTheme="majorHAnsi" w:hAnsiTheme="majorHAnsi"/>
          <w:sz w:val="24"/>
          <w:szCs w:val="24"/>
          <w:lang w:bidi="x-none"/>
        </w:rPr>
      </w:pPr>
      <w:r w:rsidRPr="00487DFD">
        <w:rPr>
          <w:rFonts w:asciiTheme="majorHAnsi" w:hAnsiTheme="majorHAnsi"/>
          <w:sz w:val="24"/>
          <w:szCs w:val="24"/>
          <w:lang w:bidi="x-none"/>
        </w:rPr>
        <w:t xml:space="preserve">It is considered a significant medical event by the investigator based on medical judgment (e.g., may jeopardize the subject or may require medical/surgical intervention to prevent one of the outcomes listed above). </w:t>
      </w:r>
    </w:p>
    <w:p w:rsidR="00817ABD" w:rsidRPr="00487DFD" w:rsidRDefault="00817ABD" w:rsidP="00487DFD">
      <w:pPr>
        <w:pStyle w:val="Bullet1"/>
        <w:spacing w:line="360" w:lineRule="auto"/>
        <w:jc w:val="both"/>
        <w:rPr>
          <w:rFonts w:asciiTheme="majorHAnsi" w:hAnsiTheme="majorHAnsi"/>
          <w:sz w:val="24"/>
          <w:szCs w:val="24"/>
          <w:lang w:bidi="x-none"/>
        </w:rPr>
      </w:pPr>
      <w:r w:rsidRPr="00487DFD">
        <w:rPr>
          <w:rFonts w:asciiTheme="majorHAnsi" w:hAnsiTheme="majorHAnsi"/>
          <w:sz w:val="24"/>
          <w:szCs w:val="24"/>
          <w:lang w:bidi="x-none"/>
        </w:rPr>
        <w:t>It is considered sight-threatening by the investigator.</w:t>
      </w:r>
    </w:p>
    <w:p w:rsidR="00817ABD" w:rsidRPr="00487DFD" w:rsidRDefault="00817ABD" w:rsidP="00487DFD">
      <w:pPr>
        <w:pStyle w:val="bullettext1"/>
        <w:spacing w:line="360" w:lineRule="auto"/>
        <w:rPr>
          <w:rFonts w:asciiTheme="majorHAnsi" w:hAnsiTheme="majorHAnsi"/>
        </w:rPr>
      </w:pPr>
    </w:p>
    <w:p w:rsidR="00817ABD" w:rsidRPr="00487DFD" w:rsidRDefault="00817ABD" w:rsidP="00487D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heme="majorHAnsi" w:hAnsiTheme="majorHAnsi"/>
          <w:lang w:bidi="x-none"/>
        </w:rPr>
      </w:pPr>
      <w:r w:rsidRPr="00487DFD">
        <w:rPr>
          <w:rFonts w:asciiTheme="majorHAnsi" w:hAnsiTheme="majorHAnsi"/>
          <w:lang w:bidi="x-none"/>
        </w:rPr>
        <w:t xml:space="preserve">If a subject is hospitalized to undergo a medical or surgical procedure as a result of an AE, the event responsible for the procedure, not the procedure itself, should be recorded as the event. </w:t>
      </w:r>
    </w:p>
    <w:p w:rsidR="00817ABD" w:rsidRPr="00487DFD" w:rsidRDefault="00817ABD" w:rsidP="00487D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heme="majorHAnsi" w:hAnsiTheme="majorHAnsi"/>
          <w:lang w:bidi="x-none"/>
        </w:rPr>
      </w:pPr>
    </w:p>
    <w:p w:rsidR="00817ABD" w:rsidRPr="00487DFD" w:rsidRDefault="00817ABD" w:rsidP="00487D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heme="majorHAnsi" w:hAnsiTheme="majorHAnsi"/>
          <w:lang w:bidi="x-none"/>
        </w:rPr>
      </w:pPr>
      <w:r w:rsidRPr="00487DFD">
        <w:rPr>
          <w:rFonts w:asciiTheme="majorHAnsi" w:hAnsiTheme="majorHAnsi"/>
          <w:lang w:bidi="x-none"/>
        </w:rPr>
        <w:t>Hospitalizations for the following reasons will not be recorded as SAEs:</w:t>
      </w:r>
    </w:p>
    <w:p w:rsidR="00817ABD" w:rsidRPr="00487DFD" w:rsidRDefault="00817ABD" w:rsidP="00487D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heme="majorHAnsi" w:hAnsiTheme="majorHAnsi"/>
          <w:lang w:bidi="x-none"/>
        </w:rPr>
      </w:pPr>
    </w:p>
    <w:p w:rsidR="00817ABD" w:rsidRPr="00487DFD" w:rsidRDefault="00817ABD" w:rsidP="00487DFD">
      <w:pPr>
        <w:pStyle w:val="Bullet1"/>
        <w:spacing w:line="360" w:lineRule="auto"/>
        <w:jc w:val="both"/>
        <w:rPr>
          <w:rFonts w:asciiTheme="majorHAnsi" w:hAnsiTheme="majorHAnsi"/>
          <w:sz w:val="24"/>
          <w:szCs w:val="24"/>
        </w:rPr>
      </w:pPr>
      <w:r w:rsidRPr="00487DFD">
        <w:rPr>
          <w:rFonts w:asciiTheme="majorHAnsi" w:hAnsiTheme="majorHAnsi"/>
          <w:sz w:val="24"/>
          <w:szCs w:val="24"/>
        </w:rPr>
        <w:t>Hospitalization or prolonged hospitalization for diagnostic or elective surgical procedures for preexisting conditions.</w:t>
      </w:r>
    </w:p>
    <w:p w:rsidR="00817ABD" w:rsidRPr="00487DFD" w:rsidRDefault="00817ABD" w:rsidP="00487DFD">
      <w:pPr>
        <w:pStyle w:val="Bullet1"/>
        <w:spacing w:line="360" w:lineRule="auto"/>
        <w:jc w:val="both"/>
        <w:rPr>
          <w:rFonts w:asciiTheme="majorHAnsi" w:hAnsiTheme="majorHAnsi"/>
          <w:sz w:val="24"/>
          <w:szCs w:val="24"/>
        </w:rPr>
      </w:pPr>
      <w:r w:rsidRPr="00487DFD">
        <w:rPr>
          <w:rFonts w:asciiTheme="majorHAnsi" w:hAnsiTheme="majorHAnsi"/>
          <w:sz w:val="24"/>
          <w:szCs w:val="24"/>
        </w:rPr>
        <w:lastRenderedPageBreak/>
        <w:t>Hospitalization or prolonged hospitalization required to allow outcome measurement for the study.</w:t>
      </w:r>
    </w:p>
    <w:p w:rsidR="00817ABD" w:rsidRPr="00487DFD" w:rsidRDefault="00817ABD" w:rsidP="00487DFD">
      <w:pPr>
        <w:pStyle w:val="Bullet1"/>
        <w:spacing w:line="360" w:lineRule="auto"/>
        <w:jc w:val="both"/>
        <w:rPr>
          <w:rFonts w:asciiTheme="majorHAnsi" w:hAnsiTheme="majorHAnsi"/>
          <w:sz w:val="24"/>
          <w:szCs w:val="24"/>
        </w:rPr>
      </w:pPr>
      <w:r w:rsidRPr="00487DFD">
        <w:rPr>
          <w:rFonts w:asciiTheme="majorHAnsi" w:hAnsiTheme="majorHAnsi"/>
          <w:sz w:val="24"/>
          <w:szCs w:val="24"/>
        </w:rPr>
        <w:t xml:space="preserve">Hospitalization or prolonged hospitalization for scheduled therapy of the target disease of the study. </w:t>
      </w:r>
    </w:p>
    <w:p w:rsidR="00817ABD" w:rsidRPr="00487DFD" w:rsidRDefault="00817ABD" w:rsidP="00487DFD">
      <w:pPr>
        <w:pStyle w:val="Heading3"/>
        <w:spacing w:line="360" w:lineRule="auto"/>
        <w:ind w:left="840"/>
        <w:rPr>
          <w:rFonts w:asciiTheme="majorHAnsi" w:hAnsiTheme="majorHAnsi"/>
        </w:rPr>
      </w:pPr>
      <w:bookmarkStart w:id="106" w:name="_Toc224986916"/>
      <w:bookmarkStart w:id="107" w:name="_Toc290040072"/>
      <w:bookmarkStart w:id="108" w:name="_Toc324107890"/>
      <w:r w:rsidRPr="00487DFD">
        <w:rPr>
          <w:rFonts w:asciiTheme="majorHAnsi" w:hAnsiTheme="majorHAnsi"/>
        </w:rPr>
        <w:t>Sight-threatening Events</w:t>
      </w:r>
      <w:bookmarkEnd w:id="106"/>
      <w:bookmarkEnd w:id="107"/>
      <w:bookmarkEnd w:id="108"/>
      <w:r w:rsidRPr="00487DFD">
        <w:rPr>
          <w:rFonts w:asciiTheme="majorHAnsi" w:hAnsiTheme="majorHAnsi"/>
        </w:rPr>
        <w:t xml:space="preserve"> </w:t>
      </w:r>
    </w:p>
    <w:p w:rsidR="00817ABD" w:rsidRPr="00487DFD" w:rsidRDefault="00817ABD" w:rsidP="00487DFD">
      <w:pPr>
        <w:spacing w:line="360" w:lineRule="auto"/>
        <w:jc w:val="both"/>
        <w:rPr>
          <w:rFonts w:asciiTheme="majorHAnsi" w:hAnsiTheme="majorHAnsi"/>
          <w:lang w:bidi="x-none"/>
        </w:rPr>
      </w:pPr>
      <w:r w:rsidRPr="00487DFD">
        <w:rPr>
          <w:rFonts w:asciiTheme="majorHAnsi" w:hAnsiTheme="majorHAnsi"/>
          <w:lang w:bidi="x-none"/>
        </w:rPr>
        <w:t>An event is considered a sight-threatening and should be reported as an SAE if it meets one or more of the following criteria:</w:t>
      </w:r>
    </w:p>
    <w:p w:rsidR="00817ABD" w:rsidRPr="00487DFD" w:rsidRDefault="00817ABD" w:rsidP="00487DFD">
      <w:pPr>
        <w:pStyle w:val="Bullet1"/>
        <w:spacing w:line="360" w:lineRule="auto"/>
        <w:jc w:val="both"/>
        <w:rPr>
          <w:rFonts w:asciiTheme="majorHAnsi" w:hAnsiTheme="majorHAnsi"/>
          <w:sz w:val="24"/>
          <w:szCs w:val="24"/>
        </w:rPr>
      </w:pPr>
      <w:r w:rsidRPr="00487DFD">
        <w:rPr>
          <w:rFonts w:asciiTheme="majorHAnsi" w:hAnsiTheme="majorHAnsi"/>
          <w:sz w:val="24"/>
          <w:szCs w:val="24"/>
        </w:rPr>
        <w:t xml:space="preserve">It caused a decrease in visual acuity of </w:t>
      </w:r>
      <w:r w:rsidRPr="00487DFD">
        <w:rPr>
          <w:rFonts w:asciiTheme="majorHAnsi" w:hAnsiTheme="majorHAnsi"/>
          <w:sz w:val="24"/>
          <w:szCs w:val="24"/>
          <w:u w:color="000000"/>
        </w:rPr>
        <w:t>≥</w:t>
      </w:r>
      <w:r w:rsidRPr="00487DFD">
        <w:rPr>
          <w:rFonts w:asciiTheme="majorHAnsi" w:hAnsiTheme="majorHAnsi"/>
          <w:sz w:val="24"/>
          <w:szCs w:val="24"/>
        </w:rPr>
        <w:t>30 letters (compared with the last assessment of visual acuity at the last visit) lasting &gt;1 hour.</w:t>
      </w:r>
    </w:p>
    <w:p w:rsidR="00817ABD" w:rsidRPr="00487DFD" w:rsidRDefault="00817ABD" w:rsidP="00487DFD">
      <w:pPr>
        <w:pStyle w:val="Bullet1"/>
        <w:spacing w:line="360" w:lineRule="auto"/>
        <w:jc w:val="both"/>
        <w:rPr>
          <w:rFonts w:asciiTheme="majorHAnsi" w:hAnsiTheme="majorHAnsi"/>
          <w:sz w:val="24"/>
          <w:szCs w:val="24"/>
        </w:rPr>
      </w:pPr>
      <w:r w:rsidRPr="00487DFD">
        <w:rPr>
          <w:rFonts w:asciiTheme="majorHAnsi" w:hAnsiTheme="majorHAnsi"/>
          <w:sz w:val="24"/>
          <w:szCs w:val="24"/>
        </w:rPr>
        <w:t>It caused a decrease in visual acuity to the level of Light Perception or worse lasting &gt;1 hour.</w:t>
      </w:r>
    </w:p>
    <w:p w:rsidR="00817ABD" w:rsidRPr="00487DFD" w:rsidRDefault="00817ABD" w:rsidP="00487DFD">
      <w:pPr>
        <w:pStyle w:val="Bullet1"/>
        <w:spacing w:line="360" w:lineRule="auto"/>
        <w:jc w:val="both"/>
        <w:rPr>
          <w:rFonts w:asciiTheme="majorHAnsi" w:hAnsiTheme="majorHAnsi"/>
          <w:sz w:val="24"/>
          <w:szCs w:val="24"/>
        </w:rPr>
      </w:pPr>
      <w:r w:rsidRPr="00487DFD">
        <w:rPr>
          <w:rFonts w:asciiTheme="majorHAnsi" w:hAnsiTheme="majorHAnsi"/>
          <w:sz w:val="24"/>
          <w:szCs w:val="24"/>
        </w:rPr>
        <w:t>It required surgical intervention (e.g., conventional surgery, vitreous tap or biopsy with intravitreal injection of anti-infectives, or laser or retinal cryopexy with gas) to prevent permanent loss of sight.</w:t>
      </w:r>
    </w:p>
    <w:p w:rsidR="00817ABD" w:rsidRPr="00487DFD" w:rsidRDefault="00817ABD" w:rsidP="00487DFD">
      <w:pPr>
        <w:pStyle w:val="Bullet1"/>
        <w:spacing w:line="360" w:lineRule="auto"/>
        <w:jc w:val="both"/>
        <w:rPr>
          <w:rFonts w:asciiTheme="majorHAnsi" w:hAnsiTheme="majorHAnsi"/>
          <w:sz w:val="24"/>
          <w:szCs w:val="24"/>
        </w:rPr>
      </w:pPr>
      <w:r w:rsidRPr="00487DFD">
        <w:rPr>
          <w:rFonts w:asciiTheme="majorHAnsi" w:hAnsiTheme="majorHAnsi"/>
          <w:sz w:val="24"/>
          <w:szCs w:val="24"/>
        </w:rPr>
        <w:t>It is associated with severe intraocular inflammation (i.e., 4+ anterior chamber cell/flare or 4+ vitritis).</w:t>
      </w:r>
    </w:p>
    <w:p w:rsidR="00817ABD" w:rsidRPr="00487DFD" w:rsidRDefault="00817ABD" w:rsidP="00487DFD">
      <w:pPr>
        <w:pStyle w:val="Bullet1"/>
        <w:spacing w:line="360" w:lineRule="auto"/>
        <w:jc w:val="both"/>
        <w:rPr>
          <w:rFonts w:asciiTheme="majorHAnsi" w:hAnsiTheme="majorHAnsi"/>
          <w:sz w:val="24"/>
          <w:szCs w:val="24"/>
        </w:rPr>
      </w:pPr>
      <w:r w:rsidRPr="00487DFD">
        <w:rPr>
          <w:rFonts w:asciiTheme="majorHAnsi" w:hAnsiTheme="majorHAnsi"/>
          <w:sz w:val="24"/>
          <w:szCs w:val="24"/>
        </w:rPr>
        <w:t>In the opinion of the investigator it may require medical intervention to prevent permanent loss of sight.</w:t>
      </w:r>
    </w:p>
    <w:p w:rsidR="00817ABD" w:rsidRPr="00487DFD" w:rsidRDefault="00817ABD" w:rsidP="00487DFD">
      <w:pPr>
        <w:pStyle w:val="Heading3"/>
        <w:spacing w:line="360" w:lineRule="auto"/>
        <w:ind w:left="840"/>
        <w:rPr>
          <w:rFonts w:asciiTheme="majorHAnsi" w:hAnsiTheme="majorHAnsi"/>
          <w:spacing w:val="-3"/>
        </w:rPr>
      </w:pPr>
      <w:bookmarkStart w:id="109" w:name="_Toc224986917"/>
      <w:bookmarkStart w:id="110" w:name="_Toc290040073"/>
      <w:bookmarkStart w:id="111" w:name="_Toc324107891"/>
      <w:r w:rsidRPr="00487DFD">
        <w:rPr>
          <w:rFonts w:asciiTheme="majorHAnsi" w:hAnsiTheme="majorHAnsi"/>
        </w:rPr>
        <w:t>Life-threatening</w:t>
      </w:r>
      <w:bookmarkEnd w:id="109"/>
      <w:bookmarkEnd w:id="110"/>
      <w:bookmarkEnd w:id="111"/>
      <w:r w:rsidRPr="00487DFD">
        <w:rPr>
          <w:rFonts w:asciiTheme="majorHAnsi" w:hAnsiTheme="majorHAnsi"/>
          <w:spacing w:val="-3"/>
        </w:rPr>
        <w:t xml:space="preserve"> </w:t>
      </w:r>
    </w:p>
    <w:p w:rsidR="00817ABD" w:rsidRPr="00487DFD" w:rsidRDefault="00817ABD" w:rsidP="00487DFD">
      <w:pPr>
        <w:pStyle w:val="Default"/>
        <w:spacing w:line="360" w:lineRule="auto"/>
        <w:rPr>
          <w:rFonts w:asciiTheme="majorHAnsi" w:hAnsiTheme="majorHAnsi"/>
          <w:color w:val="auto"/>
          <w:szCs w:val="24"/>
          <w:lang w:bidi="x-none"/>
        </w:rPr>
      </w:pPr>
      <w:r w:rsidRPr="00487DFD">
        <w:rPr>
          <w:rFonts w:asciiTheme="majorHAnsi" w:hAnsiTheme="majorHAnsi"/>
          <w:color w:val="auto"/>
          <w:szCs w:val="24"/>
          <w:lang w:bidi="x-none"/>
        </w:rPr>
        <w:t>Any adverse experience, for which the subject was at risk of death at the time of the event, is considered as life-threatening. It does not refer to an event which hypothetically might have caused death if it were more severe.</w:t>
      </w:r>
    </w:p>
    <w:p w:rsidR="00817ABD" w:rsidRPr="00487DFD" w:rsidRDefault="00817ABD" w:rsidP="00487DFD">
      <w:pPr>
        <w:pStyle w:val="Heading3"/>
        <w:spacing w:line="360" w:lineRule="auto"/>
        <w:ind w:left="840"/>
        <w:rPr>
          <w:rFonts w:asciiTheme="majorHAnsi" w:hAnsiTheme="majorHAnsi"/>
        </w:rPr>
      </w:pPr>
      <w:bookmarkStart w:id="112" w:name="_Toc224986918"/>
      <w:bookmarkStart w:id="113" w:name="_Toc290040074"/>
      <w:bookmarkStart w:id="114" w:name="_Toc324107892"/>
      <w:r w:rsidRPr="00487DFD">
        <w:rPr>
          <w:rFonts w:asciiTheme="majorHAnsi" w:hAnsiTheme="majorHAnsi"/>
        </w:rPr>
        <w:t>Death</w:t>
      </w:r>
      <w:bookmarkEnd w:id="112"/>
      <w:bookmarkEnd w:id="113"/>
      <w:bookmarkEnd w:id="114"/>
      <w:r w:rsidRPr="00487DFD">
        <w:rPr>
          <w:rFonts w:asciiTheme="majorHAnsi" w:hAnsiTheme="majorHAnsi"/>
        </w:rPr>
        <w:t xml:space="preserve"> </w:t>
      </w:r>
    </w:p>
    <w:p w:rsidR="00817ABD" w:rsidRPr="00487DFD" w:rsidRDefault="00817ABD" w:rsidP="00487DFD">
      <w:pPr>
        <w:spacing w:line="360" w:lineRule="auto"/>
        <w:jc w:val="both"/>
        <w:rPr>
          <w:rFonts w:asciiTheme="majorHAnsi" w:hAnsiTheme="majorHAnsi"/>
        </w:rPr>
      </w:pPr>
      <w:r w:rsidRPr="00487DFD">
        <w:rPr>
          <w:rFonts w:asciiTheme="majorHAnsi" w:hAnsiTheme="majorHAnsi"/>
        </w:rPr>
        <w:t xml:space="preserve">All deaths that occur during the protocol-specified AE reporting period, regardless of attribution, will be recorded and expeditiously reported to the Sponsor. </w:t>
      </w:r>
    </w:p>
    <w:p w:rsidR="00817ABD" w:rsidRPr="00487DFD" w:rsidRDefault="00817ABD" w:rsidP="00487DFD">
      <w:pPr>
        <w:spacing w:line="360" w:lineRule="auto"/>
        <w:jc w:val="both"/>
        <w:rPr>
          <w:rFonts w:asciiTheme="majorHAnsi" w:hAnsiTheme="majorHAnsi"/>
        </w:rPr>
      </w:pPr>
    </w:p>
    <w:p w:rsidR="00817ABD" w:rsidRPr="00487DFD" w:rsidRDefault="00817ABD" w:rsidP="00487DFD">
      <w:pPr>
        <w:spacing w:line="360" w:lineRule="auto"/>
        <w:jc w:val="both"/>
        <w:rPr>
          <w:rFonts w:asciiTheme="majorHAnsi" w:hAnsiTheme="majorHAnsi"/>
        </w:rPr>
      </w:pPr>
      <w:r w:rsidRPr="00487DFD">
        <w:rPr>
          <w:rFonts w:asciiTheme="majorHAnsi" w:hAnsiTheme="majorHAnsi"/>
        </w:rPr>
        <w:t>When recording a death, the event or condition that caused or contributed to the fatal outcome should be recorded as the AE event term.</w:t>
      </w:r>
    </w:p>
    <w:p w:rsidR="00817ABD" w:rsidRPr="00487DFD" w:rsidRDefault="00817ABD" w:rsidP="00487DFD">
      <w:pPr>
        <w:pStyle w:val="Heading2"/>
        <w:keepLines/>
        <w:spacing w:line="360" w:lineRule="auto"/>
        <w:ind w:left="578" w:hanging="578"/>
        <w:rPr>
          <w:rFonts w:asciiTheme="majorHAnsi" w:hAnsiTheme="majorHAnsi"/>
          <w:sz w:val="24"/>
          <w:szCs w:val="24"/>
        </w:rPr>
      </w:pPr>
      <w:bookmarkStart w:id="115" w:name="_Toc224986920"/>
      <w:bookmarkStart w:id="116" w:name="_Toc290040076"/>
      <w:bookmarkStart w:id="117" w:name="_Toc324107894"/>
      <w:r w:rsidRPr="00487DFD">
        <w:rPr>
          <w:rFonts w:asciiTheme="majorHAnsi" w:hAnsiTheme="majorHAnsi"/>
          <w:sz w:val="24"/>
          <w:szCs w:val="24"/>
        </w:rPr>
        <w:lastRenderedPageBreak/>
        <w:t>Adverse Event Assessment and Documentation</w:t>
      </w:r>
      <w:bookmarkEnd w:id="115"/>
      <w:bookmarkEnd w:id="116"/>
      <w:bookmarkEnd w:id="117"/>
    </w:p>
    <w:p w:rsidR="00817ABD" w:rsidRPr="00487DFD" w:rsidRDefault="00817ABD" w:rsidP="00487DFD">
      <w:pPr>
        <w:pStyle w:val="Default"/>
        <w:spacing w:line="360" w:lineRule="auto"/>
        <w:rPr>
          <w:rFonts w:asciiTheme="majorHAnsi" w:hAnsiTheme="majorHAnsi"/>
          <w:color w:val="auto"/>
          <w:szCs w:val="24"/>
        </w:rPr>
      </w:pPr>
      <w:r w:rsidRPr="00487DFD">
        <w:rPr>
          <w:rFonts w:asciiTheme="majorHAnsi" w:hAnsiTheme="majorHAnsi"/>
          <w:color w:val="auto"/>
          <w:szCs w:val="24"/>
        </w:rPr>
        <w:t xml:space="preserve">All subjects who have been exposed to the study treatment will be evaluated for adverse events. All adverse events, regardless of severity and whether they are ascribed to the study treatment, will be recorded using standard medical terminology. The investigator </w:t>
      </w:r>
      <w:r w:rsidRPr="00487DFD">
        <w:rPr>
          <w:rFonts w:asciiTheme="majorHAnsi" w:hAnsiTheme="majorHAnsi"/>
          <w:bCs/>
          <w:i/>
          <w:color w:val="auto"/>
          <w:szCs w:val="24"/>
        </w:rPr>
        <w:t>must</w:t>
      </w:r>
      <w:r w:rsidRPr="00487DFD">
        <w:rPr>
          <w:rFonts w:asciiTheme="majorHAnsi" w:hAnsiTheme="majorHAnsi"/>
          <w:color w:val="auto"/>
          <w:szCs w:val="24"/>
        </w:rPr>
        <w:t xml:space="preserve"> assess (and record in the source documents and CRF) whether the event is related to the study device. </w:t>
      </w:r>
    </w:p>
    <w:p w:rsidR="00817ABD" w:rsidRPr="00487DFD" w:rsidRDefault="00817ABD" w:rsidP="00487DFD">
      <w:pPr>
        <w:pStyle w:val="Default"/>
        <w:spacing w:line="360" w:lineRule="auto"/>
        <w:rPr>
          <w:rFonts w:asciiTheme="majorHAnsi" w:hAnsiTheme="majorHAnsi"/>
          <w:color w:val="auto"/>
          <w:szCs w:val="24"/>
        </w:rPr>
      </w:pPr>
    </w:p>
    <w:p w:rsidR="00817ABD" w:rsidRPr="00487DFD" w:rsidRDefault="00817ABD" w:rsidP="00487DFD">
      <w:pPr>
        <w:spacing w:line="360" w:lineRule="auto"/>
        <w:jc w:val="both"/>
        <w:rPr>
          <w:rFonts w:asciiTheme="majorHAnsi" w:hAnsiTheme="majorHAnsi"/>
          <w:u w:color="000000"/>
        </w:rPr>
      </w:pPr>
      <w:r w:rsidRPr="00487DFD">
        <w:rPr>
          <w:rFonts w:asciiTheme="majorHAnsi" w:hAnsiTheme="majorHAnsi"/>
          <w:u w:color="000000"/>
        </w:rPr>
        <w:t>All adverse events will be evaluated beginning with onset, and evaluation will continue until resolution is noted, or until the investigator determines that the subject’s condition is stable, whichever is earlier. The investigator will take all appropriate and necessary therapeutic measures required for resolution of the adverse event. Any medication necessary for the treatment of an adverse event must be recorded on the concomitant medication case report form. If more than one distinct adverse event occurs, each event should be recorded separately.</w:t>
      </w:r>
    </w:p>
    <w:p w:rsidR="00817ABD" w:rsidRPr="00487DFD" w:rsidRDefault="00817ABD" w:rsidP="00487D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heme="majorHAnsi" w:hAnsiTheme="majorHAnsi"/>
          <w:lang w:bidi="x-none"/>
        </w:rPr>
      </w:pPr>
    </w:p>
    <w:p w:rsidR="00817ABD" w:rsidRPr="00487DFD" w:rsidRDefault="00817ABD" w:rsidP="00487DFD">
      <w:pPr>
        <w:pStyle w:val="Default"/>
        <w:spacing w:line="360" w:lineRule="auto"/>
        <w:rPr>
          <w:rFonts w:asciiTheme="majorHAnsi" w:hAnsiTheme="majorHAnsi"/>
          <w:szCs w:val="24"/>
        </w:rPr>
      </w:pPr>
      <w:r w:rsidRPr="00487DFD">
        <w:rPr>
          <w:rFonts w:asciiTheme="majorHAnsi" w:hAnsiTheme="majorHAnsi"/>
          <w:szCs w:val="24"/>
        </w:rPr>
        <w:t xml:space="preserve">All AEs will be characterized by the following criteria: </w:t>
      </w:r>
    </w:p>
    <w:p w:rsidR="00817ABD" w:rsidRPr="00487DFD" w:rsidRDefault="00817ABD" w:rsidP="00487DFD">
      <w:pPr>
        <w:pStyle w:val="Bullet1"/>
        <w:spacing w:line="360" w:lineRule="auto"/>
        <w:jc w:val="both"/>
        <w:rPr>
          <w:rFonts w:asciiTheme="majorHAnsi" w:hAnsiTheme="majorHAnsi"/>
          <w:sz w:val="24"/>
          <w:szCs w:val="24"/>
        </w:rPr>
      </w:pPr>
      <w:r w:rsidRPr="00487DFD">
        <w:rPr>
          <w:rFonts w:asciiTheme="majorHAnsi" w:hAnsiTheme="majorHAnsi"/>
          <w:sz w:val="24"/>
          <w:szCs w:val="24"/>
        </w:rPr>
        <w:t>Event Term</w:t>
      </w:r>
    </w:p>
    <w:p w:rsidR="00817ABD" w:rsidRPr="00487DFD" w:rsidRDefault="00817ABD" w:rsidP="00487DFD">
      <w:pPr>
        <w:pStyle w:val="Bullet1"/>
        <w:spacing w:line="360" w:lineRule="auto"/>
        <w:jc w:val="both"/>
        <w:rPr>
          <w:rFonts w:asciiTheme="majorHAnsi" w:hAnsiTheme="majorHAnsi"/>
          <w:sz w:val="24"/>
          <w:szCs w:val="24"/>
        </w:rPr>
      </w:pPr>
      <w:r w:rsidRPr="00487DFD">
        <w:rPr>
          <w:rFonts w:asciiTheme="majorHAnsi" w:hAnsiTheme="majorHAnsi"/>
          <w:sz w:val="24"/>
          <w:szCs w:val="24"/>
        </w:rPr>
        <w:t xml:space="preserve">Intensity or Severity </w:t>
      </w:r>
    </w:p>
    <w:p w:rsidR="00817ABD" w:rsidRPr="00487DFD" w:rsidRDefault="00817ABD" w:rsidP="00487DFD">
      <w:pPr>
        <w:pStyle w:val="Bullet1"/>
        <w:spacing w:line="360" w:lineRule="auto"/>
        <w:jc w:val="both"/>
        <w:rPr>
          <w:rFonts w:asciiTheme="majorHAnsi" w:hAnsiTheme="majorHAnsi"/>
          <w:sz w:val="24"/>
          <w:szCs w:val="24"/>
        </w:rPr>
      </w:pPr>
      <w:r w:rsidRPr="00487DFD">
        <w:rPr>
          <w:rFonts w:asciiTheme="majorHAnsi" w:hAnsiTheme="majorHAnsi"/>
          <w:sz w:val="24"/>
          <w:szCs w:val="24"/>
        </w:rPr>
        <w:t xml:space="preserve">Expectedness </w:t>
      </w:r>
    </w:p>
    <w:p w:rsidR="00817ABD" w:rsidRPr="00487DFD" w:rsidRDefault="00817ABD" w:rsidP="00487DFD">
      <w:pPr>
        <w:pStyle w:val="Bullet1"/>
        <w:spacing w:line="360" w:lineRule="auto"/>
        <w:jc w:val="both"/>
        <w:rPr>
          <w:rFonts w:asciiTheme="majorHAnsi" w:hAnsiTheme="majorHAnsi"/>
          <w:sz w:val="24"/>
          <w:szCs w:val="24"/>
        </w:rPr>
      </w:pPr>
      <w:r w:rsidRPr="00487DFD">
        <w:rPr>
          <w:rFonts w:asciiTheme="majorHAnsi" w:hAnsiTheme="majorHAnsi"/>
          <w:sz w:val="24"/>
          <w:szCs w:val="24"/>
        </w:rPr>
        <w:t xml:space="preserve">Relationship </w:t>
      </w:r>
    </w:p>
    <w:p w:rsidR="00817ABD" w:rsidRPr="00487DFD" w:rsidRDefault="00817ABD" w:rsidP="00487DFD">
      <w:pPr>
        <w:pStyle w:val="Bullet1"/>
        <w:spacing w:line="360" w:lineRule="auto"/>
        <w:jc w:val="both"/>
        <w:rPr>
          <w:rFonts w:asciiTheme="majorHAnsi" w:hAnsiTheme="majorHAnsi"/>
          <w:sz w:val="24"/>
          <w:szCs w:val="24"/>
        </w:rPr>
      </w:pPr>
      <w:r w:rsidRPr="00487DFD">
        <w:rPr>
          <w:rFonts w:asciiTheme="majorHAnsi" w:hAnsiTheme="majorHAnsi"/>
          <w:sz w:val="24"/>
          <w:szCs w:val="24"/>
        </w:rPr>
        <w:t xml:space="preserve">Outcome </w:t>
      </w:r>
    </w:p>
    <w:p w:rsidR="00817ABD" w:rsidRPr="00487DFD" w:rsidRDefault="00817ABD" w:rsidP="00487DFD">
      <w:pPr>
        <w:pStyle w:val="Bullet1"/>
        <w:spacing w:line="360" w:lineRule="auto"/>
        <w:jc w:val="both"/>
        <w:rPr>
          <w:rFonts w:asciiTheme="majorHAnsi" w:hAnsiTheme="majorHAnsi"/>
          <w:sz w:val="24"/>
          <w:szCs w:val="24"/>
        </w:rPr>
      </w:pPr>
      <w:r w:rsidRPr="00487DFD">
        <w:rPr>
          <w:rFonts w:asciiTheme="majorHAnsi" w:hAnsiTheme="majorHAnsi"/>
          <w:sz w:val="24"/>
          <w:szCs w:val="24"/>
        </w:rPr>
        <w:t>Treatment or Action Taken</w:t>
      </w:r>
    </w:p>
    <w:p w:rsidR="00817ABD" w:rsidRPr="00487DFD" w:rsidRDefault="00817ABD" w:rsidP="00487DFD">
      <w:pPr>
        <w:pStyle w:val="Heading2"/>
        <w:keepLines/>
        <w:spacing w:line="360" w:lineRule="auto"/>
        <w:ind w:left="578" w:hanging="578"/>
        <w:rPr>
          <w:rFonts w:asciiTheme="majorHAnsi" w:hAnsiTheme="majorHAnsi"/>
          <w:sz w:val="24"/>
          <w:szCs w:val="24"/>
        </w:rPr>
      </w:pPr>
      <w:r w:rsidRPr="00487DFD">
        <w:rPr>
          <w:rFonts w:asciiTheme="majorHAnsi" w:hAnsiTheme="majorHAnsi"/>
          <w:sz w:val="24"/>
          <w:szCs w:val="24"/>
          <w:lang w:bidi="x-none"/>
        </w:rPr>
        <w:t xml:space="preserve"> </w:t>
      </w:r>
      <w:bookmarkStart w:id="118" w:name="_Toc224986921"/>
      <w:bookmarkStart w:id="119" w:name="_Toc290040077"/>
      <w:bookmarkStart w:id="120" w:name="_Toc324107895"/>
      <w:r w:rsidRPr="00487DFD">
        <w:rPr>
          <w:rFonts w:asciiTheme="majorHAnsi" w:hAnsiTheme="majorHAnsi"/>
          <w:sz w:val="24"/>
          <w:szCs w:val="24"/>
          <w:lang w:bidi="x-none"/>
        </w:rPr>
        <w:t xml:space="preserve">Adverse </w:t>
      </w:r>
      <w:r w:rsidRPr="00487DFD">
        <w:rPr>
          <w:rFonts w:asciiTheme="majorHAnsi" w:hAnsiTheme="majorHAnsi"/>
          <w:sz w:val="24"/>
          <w:szCs w:val="24"/>
        </w:rPr>
        <w:t>Event Terms</w:t>
      </w:r>
      <w:bookmarkEnd w:id="118"/>
      <w:bookmarkEnd w:id="119"/>
      <w:bookmarkEnd w:id="120"/>
    </w:p>
    <w:p w:rsidR="00817ABD" w:rsidRPr="00487DFD" w:rsidRDefault="00817ABD" w:rsidP="00487DFD">
      <w:pPr>
        <w:pStyle w:val="Default"/>
        <w:spacing w:line="360" w:lineRule="auto"/>
        <w:rPr>
          <w:rFonts w:asciiTheme="majorHAnsi" w:hAnsiTheme="majorHAnsi"/>
          <w:color w:val="auto"/>
          <w:spacing w:val="-2"/>
          <w:szCs w:val="24"/>
        </w:rPr>
      </w:pPr>
      <w:r w:rsidRPr="00487DFD">
        <w:rPr>
          <w:rFonts w:asciiTheme="majorHAnsi" w:hAnsiTheme="majorHAnsi"/>
          <w:color w:val="auto"/>
          <w:spacing w:val="-2"/>
          <w:szCs w:val="24"/>
        </w:rPr>
        <w:t xml:space="preserve">Whenever possible, use recognized medical terms when recording AEs. Do not use colloquialisms and/or abbreviations. Only one medical concept, preferably a diagnosis instead of individual symptoms, should be recorded as the event. </w:t>
      </w:r>
    </w:p>
    <w:p w:rsidR="00817ABD" w:rsidRPr="00487DFD" w:rsidRDefault="00817ABD" w:rsidP="00487DFD">
      <w:pPr>
        <w:keepNext/>
        <w:spacing w:line="360" w:lineRule="auto"/>
        <w:jc w:val="both"/>
        <w:outlineLvl w:val="0"/>
        <w:rPr>
          <w:rFonts w:asciiTheme="majorHAnsi" w:hAnsiTheme="majorHAnsi"/>
        </w:rPr>
      </w:pPr>
    </w:p>
    <w:p w:rsidR="00817ABD" w:rsidRPr="00487DFD" w:rsidRDefault="00817ABD" w:rsidP="00487DFD">
      <w:pPr>
        <w:keepNext/>
        <w:spacing w:line="360" w:lineRule="auto"/>
        <w:jc w:val="both"/>
        <w:outlineLvl w:val="0"/>
        <w:rPr>
          <w:rFonts w:asciiTheme="majorHAnsi" w:hAnsiTheme="majorHAnsi"/>
        </w:rPr>
      </w:pPr>
      <w:r w:rsidRPr="00487DFD">
        <w:rPr>
          <w:rFonts w:asciiTheme="majorHAnsi" w:hAnsiTheme="majorHAnsi"/>
        </w:rPr>
        <w:t xml:space="preserve">If known at the time of reporting, a diagnosis (i.e. disease or syndrome) should be recorded on the CRF rather than individual signs and symptoms (e.g., record congestive heart failure rather than dyspnea, rales, and cyanosis). However, if a constellation of signs and/or symptoms cannot be medically characterized as a single diagnosis or syndrome at the time of reporting, each individual event should be recorded as a separate AE. If a diagnosis is subsequently established, it should be reported as follow-up information. However, signs and symptoms that are considered unrelated </w:t>
      </w:r>
      <w:r w:rsidRPr="00487DFD">
        <w:rPr>
          <w:rFonts w:asciiTheme="majorHAnsi" w:hAnsiTheme="majorHAnsi"/>
        </w:rPr>
        <w:lastRenderedPageBreak/>
        <w:t>to an encountered syndrome or disease should be recorded as individual AEs (e.g., if congestive heart failure and severe headache are observed at the same time, each events should be recorded as an individual AE).</w:t>
      </w:r>
    </w:p>
    <w:p w:rsidR="00817ABD" w:rsidRPr="00487DFD" w:rsidRDefault="00817ABD" w:rsidP="00487DFD">
      <w:pPr>
        <w:spacing w:line="360" w:lineRule="auto"/>
        <w:jc w:val="both"/>
        <w:rPr>
          <w:rFonts w:asciiTheme="majorHAnsi" w:hAnsiTheme="majorHAnsi"/>
        </w:rPr>
      </w:pPr>
    </w:p>
    <w:p w:rsidR="00817ABD" w:rsidRPr="00487DFD" w:rsidRDefault="00817ABD" w:rsidP="00487DFD">
      <w:pPr>
        <w:keepNext/>
        <w:spacing w:line="360" w:lineRule="auto"/>
        <w:jc w:val="both"/>
        <w:outlineLvl w:val="0"/>
        <w:rPr>
          <w:rFonts w:asciiTheme="majorHAnsi" w:hAnsiTheme="majorHAnsi"/>
        </w:rPr>
      </w:pPr>
      <w:r w:rsidRPr="00487DFD">
        <w:rPr>
          <w:rFonts w:asciiTheme="majorHAnsi" w:hAnsiTheme="majorHAnsi"/>
        </w:rPr>
        <w:t xml:space="preserve">Adverse events occurring secondary to other events (e.g., sequelae) should be identified by the primary cause; a "primary" event, if clearly identifiable, and generally represents the most accurate clinical term to record as the AE event term. </w:t>
      </w:r>
    </w:p>
    <w:p w:rsidR="00817ABD" w:rsidRPr="00487DFD" w:rsidRDefault="00817ABD" w:rsidP="00487DFD">
      <w:pPr>
        <w:spacing w:line="360" w:lineRule="auto"/>
        <w:jc w:val="both"/>
        <w:outlineLvl w:val="0"/>
        <w:rPr>
          <w:rFonts w:asciiTheme="majorHAnsi" w:hAnsiTheme="majorHAnsi"/>
          <w:u w:color="000000"/>
        </w:rPr>
      </w:pPr>
    </w:p>
    <w:p w:rsidR="00817ABD" w:rsidRPr="00487DFD" w:rsidRDefault="00817ABD" w:rsidP="00487DFD">
      <w:pPr>
        <w:pStyle w:val="Heading2"/>
        <w:keepLines/>
        <w:spacing w:line="360" w:lineRule="auto"/>
        <w:ind w:left="578" w:hanging="578"/>
        <w:rPr>
          <w:rFonts w:asciiTheme="majorHAnsi" w:hAnsiTheme="majorHAnsi"/>
          <w:sz w:val="24"/>
          <w:szCs w:val="24"/>
        </w:rPr>
      </w:pPr>
      <w:bookmarkStart w:id="121" w:name="_Ref224980692"/>
      <w:bookmarkStart w:id="122" w:name="_Toc224986922"/>
      <w:bookmarkStart w:id="123" w:name="_Toc290040078"/>
      <w:bookmarkStart w:id="124" w:name="_Toc324107896"/>
      <w:r w:rsidRPr="00487DFD">
        <w:rPr>
          <w:rFonts w:asciiTheme="majorHAnsi" w:hAnsiTheme="majorHAnsi"/>
          <w:sz w:val="24"/>
          <w:szCs w:val="24"/>
        </w:rPr>
        <w:t>Classification of Adverse Events by Intensity/Severity</w:t>
      </w:r>
      <w:bookmarkEnd w:id="121"/>
      <w:bookmarkEnd w:id="122"/>
      <w:bookmarkEnd w:id="123"/>
      <w:bookmarkEnd w:id="124"/>
    </w:p>
    <w:p w:rsidR="00817ABD" w:rsidRPr="00487DFD" w:rsidRDefault="00817ABD" w:rsidP="00487DFD">
      <w:pPr>
        <w:spacing w:line="360" w:lineRule="auto"/>
        <w:jc w:val="both"/>
        <w:rPr>
          <w:rFonts w:asciiTheme="majorHAnsi" w:hAnsiTheme="majorHAnsi"/>
        </w:rPr>
      </w:pPr>
      <w:r w:rsidRPr="00487DFD">
        <w:rPr>
          <w:rFonts w:asciiTheme="majorHAnsi" w:hAnsiTheme="majorHAnsi"/>
        </w:rPr>
        <w:t>All adverse events should be graded on a four-point scale (mild, moderate, marked, severe) for intensity/severity. Unless otherwise defined in the protocol or PSM, the definitions are as follows:</w:t>
      </w:r>
    </w:p>
    <w:p w:rsidR="00817ABD" w:rsidRPr="00487DFD" w:rsidRDefault="00817ABD" w:rsidP="00487DFD">
      <w:pPr>
        <w:spacing w:line="360" w:lineRule="auto"/>
        <w:jc w:val="both"/>
        <w:rPr>
          <w:rFonts w:asciiTheme="majorHAnsi" w:hAnsiTheme="majorHAnsi"/>
        </w:rPr>
      </w:pPr>
    </w:p>
    <w:p w:rsidR="00817ABD" w:rsidRPr="00487DFD" w:rsidRDefault="00817ABD" w:rsidP="00487DFD">
      <w:pPr>
        <w:tabs>
          <w:tab w:val="right" w:pos="8397"/>
        </w:tabs>
        <w:spacing w:line="360" w:lineRule="auto"/>
        <w:ind w:left="1276" w:hanging="1276"/>
        <w:jc w:val="both"/>
        <w:rPr>
          <w:rFonts w:asciiTheme="majorHAnsi" w:hAnsiTheme="majorHAnsi"/>
        </w:rPr>
      </w:pPr>
      <w:r w:rsidRPr="00487DFD">
        <w:rPr>
          <w:rFonts w:asciiTheme="majorHAnsi" w:hAnsiTheme="majorHAnsi" w:cs="KGDBBF+TimesNewRoman,Bold"/>
          <w:b/>
          <w:bCs/>
          <w:color w:val="000000"/>
        </w:rPr>
        <w:t xml:space="preserve">Mild: </w:t>
      </w:r>
      <w:r w:rsidRPr="00487DFD">
        <w:rPr>
          <w:rFonts w:asciiTheme="majorHAnsi" w:hAnsiTheme="majorHAnsi" w:cs="KGDBBF+TimesNewRoman,Bold"/>
          <w:b/>
          <w:bCs/>
          <w:color w:val="000000"/>
        </w:rPr>
        <w:tab/>
      </w:r>
      <w:r w:rsidRPr="00487DFD">
        <w:rPr>
          <w:rFonts w:asciiTheme="majorHAnsi" w:hAnsiTheme="majorHAnsi" w:cs="KGDAML+TimesNewRoman"/>
          <w:color w:val="000000"/>
        </w:rPr>
        <w:t xml:space="preserve">Transient discomfort; no medical intervention/therapy required </w:t>
      </w:r>
      <w:r w:rsidRPr="00487DFD">
        <w:rPr>
          <w:rFonts w:asciiTheme="majorHAnsi" w:hAnsiTheme="majorHAnsi"/>
        </w:rPr>
        <w:t>and does not interfere with daily activities.</w:t>
      </w:r>
    </w:p>
    <w:p w:rsidR="00817ABD" w:rsidRPr="00487DFD" w:rsidRDefault="00817ABD" w:rsidP="00487DFD">
      <w:pPr>
        <w:tabs>
          <w:tab w:val="left" w:pos="1260"/>
        </w:tabs>
        <w:autoSpaceDE w:val="0"/>
        <w:autoSpaceDN w:val="0"/>
        <w:adjustRightInd w:val="0"/>
        <w:spacing w:line="360" w:lineRule="auto"/>
        <w:ind w:left="1260" w:hanging="1260"/>
        <w:jc w:val="both"/>
        <w:rPr>
          <w:rFonts w:asciiTheme="majorHAnsi" w:hAnsiTheme="majorHAnsi" w:cs="KGDAML+TimesNewRoman"/>
          <w:color w:val="000000"/>
        </w:rPr>
      </w:pPr>
      <w:r w:rsidRPr="00487DFD">
        <w:rPr>
          <w:rFonts w:asciiTheme="majorHAnsi" w:hAnsiTheme="majorHAnsi" w:cs="KGDBBF+TimesNewRoman,Bold"/>
          <w:b/>
          <w:bCs/>
          <w:color w:val="000000"/>
        </w:rPr>
        <w:t xml:space="preserve">Moderate: </w:t>
      </w:r>
      <w:r w:rsidRPr="00487DFD">
        <w:rPr>
          <w:rFonts w:asciiTheme="majorHAnsi" w:hAnsiTheme="majorHAnsi" w:cs="KGDBBF+TimesNewRoman,Bold"/>
          <w:b/>
          <w:bCs/>
          <w:color w:val="000000"/>
        </w:rPr>
        <w:tab/>
      </w:r>
      <w:r w:rsidRPr="00487DFD">
        <w:rPr>
          <w:rFonts w:asciiTheme="majorHAnsi" w:hAnsiTheme="majorHAnsi"/>
        </w:rPr>
        <w:t>Low level of discomfort or concern</w:t>
      </w:r>
      <w:r w:rsidRPr="00487DFD">
        <w:rPr>
          <w:rFonts w:asciiTheme="majorHAnsi" w:hAnsiTheme="majorHAnsi" w:cs="KGDBBF+TimesNewRoman,Bold"/>
          <w:bCs/>
          <w:color w:val="000000"/>
        </w:rPr>
        <w:t xml:space="preserve"> with</w:t>
      </w:r>
      <w:r w:rsidRPr="00487DFD">
        <w:rPr>
          <w:rFonts w:asciiTheme="majorHAnsi" w:hAnsiTheme="majorHAnsi" w:cs="KGDAML+TimesNewRoman"/>
          <w:color w:val="000000"/>
        </w:rPr>
        <w:t xml:space="preserve"> mild to moderate limitation in daily activities; some assistance may be needed; minimal or no medical intervention/therapy required. </w:t>
      </w:r>
    </w:p>
    <w:p w:rsidR="00817ABD" w:rsidRPr="00487DFD" w:rsidRDefault="00817ABD" w:rsidP="00487DFD">
      <w:pPr>
        <w:tabs>
          <w:tab w:val="left" w:pos="1260"/>
        </w:tabs>
        <w:autoSpaceDE w:val="0"/>
        <w:autoSpaceDN w:val="0"/>
        <w:adjustRightInd w:val="0"/>
        <w:spacing w:line="360" w:lineRule="auto"/>
        <w:ind w:left="1260" w:hanging="1260"/>
        <w:jc w:val="both"/>
        <w:rPr>
          <w:rFonts w:asciiTheme="majorHAnsi" w:hAnsiTheme="majorHAnsi" w:cs="KGDAML+TimesNewRoman"/>
          <w:color w:val="000000"/>
        </w:rPr>
      </w:pPr>
      <w:r w:rsidRPr="00487DFD">
        <w:rPr>
          <w:rFonts w:asciiTheme="majorHAnsi" w:hAnsiTheme="majorHAnsi" w:cs="KGDBBF+TimesNewRoman,Bold"/>
          <w:b/>
          <w:bCs/>
          <w:color w:val="000000"/>
        </w:rPr>
        <w:t xml:space="preserve">Marked: </w:t>
      </w:r>
      <w:r w:rsidRPr="00487DFD">
        <w:rPr>
          <w:rFonts w:asciiTheme="majorHAnsi" w:hAnsiTheme="majorHAnsi" w:cs="KGDBBF+TimesNewRoman,Bold"/>
          <w:b/>
          <w:bCs/>
          <w:color w:val="000000"/>
        </w:rPr>
        <w:tab/>
      </w:r>
      <w:r w:rsidRPr="00487DFD">
        <w:rPr>
          <w:rFonts w:asciiTheme="majorHAnsi" w:hAnsiTheme="majorHAnsi" w:cs="KGDAML+TimesNewRoman"/>
          <w:color w:val="000000"/>
        </w:rPr>
        <w:t xml:space="preserve">Considerable discomfort with limitation in daily activities, some assistance usually required; medical intervention/therapy usually required. </w:t>
      </w:r>
    </w:p>
    <w:p w:rsidR="00817ABD" w:rsidRPr="00487DFD" w:rsidRDefault="00817ABD" w:rsidP="00487DFD">
      <w:pPr>
        <w:tabs>
          <w:tab w:val="left" w:pos="1260"/>
        </w:tabs>
        <w:spacing w:line="360" w:lineRule="auto"/>
        <w:ind w:left="1260" w:hanging="1260"/>
        <w:rPr>
          <w:rFonts w:asciiTheme="majorHAnsi" w:hAnsiTheme="majorHAnsi" w:cs="KGDAML+TimesNewRoman"/>
          <w:color w:val="000000"/>
        </w:rPr>
      </w:pPr>
      <w:r w:rsidRPr="00487DFD">
        <w:rPr>
          <w:rFonts w:asciiTheme="majorHAnsi" w:hAnsiTheme="majorHAnsi" w:cs="KGDBBF+TimesNewRoman,Bold"/>
          <w:b/>
          <w:bCs/>
          <w:color w:val="000000"/>
        </w:rPr>
        <w:t xml:space="preserve">Severe: </w:t>
      </w:r>
      <w:r w:rsidRPr="00487DFD">
        <w:rPr>
          <w:rFonts w:asciiTheme="majorHAnsi" w:hAnsiTheme="majorHAnsi" w:cs="KGDBBF+TimesNewRoman,Bold"/>
          <w:b/>
          <w:bCs/>
          <w:color w:val="000000"/>
        </w:rPr>
        <w:tab/>
      </w:r>
      <w:r w:rsidRPr="00487DFD">
        <w:rPr>
          <w:rFonts w:asciiTheme="majorHAnsi" w:hAnsiTheme="majorHAnsi" w:cs="KGDAML+TimesNewRoman"/>
          <w:color w:val="000000"/>
        </w:rPr>
        <w:t xml:space="preserve">Extreme discomfort and limitation in daily activities, significant assistance required; </w:t>
      </w:r>
      <w:r w:rsidRPr="00487DFD">
        <w:rPr>
          <w:rFonts w:asciiTheme="majorHAnsi" w:hAnsiTheme="majorHAnsi" w:cs="KGDAML+TimesNewRoman"/>
          <w:b/>
          <w:i/>
          <w:color w:val="000000"/>
        </w:rPr>
        <w:t>significant</w:t>
      </w:r>
      <w:r w:rsidRPr="00487DFD">
        <w:rPr>
          <w:rFonts w:asciiTheme="majorHAnsi" w:hAnsiTheme="majorHAnsi" w:cs="KGDAML+TimesNewRoman"/>
          <w:color w:val="000000"/>
        </w:rPr>
        <w:t xml:space="preserve"> medical intervention/therapy required.</w:t>
      </w:r>
    </w:p>
    <w:p w:rsidR="00817ABD" w:rsidRPr="00487DFD" w:rsidRDefault="00817ABD" w:rsidP="00487DFD">
      <w:pPr>
        <w:spacing w:line="360" w:lineRule="auto"/>
        <w:ind w:left="1134" w:hanging="1134"/>
        <w:jc w:val="both"/>
        <w:rPr>
          <w:rFonts w:asciiTheme="majorHAnsi" w:hAnsiTheme="majorHAnsi"/>
        </w:rPr>
      </w:pPr>
    </w:p>
    <w:p w:rsidR="00817ABD" w:rsidRPr="00487DFD" w:rsidRDefault="00817ABD" w:rsidP="00487DFD">
      <w:pPr>
        <w:spacing w:line="360" w:lineRule="auto"/>
        <w:jc w:val="both"/>
        <w:rPr>
          <w:rFonts w:asciiTheme="majorHAnsi" w:hAnsiTheme="majorHAnsi"/>
          <w:u w:color="000000"/>
        </w:rPr>
      </w:pPr>
      <w:r w:rsidRPr="00487DFD">
        <w:rPr>
          <w:rFonts w:asciiTheme="majorHAnsi" w:hAnsiTheme="majorHAnsi"/>
          <w:u w:color="000000"/>
        </w:rPr>
        <w:t>There is a distinction between the severity and the seriousness of an adverse event. Severity is a measurement of intensity; thus, a severe reaction is not necessarily a serious adverse event (SAE). For example, a headache may be severe in intensity, but would not be serious unless it met one of the criteria for serious adverse events listed previously.</w:t>
      </w:r>
    </w:p>
    <w:p w:rsidR="00817ABD" w:rsidRPr="00487DFD" w:rsidRDefault="00817ABD" w:rsidP="00487DFD">
      <w:pPr>
        <w:pStyle w:val="Heading2"/>
        <w:keepLines/>
        <w:spacing w:line="360" w:lineRule="auto"/>
        <w:ind w:left="578" w:hanging="578"/>
        <w:rPr>
          <w:rFonts w:asciiTheme="majorHAnsi" w:hAnsiTheme="majorHAnsi"/>
          <w:sz w:val="24"/>
          <w:szCs w:val="24"/>
        </w:rPr>
      </w:pPr>
      <w:bookmarkStart w:id="125" w:name="_Toc224986923"/>
      <w:bookmarkStart w:id="126" w:name="_Toc290040079"/>
      <w:bookmarkStart w:id="127" w:name="_Toc324107897"/>
      <w:r w:rsidRPr="00487DFD">
        <w:rPr>
          <w:rFonts w:asciiTheme="majorHAnsi" w:hAnsiTheme="majorHAnsi"/>
          <w:sz w:val="24"/>
          <w:szCs w:val="24"/>
        </w:rPr>
        <w:t>Expectedness</w:t>
      </w:r>
      <w:bookmarkEnd w:id="125"/>
      <w:bookmarkEnd w:id="126"/>
      <w:bookmarkEnd w:id="127"/>
    </w:p>
    <w:p w:rsidR="00817ABD" w:rsidRPr="00487DFD" w:rsidRDefault="00817ABD" w:rsidP="00487D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heme="majorHAnsi" w:hAnsiTheme="majorHAnsi"/>
          <w:lang w:bidi="x-none"/>
        </w:rPr>
      </w:pPr>
      <w:r w:rsidRPr="00487DFD">
        <w:rPr>
          <w:rFonts w:asciiTheme="majorHAnsi" w:hAnsiTheme="majorHAnsi"/>
          <w:lang w:bidi="x-none"/>
        </w:rPr>
        <w:t xml:space="preserve">All AEs related to the device or associated procedure will be </w:t>
      </w:r>
      <w:r w:rsidR="00AB2754" w:rsidRPr="00487DFD">
        <w:rPr>
          <w:rFonts w:asciiTheme="majorHAnsi" w:hAnsiTheme="majorHAnsi"/>
          <w:lang w:bidi="x-none"/>
        </w:rPr>
        <w:t xml:space="preserve">evaluated as </w:t>
      </w:r>
      <w:r w:rsidRPr="00487DFD">
        <w:rPr>
          <w:rFonts w:asciiTheme="majorHAnsi" w:hAnsiTheme="majorHAnsi"/>
          <w:lang w:bidi="x-none"/>
        </w:rPr>
        <w:t xml:space="preserve">unexpected to occur. </w:t>
      </w:r>
    </w:p>
    <w:p w:rsidR="00817ABD" w:rsidRPr="00487DFD" w:rsidRDefault="00817ABD" w:rsidP="00487DFD">
      <w:pPr>
        <w:pStyle w:val="Bullet1"/>
        <w:spacing w:line="360" w:lineRule="auto"/>
        <w:jc w:val="both"/>
        <w:rPr>
          <w:rFonts w:asciiTheme="majorHAnsi" w:hAnsiTheme="majorHAnsi"/>
          <w:sz w:val="24"/>
          <w:szCs w:val="24"/>
        </w:rPr>
      </w:pPr>
      <w:r w:rsidRPr="00487DFD">
        <w:rPr>
          <w:rFonts w:asciiTheme="majorHAnsi" w:hAnsiTheme="majorHAnsi"/>
          <w:b/>
          <w:sz w:val="24"/>
          <w:szCs w:val="24"/>
        </w:rPr>
        <w:t>Unexpected (unanticipated):</w:t>
      </w:r>
      <w:r w:rsidRPr="00487DFD">
        <w:rPr>
          <w:rFonts w:asciiTheme="majorHAnsi" w:hAnsiTheme="majorHAnsi"/>
          <w:sz w:val="24"/>
          <w:szCs w:val="24"/>
        </w:rPr>
        <w:t xml:space="preserve"> An adverse event is unexpected when the specificity or severity of an adverse event is not consistent with the applicable product information (i.e., Investigator’s Brochure or risk information described in the investigational plan/protocol and </w:t>
      </w:r>
      <w:r w:rsidRPr="00487DFD">
        <w:rPr>
          <w:rFonts w:asciiTheme="majorHAnsi" w:hAnsiTheme="majorHAnsi"/>
          <w:sz w:val="24"/>
          <w:szCs w:val="24"/>
        </w:rPr>
        <w:lastRenderedPageBreak/>
        <w:t>informed consent). Unexpected as defined here refers to an adverse event that has not been observed before.</w:t>
      </w:r>
    </w:p>
    <w:p w:rsidR="00817ABD" w:rsidRPr="00487DFD" w:rsidRDefault="00817ABD" w:rsidP="00487DFD">
      <w:pPr>
        <w:pStyle w:val="Heading2"/>
        <w:keepLines/>
        <w:spacing w:line="360" w:lineRule="auto"/>
        <w:ind w:left="578" w:hanging="578"/>
        <w:rPr>
          <w:rFonts w:asciiTheme="majorHAnsi" w:hAnsiTheme="majorHAnsi"/>
          <w:sz w:val="24"/>
          <w:szCs w:val="24"/>
        </w:rPr>
      </w:pPr>
      <w:bookmarkStart w:id="128" w:name="_Toc224986924"/>
      <w:bookmarkStart w:id="129" w:name="_Toc290040080"/>
      <w:bookmarkStart w:id="130" w:name="_Toc324107898"/>
      <w:r w:rsidRPr="00487DFD">
        <w:rPr>
          <w:rFonts w:asciiTheme="majorHAnsi" w:hAnsiTheme="majorHAnsi"/>
          <w:sz w:val="24"/>
          <w:szCs w:val="24"/>
        </w:rPr>
        <w:t>Relationship</w:t>
      </w:r>
      <w:bookmarkEnd w:id="128"/>
      <w:bookmarkEnd w:id="129"/>
      <w:bookmarkEnd w:id="130"/>
      <w:r w:rsidRPr="00487DFD">
        <w:rPr>
          <w:rFonts w:asciiTheme="majorHAnsi" w:hAnsiTheme="majorHAnsi"/>
          <w:sz w:val="24"/>
          <w:szCs w:val="24"/>
        </w:rPr>
        <w:t xml:space="preserve"> </w:t>
      </w:r>
    </w:p>
    <w:p w:rsidR="00817ABD" w:rsidRPr="00487DFD" w:rsidRDefault="00817ABD" w:rsidP="00487D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heme="majorHAnsi" w:hAnsiTheme="majorHAnsi"/>
          <w:lang w:bidi="x-none"/>
        </w:rPr>
      </w:pPr>
      <w:r w:rsidRPr="00487DFD">
        <w:rPr>
          <w:rFonts w:asciiTheme="majorHAnsi" w:hAnsiTheme="majorHAnsi"/>
          <w:lang w:bidi="x-none"/>
        </w:rPr>
        <w:t xml:space="preserve">The Principal Investigator (PI) will evaluate if the AE is related to the </w:t>
      </w:r>
      <w:r w:rsidRPr="00487DFD">
        <w:rPr>
          <w:rFonts w:asciiTheme="majorHAnsi" w:hAnsiTheme="majorHAnsi"/>
        </w:rPr>
        <w:t>study</w:t>
      </w:r>
      <w:r w:rsidRPr="00487DFD" w:rsidDel="00614866">
        <w:rPr>
          <w:rFonts w:asciiTheme="majorHAnsi" w:hAnsiTheme="majorHAnsi"/>
          <w:lang w:bidi="x-none"/>
        </w:rPr>
        <w:t xml:space="preserve"> </w:t>
      </w:r>
      <w:r w:rsidRPr="00487DFD">
        <w:rPr>
          <w:rFonts w:asciiTheme="majorHAnsi" w:hAnsiTheme="majorHAnsi"/>
          <w:lang w:bidi="x-none"/>
        </w:rPr>
        <w:t xml:space="preserve">device. Relationship is defined in the following manner: </w:t>
      </w:r>
    </w:p>
    <w:p w:rsidR="00817ABD" w:rsidRPr="00487DFD" w:rsidRDefault="00817ABD" w:rsidP="00487D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heme="majorHAnsi" w:hAnsiTheme="majorHAnsi"/>
          <w:lang w:bidi="x-none"/>
        </w:rPr>
      </w:pPr>
      <w:r w:rsidRPr="00487DFD">
        <w:rPr>
          <w:rFonts w:asciiTheme="majorHAnsi" w:hAnsiTheme="majorHAnsi"/>
          <w:lang w:bidi="x-none"/>
        </w:rPr>
        <w:t xml:space="preserve"> </w:t>
      </w:r>
    </w:p>
    <w:p w:rsidR="00817ABD" w:rsidRPr="00487DFD" w:rsidRDefault="00817ABD" w:rsidP="00487D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heme="majorHAnsi" w:hAnsiTheme="majorHAnsi"/>
          <w:lang w:bidi="x-none"/>
        </w:rPr>
      </w:pPr>
      <w:r w:rsidRPr="00487DFD">
        <w:rPr>
          <w:rFonts w:asciiTheme="majorHAnsi" w:hAnsiTheme="majorHAnsi"/>
          <w:b/>
          <w:lang w:bidi="x-none"/>
        </w:rPr>
        <w:t>Not related:</w:t>
      </w:r>
      <w:r w:rsidRPr="00487DFD">
        <w:rPr>
          <w:rFonts w:asciiTheme="majorHAnsi" w:hAnsiTheme="majorHAnsi"/>
          <w:lang w:bidi="x-none"/>
        </w:rPr>
        <w:t xml:space="preserve"> Evidence indicates no plausible direct relationship to the study device, such that:</w:t>
      </w:r>
    </w:p>
    <w:p w:rsidR="00817ABD" w:rsidRPr="00487DFD" w:rsidRDefault="00817ABD" w:rsidP="00487DFD">
      <w:pPr>
        <w:pStyle w:val="Bullet1"/>
        <w:spacing w:line="360" w:lineRule="auto"/>
        <w:jc w:val="both"/>
        <w:rPr>
          <w:rFonts w:asciiTheme="majorHAnsi" w:hAnsiTheme="majorHAnsi"/>
          <w:spacing w:val="-2"/>
          <w:sz w:val="24"/>
          <w:szCs w:val="24"/>
          <w:u w:color="000000"/>
        </w:rPr>
      </w:pPr>
      <w:r w:rsidRPr="00487DFD">
        <w:rPr>
          <w:rFonts w:asciiTheme="majorHAnsi" w:hAnsiTheme="majorHAnsi"/>
          <w:sz w:val="24"/>
          <w:szCs w:val="24"/>
          <w:u w:color="000000"/>
        </w:rPr>
        <w:t xml:space="preserve">A clinically plausible temporal sequence is inconsistent with the onset </w:t>
      </w:r>
      <w:r w:rsidRPr="00487DFD">
        <w:rPr>
          <w:rFonts w:asciiTheme="majorHAnsi" w:hAnsiTheme="majorHAnsi"/>
          <w:spacing w:val="-2"/>
          <w:sz w:val="24"/>
          <w:szCs w:val="24"/>
          <w:u w:color="000000"/>
        </w:rPr>
        <w:t>of the AE and device administration; and/or</w:t>
      </w:r>
    </w:p>
    <w:p w:rsidR="00817ABD" w:rsidRPr="00487DFD" w:rsidRDefault="00817ABD" w:rsidP="00487DFD">
      <w:pPr>
        <w:pStyle w:val="Bullet1"/>
        <w:spacing w:line="360" w:lineRule="auto"/>
        <w:jc w:val="both"/>
        <w:rPr>
          <w:rFonts w:asciiTheme="majorHAnsi" w:hAnsiTheme="majorHAnsi"/>
          <w:sz w:val="24"/>
          <w:szCs w:val="24"/>
          <w:u w:color="000000"/>
        </w:rPr>
      </w:pPr>
      <w:r w:rsidRPr="00487DFD">
        <w:rPr>
          <w:rFonts w:asciiTheme="majorHAnsi" w:hAnsiTheme="majorHAnsi"/>
          <w:sz w:val="24"/>
          <w:szCs w:val="24"/>
          <w:u w:color="000000"/>
        </w:rPr>
        <w:t xml:space="preserve">A causal relationship is considered biologically implausible. </w:t>
      </w:r>
    </w:p>
    <w:p w:rsidR="00817ABD" w:rsidRPr="00487DFD" w:rsidRDefault="00817ABD" w:rsidP="00487DFD">
      <w:pPr>
        <w:pStyle w:val="Bullet1"/>
        <w:spacing w:line="360" w:lineRule="auto"/>
        <w:jc w:val="both"/>
        <w:rPr>
          <w:rFonts w:asciiTheme="majorHAnsi" w:hAnsiTheme="majorHAnsi"/>
          <w:sz w:val="24"/>
          <w:szCs w:val="24"/>
          <w:u w:color="000000"/>
        </w:rPr>
      </w:pPr>
      <w:r w:rsidRPr="00487DFD">
        <w:rPr>
          <w:rFonts w:asciiTheme="majorHAnsi" w:hAnsiTheme="majorHAnsi"/>
          <w:sz w:val="24"/>
          <w:szCs w:val="24"/>
          <w:u w:color="000000"/>
        </w:rPr>
        <w:t xml:space="preserve">The AE can be attributed to </w:t>
      </w:r>
      <w:r w:rsidRPr="00487DFD">
        <w:rPr>
          <w:rFonts w:asciiTheme="majorHAnsi" w:hAnsiTheme="majorHAnsi"/>
          <w:spacing w:val="-5"/>
          <w:sz w:val="24"/>
          <w:szCs w:val="24"/>
          <w:u w:color="000000"/>
        </w:rPr>
        <w:t xml:space="preserve">concurrent/underlying illness, </w:t>
      </w:r>
      <w:r w:rsidRPr="00487DFD">
        <w:rPr>
          <w:rFonts w:asciiTheme="majorHAnsi" w:hAnsiTheme="majorHAnsi"/>
          <w:sz w:val="24"/>
          <w:szCs w:val="24"/>
          <w:u w:color="000000"/>
        </w:rPr>
        <w:t>other drugs, or procedures.</w:t>
      </w:r>
    </w:p>
    <w:p w:rsidR="00817ABD" w:rsidRPr="00487DFD" w:rsidRDefault="00817ABD" w:rsidP="00487D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heme="majorHAnsi" w:hAnsiTheme="majorHAnsi"/>
          <w:lang w:bidi="x-none"/>
        </w:rPr>
      </w:pPr>
      <w:r w:rsidRPr="00487DFD">
        <w:rPr>
          <w:rFonts w:asciiTheme="majorHAnsi" w:hAnsiTheme="majorHAnsi"/>
          <w:lang w:bidi="x-none"/>
        </w:rPr>
        <w:t xml:space="preserve"> </w:t>
      </w:r>
    </w:p>
    <w:p w:rsidR="00817ABD" w:rsidRPr="00487DFD" w:rsidRDefault="00817ABD" w:rsidP="00487DFD">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heme="majorHAnsi" w:hAnsiTheme="majorHAnsi"/>
          <w:b/>
          <w:i/>
          <w:lang w:bidi="x-none"/>
        </w:rPr>
      </w:pPr>
      <w:r w:rsidRPr="00487DFD">
        <w:rPr>
          <w:rFonts w:asciiTheme="majorHAnsi" w:hAnsiTheme="majorHAnsi"/>
          <w:b/>
          <w:lang w:bidi="x-none"/>
        </w:rPr>
        <w:t>Related:</w:t>
      </w:r>
      <w:r w:rsidRPr="00487DFD">
        <w:rPr>
          <w:rFonts w:asciiTheme="majorHAnsi" w:hAnsiTheme="majorHAnsi"/>
          <w:b/>
          <w:i/>
          <w:lang w:bidi="x-none"/>
        </w:rPr>
        <w:t xml:space="preserve"> </w:t>
      </w:r>
      <w:r w:rsidRPr="00487DFD">
        <w:rPr>
          <w:rFonts w:asciiTheme="majorHAnsi" w:hAnsiTheme="majorHAnsi"/>
          <w:lang w:bidi="x-none"/>
        </w:rPr>
        <w:t>Evidence indicates a reasonable temporal sequence of the event with the study device administration exists, or that the association of the event with study device administration is unknown and the event is not reasonably supported by other conditions, such that:</w:t>
      </w:r>
    </w:p>
    <w:p w:rsidR="00817ABD" w:rsidRPr="00487DFD" w:rsidRDefault="00817ABD" w:rsidP="00487DFD">
      <w:pPr>
        <w:pStyle w:val="Bullet1"/>
        <w:spacing w:line="360" w:lineRule="auto"/>
        <w:jc w:val="both"/>
        <w:rPr>
          <w:rFonts w:asciiTheme="majorHAnsi" w:hAnsiTheme="majorHAnsi"/>
          <w:bCs/>
          <w:spacing w:val="-3"/>
          <w:sz w:val="24"/>
          <w:szCs w:val="24"/>
          <w:u w:color="000000"/>
        </w:rPr>
      </w:pPr>
      <w:r w:rsidRPr="00487DFD">
        <w:rPr>
          <w:rFonts w:asciiTheme="majorHAnsi" w:hAnsiTheme="majorHAnsi"/>
          <w:bCs/>
          <w:sz w:val="24"/>
          <w:szCs w:val="24"/>
          <w:u w:color="000000"/>
        </w:rPr>
        <w:t xml:space="preserve">There is a clinically plausible time sequence between onset of the AE </w:t>
      </w:r>
      <w:r w:rsidRPr="00487DFD">
        <w:rPr>
          <w:rFonts w:asciiTheme="majorHAnsi" w:hAnsiTheme="majorHAnsi"/>
          <w:bCs/>
          <w:spacing w:val="-3"/>
          <w:sz w:val="24"/>
          <w:szCs w:val="24"/>
          <w:u w:color="000000"/>
        </w:rPr>
        <w:t>and study treatment administration; and/or</w:t>
      </w:r>
    </w:p>
    <w:p w:rsidR="00817ABD" w:rsidRPr="00487DFD" w:rsidRDefault="00817ABD" w:rsidP="00487DFD">
      <w:pPr>
        <w:pStyle w:val="Bullet1"/>
        <w:spacing w:line="360" w:lineRule="auto"/>
        <w:jc w:val="both"/>
        <w:rPr>
          <w:rFonts w:asciiTheme="majorHAnsi" w:hAnsiTheme="majorHAnsi"/>
          <w:bCs/>
          <w:sz w:val="24"/>
          <w:szCs w:val="24"/>
          <w:u w:color="000000"/>
        </w:rPr>
      </w:pPr>
      <w:r w:rsidRPr="00487DFD">
        <w:rPr>
          <w:rFonts w:asciiTheme="majorHAnsi" w:hAnsiTheme="majorHAnsi"/>
          <w:bCs/>
          <w:spacing w:val="-5"/>
          <w:sz w:val="24"/>
          <w:szCs w:val="24"/>
          <w:u w:color="000000"/>
        </w:rPr>
        <w:t xml:space="preserve">There is a biologically plausible mechanism for study treatment causing or </w:t>
      </w:r>
      <w:r w:rsidRPr="00487DFD">
        <w:rPr>
          <w:rFonts w:asciiTheme="majorHAnsi" w:hAnsiTheme="majorHAnsi"/>
          <w:bCs/>
          <w:sz w:val="24"/>
          <w:szCs w:val="24"/>
          <w:u w:color="000000"/>
        </w:rPr>
        <w:t>contributing to the AE; and</w:t>
      </w:r>
    </w:p>
    <w:p w:rsidR="00817ABD" w:rsidRPr="00487DFD" w:rsidRDefault="00817ABD" w:rsidP="00487DFD">
      <w:pPr>
        <w:pStyle w:val="Bullet1"/>
        <w:spacing w:line="360" w:lineRule="auto"/>
        <w:jc w:val="both"/>
        <w:rPr>
          <w:rFonts w:asciiTheme="majorHAnsi" w:hAnsiTheme="majorHAnsi"/>
          <w:bCs/>
          <w:sz w:val="24"/>
          <w:szCs w:val="24"/>
          <w:u w:color="000000"/>
        </w:rPr>
      </w:pPr>
      <w:r w:rsidRPr="00487DFD">
        <w:rPr>
          <w:rFonts w:asciiTheme="majorHAnsi" w:hAnsiTheme="majorHAnsi"/>
          <w:bCs/>
          <w:spacing w:val="-5"/>
          <w:sz w:val="24"/>
          <w:szCs w:val="24"/>
          <w:u w:color="000000"/>
        </w:rPr>
        <w:t xml:space="preserve">The AE cannot be reasonably attributed to concurrent/underlying illness, </w:t>
      </w:r>
      <w:r w:rsidRPr="00487DFD">
        <w:rPr>
          <w:rFonts w:asciiTheme="majorHAnsi" w:hAnsiTheme="majorHAnsi"/>
          <w:bCs/>
          <w:sz w:val="24"/>
          <w:szCs w:val="24"/>
          <w:u w:color="000000"/>
        </w:rPr>
        <w:t>other drugs, or procedures.</w:t>
      </w:r>
    </w:p>
    <w:p w:rsidR="00817ABD" w:rsidRPr="00487DFD" w:rsidRDefault="00817ABD" w:rsidP="00487DFD">
      <w:pPr>
        <w:pStyle w:val="Heading2"/>
        <w:keepLines/>
        <w:spacing w:line="360" w:lineRule="auto"/>
        <w:ind w:left="578" w:hanging="578"/>
        <w:rPr>
          <w:rFonts w:asciiTheme="majorHAnsi" w:hAnsiTheme="majorHAnsi"/>
          <w:sz w:val="24"/>
          <w:szCs w:val="24"/>
        </w:rPr>
      </w:pPr>
      <w:r w:rsidRPr="00487DFD">
        <w:rPr>
          <w:rFonts w:asciiTheme="majorHAnsi" w:hAnsiTheme="majorHAnsi"/>
          <w:sz w:val="24"/>
          <w:szCs w:val="24"/>
          <w:lang w:bidi="x-none"/>
        </w:rPr>
        <w:t xml:space="preserve"> </w:t>
      </w:r>
      <w:bookmarkStart w:id="131" w:name="_Toc224986925"/>
      <w:bookmarkStart w:id="132" w:name="_Toc290040081"/>
      <w:bookmarkStart w:id="133" w:name="_Toc324107899"/>
      <w:r w:rsidRPr="00487DFD">
        <w:rPr>
          <w:rFonts w:asciiTheme="majorHAnsi" w:hAnsiTheme="majorHAnsi"/>
          <w:sz w:val="24"/>
          <w:szCs w:val="24"/>
        </w:rPr>
        <w:t>Outcome</w:t>
      </w:r>
      <w:bookmarkEnd w:id="131"/>
      <w:bookmarkEnd w:id="132"/>
      <w:bookmarkEnd w:id="133"/>
    </w:p>
    <w:p w:rsidR="00817ABD" w:rsidRPr="00487DFD" w:rsidRDefault="00817ABD" w:rsidP="00487DFD">
      <w:pPr>
        <w:pStyle w:val="Default"/>
        <w:spacing w:line="360" w:lineRule="auto"/>
        <w:rPr>
          <w:rFonts w:asciiTheme="majorHAnsi" w:hAnsiTheme="majorHAnsi"/>
          <w:color w:val="auto"/>
          <w:szCs w:val="24"/>
        </w:rPr>
      </w:pPr>
      <w:r w:rsidRPr="00487DFD">
        <w:rPr>
          <w:rFonts w:asciiTheme="majorHAnsi" w:hAnsiTheme="majorHAnsi"/>
          <w:color w:val="auto"/>
          <w:szCs w:val="24"/>
        </w:rPr>
        <w:t xml:space="preserve">The clinical outcome of an AE will be characterized as follows: </w:t>
      </w:r>
    </w:p>
    <w:p w:rsidR="00817ABD" w:rsidRPr="00487DFD" w:rsidRDefault="00817ABD" w:rsidP="00487DFD">
      <w:pPr>
        <w:widowControl w:val="0"/>
        <w:numPr>
          <w:ilvl w:val="0"/>
          <w:numId w:val="21"/>
        </w:numPr>
        <w:tabs>
          <w:tab w:val="clear" w:pos="780"/>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360"/>
        <w:jc w:val="both"/>
        <w:rPr>
          <w:rFonts w:asciiTheme="majorHAnsi" w:hAnsiTheme="majorHAnsi"/>
          <w:u w:color="000000"/>
        </w:rPr>
      </w:pPr>
      <w:r w:rsidRPr="00487DFD">
        <w:rPr>
          <w:rFonts w:asciiTheme="majorHAnsi" w:hAnsiTheme="majorHAnsi"/>
          <w:u w:color="000000"/>
        </w:rPr>
        <w:t xml:space="preserve">Resolved without sequelae </w:t>
      </w:r>
    </w:p>
    <w:p w:rsidR="00817ABD" w:rsidRPr="00487DFD" w:rsidRDefault="00817ABD" w:rsidP="00487DFD">
      <w:pPr>
        <w:pStyle w:val="Bullet1"/>
        <w:spacing w:line="360" w:lineRule="auto"/>
        <w:jc w:val="both"/>
        <w:rPr>
          <w:rFonts w:asciiTheme="majorHAnsi" w:hAnsiTheme="majorHAnsi"/>
          <w:sz w:val="24"/>
          <w:szCs w:val="24"/>
          <w:u w:color="000000"/>
        </w:rPr>
      </w:pPr>
      <w:r w:rsidRPr="00487DFD">
        <w:rPr>
          <w:rFonts w:asciiTheme="majorHAnsi" w:hAnsiTheme="majorHAnsi"/>
          <w:sz w:val="24"/>
          <w:szCs w:val="24"/>
          <w:u w:color="000000"/>
        </w:rPr>
        <w:t xml:space="preserve">Resolved with sequelae </w:t>
      </w:r>
    </w:p>
    <w:p w:rsidR="00817ABD" w:rsidRPr="00487DFD" w:rsidRDefault="00817ABD" w:rsidP="00487DFD">
      <w:pPr>
        <w:pStyle w:val="Bullet1"/>
        <w:spacing w:line="360" w:lineRule="auto"/>
        <w:jc w:val="both"/>
        <w:rPr>
          <w:rFonts w:asciiTheme="majorHAnsi" w:hAnsiTheme="majorHAnsi"/>
          <w:sz w:val="24"/>
          <w:szCs w:val="24"/>
          <w:u w:color="000000"/>
        </w:rPr>
      </w:pPr>
      <w:r w:rsidRPr="00487DFD">
        <w:rPr>
          <w:rFonts w:asciiTheme="majorHAnsi" w:hAnsiTheme="majorHAnsi"/>
          <w:sz w:val="24"/>
          <w:szCs w:val="24"/>
          <w:u w:color="000000"/>
        </w:rPr>
        <w:t>Ongoing (i.e. continuing at time of study discontinuation)</w:t>
      </w:r>
    </w:p>
    <w:p w:rsidR="00817ABD" w:rsidRPr="00487DFD" w:rsidRDefault="00817ABD" w:rsidP="00487DFD">
      <w:pPr>
        <w:pStyle w:val="Bullet1"/>
        <w:spacing w:line="360" w:lineRule="auto"/>
        <w:jc w:val="both"/>
        <w:rPr>
          <w:rFonts w:asciiTheme="majorHAnsi" w:hAnsiTheme="majorHAnsi"/>
          <w:sz w:val="24"/>
          <w:szCs w:val="24"/>
          <w:u w:color="000000"/>
        </w:rPr>
      </w:pPr>
      <w:r w:rsidRPr="00487DFD">
        <w:rPr>
          <w:rFonts w:asciiTheme="majorHAnsi" w:hAnsiTheme="majorHAnsi"/>
          <w:sz w:val="24"/>
          <w:szCs w:val="24"/>
          <w:u w:color="000000"/>
        </w:rPr>
        <w:t xml:space="preserve">Death </w:t>
      </w:r>
    </w:p>
    <w:p w:rsidR="00817ABD" w:rsidRPr="00487DFD" w:rsidRDefault="00817ABD" w:rsidP="00487DFD">
      <w:pPr>
        <w:pStyle w:val="Heading2"/>
        <w:keepLines/>
        <w:spacing w:line="360" w:lineRule="auto"/>
        <w:ind w:left="578" w:hanging="578"/>
        <w:rPr>
          <w:rFonts w:asciiTheme="majorHAnsi" w:hAnsiTheme="majorHAnsi"/>
          <w:sz w:val="24"/>
          <w:szCs w:val="24"/>
        </w:rPr>
      </w:pPr>
      <w:bookmarkStart w:id="134" w:name="_Toc224986926"/>
      <w:bookmarkStart w:id="135" w:name="_Toc290040082"/>
      <w:bookmarkStart w:id="136" w:name="_Toc324107900"/>
      <w:r w:rsidRPr="00487DFD">
        <w:rPr>
          <w:rFonts w:asciiTheme="majorHAnsi" w:hAnsiTheme="majorHAnsi"/>
          <w:sz w:val="24"/>
          <w:szCs w:val="24"/>
        </w:rPr>
        <w:t>Treatment or Action Taken</w:t>
      </w:r>
      <w:bookmarkEnd w:id="134"/>
      <w:bookmarkEnd w:id="135"/>
      <w:bookmarkEnd w:id="136"/>
    </w:p>
    <w:p w:rsidR="00817ABD" w:rsidRPr="00487DFD" w:rsidRDefault="00817ABD" w:rsidP="00487DFD">
      <w:pPr>
        <w:pStyle w:val="Bullet1"/>
        <w:spacing w:line="360" w:lineRule="auto"/>
        <w:jc w:val="both"/>
        <w:rPr>
          <w:rFonts w:asciiTheme="majorHAnsi" w:hAnsiTheme="majorHAnsi"/>
          <w:sz w:val="24"/>
          <w:szCs w:val="24"/>
        </w:rPr>
      </w:pPr>
      <w:r w:rsidRPr="00487DFD">
        <w:rPr>
          <w:rFonts w:asciiTheme="majorHAnsi" w:hAnsiTheme="majorHAnsi"/>
          <w:sz w:val="24"/>
          <w:szCs w:val="24"/>
        </w:rPr>
        <w:t xml:space="preserve">None </w:t>
      </w:r>
    </w:p>
    <w:p w:rsidR="00817ABD" w:rsidRPr="00487DFD" w:rsidRDefault="00817ABD" w:rsidP="00487DFD">
      <w:pPr>
        <w:pStyle w:val="Bullet1"/>
        <w:spacing w:line="360" w:lineRule="auto"/>
        <w:jc w:val="both"/>
        <w:rPr>
          <w:rFonts w:asciiTheme="majorHAnsi" w:hAnsiTheme="majorHAnsi"/>
          <w:sz w:val="24"/>
          <w:szCs w:val="24"/>
        </w:rPr>
      </w:pPr>
      <w:r w:rsidRPr="00487DFD">
        <w:rPr>
          <w:rFonts w:asciiTheme="majorHAnsi" w:hAnsiTheme="majorHAnsi"/>
          <w:sz w:val="24"/>
          <w:szCs w:val="24"/>
        </w:rPr>
        <w:t xml:space="preserve">Surgical Intervention </w:t>
      </w:r>
    </w:p>
    <w:p w:rsidR="00817ABD" w:rsidRPr="00487DFD" w:rsidRDefault="00817ABD" w:rsidP="00487DFD">
      <w:pPr>
        <w:pStyle w:val="Bullet1"/>
        <w:spacing w:line="360" w:lineRule="auto"/>
        <w:jc w:val="both"/>
        <w:rPr>
          <w:rFonts w:asciiTheme="majorHAnsi" w:hAnsiTheme="majorHAnsi"/>
          <w:sz w:val="24"/>
          <w:szCs w:val="24"/>
        </w:rPr>
      </w:pPr>
      <w:r w:rsidRPr="00487DFD">
        <w:rPr>
          <w:rFonts w:asciiTheme="majorHAnsi" w:hAnsiTheme="majorHAnsi"/>
          <w:sz w:val="24"/>
          <w:szCs w:val="24"/>
        </w:rPr>
        <w:lastRenderedPageBreak/>
        <w:t xml:space="preserve">Medical Intervention </w:t>
      </w:r>
    </w:p>
    <w:p w:rsidR="00817ABD" w:rsidRPr="00487DFD" w:rsidRDefault="00817ABD" w:rsidP="00487DFD">
      <w:pPr>
        <w:pStyle w:val="Bullet1"/>
        <w:spacing w:line="360" w:lineRule="auto"/>
        <w:jc w:val="both"/>
        <w:rPr>
          <w:rFonts w:asciiTheme="majorHAnsi" w:hAnsiTheme="majorHAnsi"/>
          <w:sz w:val="24"/>
          <w:szCs w:val="24"/>
        </w:rPr>
      </w:pPr>
      <w:r w:rsidRPr="00487DFD">
        <w:rPr>
          <w:rFonts w:asciiTheme="majorHAnsi" w:hAnsiTheme="majorHAnsi"/>
          <w:sz w:val="24"/>
          <w:szCs w:val="24"/>
        </w:rPr>
        <w:t>Other</w:t>
      </w:r>
    </w:p>
    <w:p w:rsidR="00817ABD" w:rsidRPr="00487DFD" w:rsidRDefault="00817ABD" w:rsidP="00487DFD">
      <w:pPr>
        <w:pStyle w:val="Heading2"/>
        <w:keepLines/>
        <w:spacing w:line="360" w:lineRule="auto"/>
        <w:ind w:left="578" w:hanging="578"/>
        <w:rPr>
          <w:rFonts w:asciiTheme="majorHAnsi" w:hAnsiTheme="majorHAnsi"/>
          <w:sz w:val="24"/>
          <w:szCs w:val="24"/>
        </w:rPr>
      </w:pPr>
      <w:bookmarkStart w:id="137" w:name="_Toc224986927"/>
      <w:bookmarkStart w:id="138" w:name="_Toc290040083"/>
      <w:bookmarkStart w:id="139" w:name="_Toc324107901"/>
      <w:r w:rsidRPr="00487DFD">
        <w:rPr>
          <w:rFonts w:asciiTheme="majorHAnsi" w:hAnsiTheme="majorHAnsi"/>
          <w:sz w:val="24"/>
          <w:szCs w:val="24"/>
        </w:rPr>
        <w:t>Additional AE Definitions</w:t>
      </w:r>
      <w:bookmarkEnd w:id="137"/>
      <w:bookmarkEnd w:id="138"/>
      <w:bookmarkEnd w:id="139"/>
    </w:p>
    <w:p w:rsidR="00817ABD" w:rsidRPr="00487DFD" w:rsidRDefault="00817ABD" w:rsidP="00487DFD">
      <w:pPr>
        <w:pStyle w:val="Heading3"/>
        <w:spacing w:line="360" w:lineRule="auto"/>
        <w:ind w:left="840"/>
        <w:rPr>
          <w:rFonts w:asciiTheme="majorHAnsi" w:hAnsiTheme="majorHAnsi"/>
        </w:rPr>
      </w:pPr>
      <w:bookmarkStart w:id="140" w:name="_Toc224986929"/>
      <w:bookmarkStart w:id="141" w:name="_Toc290040085"/>
      <w:bookmarkStart w:id="142" w:name="_Toc324107903"/>
      <w:r w:rsidRPr="00487DFD">
        <w:rPr>
          <w:rFonts w:asciiTheme="majorHAnsi" w:hAnsiTheme="majorHAnsi"/>
        </w:rPr>
        <w:t>Definitions of Visual loss</w:t>
      </w:r>
      <w:bookmarkEnd w:id="140"/>
      <w:bookmarkEnd w:id="141"/>
      <w:bookmarkEnd w:id="142"/>
    </w:p>
    <w:p w:rsidR="00817ABD" w:rsidRPr="00487DFD" w:rsidRDefault="00817ABD" w:rsidP="00487DFD">
      <w:pPr>
        <w:pStyle w:val="Bullet1"/>
        <w:spacing w:line="360" w:lineRule="auto"/>
        <w:jc w:val="both"/>
        <w:rPr>
          <w:rFonts w:asciiTheme="majorHAnsi" w:hAnsiTheme="majorHAnsi"/>
          <w:sz w:val="24"/>
          <w:szCs w:val="24"/>
          <w:u w:color="000000"/>
        </w:rPr>
      </w:pPr>
      <w:r w:rsidRPr="00487DFD">
        <w:rPr>
          <w:rFonts w:asciiTheme="majorHAnsi" w:hAnsiTheme="majorHAnsi"/>
          <w:b/>
          <w:i/>
          <w:sz w:val="24"/>
          <w:szCs w:val="24"/>
          <w:u w:color="000000"/>
        </w:rPr>
        <w:t>Moderate visual loss</w:t>
      </w:r>
      <w:r w:rsidRPr="00487DFD">
        <w:rPr>
          <w:rFonts w:asciiTheme="majorHAnsi" w:hAnsiTheme="majorHAnsi"/>
          <w:sz w:val="24"/>
          <w:szCs w:val="24"/>
          <w:u w:color="000000"/>
        </w:rPr>
        <w:t xml:space="preserve"> will be defined as a decrease of ≥3 lines (≥15 letters) from baseline for at least 1 hour.</w:t>
      </w:r>
    </w:p>
    <w:p w:rsidR="00817ABD" w:rsidRPr="00487DFD" w:rsidRDefault="00817ABD" w:rsidP="00487DFD">
      <w:pPr>
        <w:pStyle w:val="Bullet1"/>
        <w:spacing w:line="360" w:lineRule="auto"/>
        <w:jc w:val="both"/>
        <w:rPr>
          <w:rFonts w:asciiTheme="majorHAnsi" w:hAnsiTheme="majorHAnsi"/>
          <w:sz w:val="24"/>
          <w:szCs w:val="24"/>
          <w:u w:color="000000"/>
        </w:rPr>
      </w:pPr>
      <w:r w:rsidRPr="00487DFD">
        <w:rPr>
          <w:rFonts w:asciiTheme="majorHAnsi" w:hAnsiTheme="majorHAnsi"/>
          <w:b/>
          <w:i/>
          <w:sz w:val="24"/>
          <w:szCs w:val="24"/>
          <w:u w:color="000000"/>
        </w:rPr>
        <w:t>Significant visual loss</w:t>
      </w:r>
      <w:r w:rsidRPr="00487DFD">
        <w:rPr>
          <w:rFonts w:asciiTheme="majorHAnsi" w:hAnsiTheme="majorHAnsi"/>
          <w:sz w:val="24"/>
          <w:szCs w:val="24"/>
          <w:u w:color="000000"/>
        </w:rPr>
        <w:t xml:space="preserve"> will be defined as a decrease of ≥6 lines (≥30 letters) from baseline for at least 1 hour. </w:t>
      </w:r>
    </w:p>
    <w:p w:rsidR="00817ABD" w:rsidRPr="00487DFD" w:rsidRDefault="00817ABD" w:rsidP="00487DFD">
      <w:pPr>
        <w:pStyle w:val="Heading3"/>
        <w:numPr>
          <w:ilvl w:val="0"/>
          <w:numId w:val="0"/>
        </w:numPr>
        <w:spacing w:line="360" w:lineRule="auto"/>
        <w:rPr>
          <w:rFonts w:asciiTheme="majorHAnsi" w:hAnsiTheme="majorHAnsi"/>
          <w:lang w:val="en-US"/>
        </w:rPr>
      </w:pPr>
    </w:p>
    <w:p w:rsidR="00817ABD" w:rsidRPr="00487DFD" w:rsidRDefault="00817ABD" w:rsidP="00487DFD">
      <w:pPr>
        <w:pStyle w:val="Heading1"/>
        <w:spacing w:line="360" w:lineRule="auto"/>
        <w:rPr>
          <w:rFonts w:asciiTheme="majorHAnsi" w:hAnsiTheme="majorHAnsi"/>
          <w:sz w:val="24"/>
          <w:szCs w:val="24"/>
        </w:rPr>
      </w:pPr>
      <w:bookmarkStart w:id="143" w:name="_Toc324107922"/>
      <w:r w:rsidRPr="00487DFD">
        <w:rPr>
          <w:rFonts w:asciiTheme="majorHAnsi" w:hAnsiTheme="majorHAnsi"/>
          <w:sz w:val="24"/>
          <w:szCs w:val="24"/>
        </w:rPr>
        <w:t>STUDY DISCONTINUATION</w:t>
      </w:r>
      <w:bookmarkEnd w:id="95"/>
      <w:bookmarkEnd w:id="143"/>
    </w:p>
    <w:bookmarkEnd w:id="96"/>
    <w:p w:rsidR="00817ABD" w:rsidRPr="00487DFD" w:rsidRDefault="00AB2754" w:rsidP="00487DFD">
      <w:pPr>
        <w:spacing w:line="360" w:lineRule="auto"/>
        <w:jc w:val="both"/>
        <w:rPr>
          <w:rFonts w:asciiTheme="majorHAnsi" w:hAnsiTheme="majorHAnsi"/>
        </w:rPr>
      </w:pPr>
      <w:r w:rsidRPr="00487DFD">
        <w:rPr>
          <w:rFonts w:asciiTheme="majorHAnsi" w:hAnsiTheme="majorHAnsi"/>
        </w:rPr>
        <w:t xml:space="preserve">The Investigator </w:t>
      </w:r>
      <w:r w:rsidR="00817ABD" w:rsidRPr="00487DFD">
        <w:rPr>
          <w:rFonts w:asciiTheme="majorHAnsi" w:hAnsiTheme="majorHAnsi"/>
        </w:rPr>
        <w:t xml:space="preserve">has the right to terminate this study at any time. Reasons for terminating the study may include, but are not limited to, the following: </w:t>
      </w:r>
    </w:p>
    <w:p w:rsidR="00817ABD" w:rsidRPr="00487DFD" w:rsidRDefault="00817ABD" w:rsidP="00487DFD">
      <w:pPr>
        <w:numPr>
          <w:ilvl w:val="0"/>
          <w:numId w:val="18"/>
        </w:numPr>
        <w:tabs>
          <w:tab w:val="clear" w:pos="1080"/>
          <w:tab w:val="num" w:pos="360"/>
        </w:tabs>
        <w:spacing w:line="360" w:lineRule="auto"/>
        <w:ind w:left="360"/>
        <w:jc w:val="both"/>
        <w:rPr>
          <w:rFonts w:asciiTheme="majorHAnsi" w:hAnsiTheme="majorHAnsi"/>
        </w:rPr>
      </w:pPr>
      <w:r w:rsidRPr="00487DFD">
        <w:rPr>
          <w:rFonts w:asciiTheme="majorHAnsi" w:hAnsiTheme="majorHAnsi"/>
        </w:rPr>
        <w:t xml:space="preserve">The incidence or severity of adverse events in this or other studies indicates a potential health hazard to subjects. </w:t>
      </w:r>
    </w:p>
    <w:p w:rsidR="00817ABD" w:rsidRPr="00487DFD" w:rsidRDefault="00817ABD" w:rsidP="00487DFD">
      <w:pPr>
        <w:numPr>
          <w:ilvl w:val="0"/>
          <w:numId w:val="18"/>
        </w:numPr>
        <w:tabs>
          <w:tab w:val="clear" w:pos="1080"/>
          <w:tab w:val="num" w:pos="360"/>
        </w:tabs>
        <w:spacing w:line="360" w:lineRule="auto"/>
        <w:ind w:left="360"/>
        <w:jc w:val="both"/>
        <w:rPr>
          <w:rFonts w:asciiTheme="majorHAnsi" w:hAnsiTheme="majorHAnsi"/>
        </w:rPr>
      </w:pPr>
      <w:r w:rsidRPr="00487DFD">
        <w:rPr>
          <w:rFonts w:asciiTheme="majorHAnsi" w:hAnsiTheme="majorHAnsi"/>
        </w:rPr>
        <w:t xml:space="preserve">Subject enrollment is unsatisfactory. </w:t>
      </w:r>
    </w:p>
    <w:p w:rsidR="00817ABD" w:rsidRPr="00487DFD" w:rsidRDefault="00817ABD" w:rsidP="00487DFD">
      <w:pPr>
        <w:numPr>
          <w:ilvl w:val="0"/>
          <w:numId w:val="18"/>
        </w:numPr>
        <w:tabs>
          <w:tab w:val="clear" w:pos="1080"/>
          <w:tab w:val="num" w:pos="360"/>
        </w:tabs>
        <w:spacing w:line="360" w:lineRule="auto"/>
        <w:ind w:left="360"/>
        <w:jc w:val="both"/>
        <w:rPr>
          <w:rFonts w:asciiTheme="majorHAnsi" w:hAnsiTheme="majorHAnsi"/>
        </w:rPr>
      </w:pPr>
      <w:r w:rsidRPr="00487DFD">
        <w:rPr>
          <w:rFonts w:asciiTheme="majorHAnsi" w:hAnsiTheme="majorHAnsi"/>
        </w:rPr>
        <w:t>Data recording is inaccurate or incomplete.</w:t>
      </w:r>
    </w:p>
    <w:p w:rsidR="00F338BE" w:rsidRPr="00487DFD" w:rsidRDefault="00F338BE" w:rsidP="00487DFD">
      <w:pPr>
        <w:spacing w:line="360" w:lineRule="auto"/>
        <w:jc w:val="both"/>
        <w:rPr>
          <w:rFonts w:asciiTheme="majorHAnsi" w:hAnsiTheme="majorHAnsi"/>
        </w:rPr>
      </w:pPr>
    </w:p>
    <w:p w:rsidR="00817ABD" w:rsidRPr="00697EFC" w:rsidRDefault="00817ABD" w:rsidP="00487DFD">
      <w:pPr>
        <w:pStyle w:val="Heading1"/>
        <w:spacing w:line="360" w:lineRule="auto"/>
        <w:rPr>
          <w:rFonts w:asciiTheme="majorHAnsi" w:hAnsiTheme="majorHAnsi"/>
          <w:sz w:val="24"/>
          <w:szCs w:val="24"/>
        </w:rPr>
      </w:pPr>
      <w:bookmarkStart w:id="144" w:name="_Toc292563962"/>
      <w:bookmarkStart w:id="145" w:name="_Toc324107923"/>
      <w:bookmarkStart w:id="146" w:name="_Ref56613478"/>
      <w:bookmarkStart w:id="147" w:name="_Ref56614800"/>
      <w:bookmarkStart w:id="148" w:name="_Toc194168498"/>
      <w:bookmarkStart w:id="149" w:name="_Toc215292828"/>
      <w:r w:rsidRPr="00697EFC">
        <w:rPr>
          <w:rFonts w:asciiTheme="majorHAnsi" w:hAnsiTheme="majorHAnsi"/>
          <w:sz w:val="24"/>
          <w:szCs w:val="24"/>
        </w:rPr>
        <w:t>STATISTICS</w:t>
      </w:r>
      <w:bookmarkEnd w:id="144"/>
      <w:bookmarkEnd w:id="145"/>
      <w:r w:rsidR="00697EFC" w:rsidRPr="00697EFC">
        <w:rPr>
          <w:rFonts w:asciiTheme="majorHAnsi" w:hAnsiTheme="majorHAnsi"/>
          <w:sz w:val="24"/>
          <w:szCs w:val="24"/>
        </w:rPr>
        <w:t xml:space="preserve"> </w:t>
      </w:r>
    </w:p>
    <w:p w:rsidR="00817ABD" w:rsidRPr="00697EFC" w:rsidRDefault="00817ABD" w:rsidP="00487DFD">
      <w:pPr>
        <w:pStyle w:val="Heading2"/>
        <w:tabs>
          <w:tab w:val="num" w:pos="0"/>
          <w:tab w:val="left" w:pos="600"/>
        </w:tabs>
        <w:spacing w:before="360" w:after="240" w:line="360" w:lineRule="auto"/>
        <w:ind w:left="936"/>
        <w:jc w:val="left"/>
        <w:rPr>
          <w:rFonts w:asciiTheme="majorHAnsi" w:hAnsiTheme="majorHAnsi"/>
          <w:sz w:val="24"/>
          <w:szCs w:val="24"/>
        </w:rPr>
      </w:pPr>
      <w:bookmarkStart w:id="150" w:name="_Toc232177722"/>
      <w:bookmarkStart w:id="151" w:name="_Toc269803225"/>
      <w:bookmarkStart w:id="152" w:name="_Toc292563963"/>
      <w:r w:rsidRPr="00697EFC">
        <w:rPr>
          <w:rFonts w:asciiTheme="majorHAnsi" w:hAnsiTheme="majorHAnsi"/>
          <w:sz w:val="24"/>
          <w:szCs w:val="24"/>
        </w:rPr>
        <w:t xml:space="preserve"> </w:t>
      </w:r>
      <w:bookmarkStart w:id="153" w:name="_Toc324107924"/>
      <w:r w:rsidRPr="00697EFC">
        <w:rPr>
          <w:rFonts w:asciiTheme="majorHAnsi" w:hAnsiTheme="majorHAnsi"/>
          <w:sz w:val="24"/>
          <w:szCs w:val="24"/>
        </w:rPr>
        <w:t xml:space="preserve">Efficacy Endpoints </w:t>
      </w:r>
      <w:bookmarkEnd w:id="150"/>
      <w:bookmarkEnd w:id="151"/>
      <w:bookmarkEnd w:id="152"/>
      <w:bookmarkEnd w:id="153"/>
    </w:p>
    <w:p w:rsidR="008126E2" w:rsidRPr="00697EFC" w:rsidRDefault="00817ABD" w:rsidP="00487DFD">
      <w:pPr>
        <w:spacing w:line="360" w:lineRule="auto"/>
        <w:jc w:val="both"/>
        <w:rPr>
          <w:rFonts w:asciiTheme="majorHAnsi" w:hAnsiTheme="majorHAnsi"/>
          <w:lang w:val="en-GB" w:eastAsia="it-IT"/>
        </w:rPr>
      </w:pPr>
      <w:r w:rsidRPr="00697EFC">
        <w:rPr>
          <w:rFonts w:asciiTheme="majorHAnsi" w:hAnsiTheme="majorHAnsi"/>
        </w:rPr>
        <w:t>The primary efficacy outcome of this trial is</w:t>
      </w:r>
      <w:r w:rsidR="008126E2" w:rsidRPr="00697EFC">
        <w:rPr>
          <w:rFonts w:asciiTheme="majorHAnsi" w:hAnsiTheme="majorHAnsi"/>
        </w:rPr>
        <w:t xml:space="preserve"> the change in retinal sensitivity on customized </w:t>
      </w:r>
      <w:r w:rsidR="008126E2" w:rsidRPr="00697EFC">
        <w:rPr>
          <w:rFonts w:asciiTheme="majorHAnsi" w:hAnsiTheme="majorHAnsi"/>
          <w:lang w:val="en-GB" w:eastAsia="it-IT"/>
        </w:rPr>
        <w:t>microperimetry.</w:t>
      </w:r>
    </w:p>
    <w:p w:rsidR="008126E2" w:rsidRPr="00697EFC" w:rsidRDefault="008126E2" w:rsidP="00487DFD">
      <w:pPr>
        <w:spacing w:line="360" w:lineRule="auto"/>
        <w:jc w:val="both"/>
        <w:rPr>
          <w:rFonts w:asciiTheme="majorHAnsi" w:hAnsiTheme="majorHAnsi"/>
        </w:rPr>
      </w:pPr>
    </w:p>
    <w:p w:rsidR="008126E2" w:rsidRPr="00697EFC" w:rsidRDefault="008126E2" w:rsidP="00487DFD">
      <w:pPr>
        <w:autoSpaceDE w:val="0"/>
        <w:autoSpaceDN w:val="0"/>
        <w:adjustRightInd w:val="0"/>
        <w:spacing w:line="360" w:lineRule="auto"/>
        <w:rPr>
          <w:rFonts w:asciiTheme="majorHAnsi" w:hAnsiTheme="majorHAnsi"/>
          <w:b/>
          <w:bCs/>
          <w:lang w:val="en-GB" w:eastAsia="it-IT"/>
        </w:rPr>
      </w:pPr>
      <w:r w:rsidRPr="00697EFC">
        <w:rPr>
          <w:rFonts w:asciiTheme="majorHAnsi" w:hAnsiTheme="majorHAnsi"/>
          <w:b/>
          <w:bCs/>
          <w:lang w:val="en-GB" w:eastAsia="it-IT"/>
        </w:rPr>
        <w:t xml:space="preserve">Other </w:t>
      </w:r>
      <w:r w:rsidRPr="00697EFC">
        <w:rPr>
          <w:rFonts w:asciiTheme="majorHAnsi" w:hAnsiTheme="majorHAnsi"/>
          <w:b/>
        </w:rPr>
        <w:t>additional secondary outcomes</w:t>
      </w:r>
      <w:r w:rsidR="00697EFC">
        <w:rPr>
          <w:rFonts w:asciiTheme="majorHAnsi" w:hAnsiTheme="majorHAnsi"/>
          <w:b/>
        </w:rPr>
        <w:t xml:space="preserve"> will include the following at 12 weeks</w:t>
      </w:r>
      <w:r w:rsidRPr="00697EFC">
        <w:rPr>
          <w:rFonts w:asciiTheme="majorHAnsi" w:hAnsiTheme="majorHAnsi"/>
          <w:b/>
          <w:bCs/>
          <w:lang w:val="en-GB" w:eastAsia="it-IT"/>
        </w:rPr>
        <w:t>:</w:t>
      </w:r>
    </w:p>
    <w:p w:rsidR="008126E2" w:rsidRPr="00697EFC" w:rsidRDefault="008126E2" w:rsidP="00487DFD">
      <w:pPr>
        <w:autoSpaceDE w:val="0"/>
        <w:autoSpaceDN w:val="0"/>
        <w:adjustRightInd w:val="0"/>
        <w:spacing w:line="360" w:lineRule="auto"/>
        <w:rPr>
          <w:rFonts w:asciiTheme="majorHAnsi" w:hAnsiTheme="majorHAnsi"/>
          <w:lang w:val="en-GB" w:eastAsia="it-IT"/>
        </w:rPr>
      </w:pPr>
      <w:r w:rsidRPr="00697EFC">
        <w:rPr>
          <w:rFonts w:asciiTheme="majorHAnsi" w:hAnsiTheme="majorHAnsi"/>
          <w:lang w:val="en-GB" w:eastAsia="it-IT"/>
        </w:rPr>
        <w:t>Change in mean VA</w:t>
      </w:r>
    </w:p>
    <w:p w:rsidR="00590FAA" w:rsidRDefault="00590FAA" w:rsidP="00487DFD">
      <w:pPr>
        <w:autoSpaceDE w:val="0"/>
        <w:autoSpaceDN w:val="0"/>
        <w:adjustRightInd w:val="0"/>
        <w:spacing w:line="360" w:lineRule="auto"/>
        <w:rPr>
          <w:rFonts w:asciiTheme="majorHAnsi" w:hAnsiTheme="majorHAnsi"/>
          <w:lang w:val="en-GB" w:eastAsia="it-IT"/>
        </w:rPr>
      </w:pPr>
      <w:r>
        <w:rPr>
          <w:rFonts w:asciiTheme="majorHAnsi" w:hAnsiTheme="majorHAnsi"/>
          <w:lang w:val="en-GB" w:eastAsia="it-IT"/>
        </w:rPr>
        <w:t>Change in OCT features in the treated area</w:t>
      </w:r>
    </w:p>
    <w:p w:rsidR="008126E2" w:rsidRPr="00697EFC" w:rsidRDefault="008126E2" w:rsidP="00487DFD">
      <w:pPr>
        <w:autoSpaceDE w:val="0"/>
        <w:autoSpaceDN w:val="0"/>
        <w:adjustRightInd w:val="0"/>
        <w:spacing w:line="360" w:lineRule="auto"/>
        <w:rPr>
          <w:rFonts w:asciiTheme="majorHAnsi" w:hAnsiTheme="majorHAnsi"/>
          <w:lang w:val="en-GB" w:eastAsia="it-IT"/>
        </w:rPr>
      </w:pPr>
      <w:r w:rsidRPr="00697EFC">
        <w:rPr>
          <w:rFonts w:asciiTheme="majorHAnsi" w:hAnsiTheme="majorHAnsi"/>
          <w:lang w:val="en-GB" w:eastAsia="it-IT"/>
        </w:rPr>
        <w:t>Change in total hypofluorescence in the treated area</w:t>
      </w:r>
    </w:p>
    <w:p w:rsidR="008126E2" w:rsidRPr="00487DFD" w:rsidRDefault="008126E2" w:rsidP="00487DFD">
      <w:pPr>
        <w:spacing w:line="360" w:lineRule="auto"/>
        <w:jc w:val="both"/>
        <w:rPr>
          <w:rFonts w:asciiTheme="majorHAnsi" w:hAnsiTheme="majorHAnsi"/>
          <w:highlight w:val="green"/>
          <w:lang w:eastAsia="it-IT"/>
        </w:rPr>
      </w:pPr>
    </w:p>
    <w:p w:rsidR="00817ABD" w:rsidRPr="00017C5C" w:rsidRDefault="00817ABD" w:rsidP="00642E20">
      <w:pPr>
        <w:pStyle w:val="Heading2"/>
        <w:tabs>
          <w:tab w:val="num" w:pos="0"/>
          <w:tab w:val="left" w:pos="600"/>
        </w:tabs>
        <w:spacing w:before="360" w:after="240" w:line="360" w:lineRule="auto"/>
        <w:ind w:left="936"/>
        <w:jc w:val="left"/>
        <w:rPr>
          <w:rFonts w:asciiTheme="majorHAnsi" w:hAnsiTheme="majorHAnsi" w:cstheme="majorHAnsi"/>
          <w:sz w:val="24"/>
          <w:szCs w:val="24"/>
        </w:rPr>
      </w:pPr>
      <w:bookmarkStart w:id="154" w:name="_Toc215292802"/>
      <w:bookmarkStart w:id="155" w:name="_Toc232177726"/>
      <w:bookmarkStart w:id="156" w:name="_Toc269803228"/>
      <w:bookmarkStart w:id="157" w:name="_Toc292563966"/>
      <w:r w:rsidRPr="00017C5C">
        <w:rPr>
          <w:rFonts w:asciiTheme="majorHAnsi" w:hAnsiTheme="majorHAnsi" w:cstheme="majorHAnsi"/>
          <w:sz w:val="24"/>
          <w:szCs w:val="24"/>
        </w:rPr>
        <w:lastRenderedPageBreak/>
        <w:t xml:space="preserve"> </w:t>
      </w:r>
      <w:bookmarkStart w:id="158" w:name="_Toc324107925"/>
      <w:r w:rsidRPr="00017C5C">
        <w:rPr>
          <w:rFonts w:asciiTheme="majorHAnsi" w:hAnsiTheme="majorHAnsi" w:cstheme="majorHAnsi"/>
          <w:sz w:val="24"/>
          <w:szCs w:val="24"/>
        </w:rPr>
        <w:t>Statistical Methodology</w:t>
      </w:r>
      <w:bookmarkEnd w:id="154"/>
      <w:bookmarkEnd w:id="155"/>
      <w:bookmarkEnd w:id="156"/>
      <w:bookmarkEnd w:id="157"/>
      <w:bookmarkEnd w:id="158"/>
      <w:r w:rsidR="00845B9F" w:rsidRPr="00017C5C">
        <w:rPr>
          <w:rFonts w:asciiTheme="majorHAnsi" w:hAnsiTheme="majorHAnsi" w:cstheme="majorHAnsi"/>
          <w:sz w:val="24"/>
          <w:szCs w:val="24"/>
        </w:rPr>
        <w:t xml:space="preserve"> and Sample Size</w:t>
      </w:r>
    </w:p>
    <w:p w:rsidR="00590FAA" w:rsidRPr="00590FAA" w:rsidRDefault="00590FAA" w:rsidP="00590FAA">
      <w:pPr>
        <w:spacing w:line="360" w:lineRule="auto"/>
        <w:rPr>
          <w:rFonts w:asciiTheme="majorHAnsi" w:hAnsiTheme="majorHAnsi" w:cstheme="majorHAnsi"/>
        </w:rPr>
      </w:pPr>
      <w:r w:rsidRPr="00590FAA">
        <w:rPr>
          <w:rFonts w:asciiTheme="majorHAnsi" w:hAnsiTheme="majorHAnsi" w:cstheme="majorHAnsi"/>
        </w:rPr>
        <w:t>A sample size of 16 eyes has a greater than 80% power to identify a variation of 1.5 decibels in macular sensitivity between pre and post laser treatment assessments, with an estimated standard deviation of the change outcome of 2.0 and an alpha error of 0.05. Allowing an additional 20% of the estimated sample size in order to counter possible withdrawn patients, we estimated that 20 eyes would be required in our series.</w:t>
      </w:r>
    </w:p>
    <w:p w:rsidR="007E5456" w:rsidRPr="00AF352D" w:rsidRDefault="007E5456" w:rsidP="00642E20">
      <w:pPr>
        <w:spacing w:line="360" w:lineRule="auto"/>
        <w:rPr>
          <w:rFonts w:asciiTheme="majorHAnsi" w:hAnsiTheme="majorHAnsi" w:cstheme="majorHAnsi"/>
        </w:rPr>
      </w:pPr>
      <w:r>
        <w:rPr>
          <w:rFonts w:asciiTheme="majorHAnsi" w:hAnsiTheme="majorHAnsi" w:cstheme="majorHAnsi"/>
        </w:rPr>
        <w:t xml:space="preserve">Statistical analysis on retinal sensitivity before and after treatment will be carried out within group of pathology.    </w:t>
      </w:r>
    </w:p>
    <w:p w:rsidR="00817ABD" w:rsidRPr="007E5456" w:rsidRDefault="00017C5C" w:rsidP="00642E20">
      <w:pPr>
        <w:autoSpaceDE w:val="0"/>
        <w:autoSpaceDN w:val="0"/>
        <w:adjustRightInd w:val="0"/>
        <w:spacing w:line="360" w:lineRule="auto"/>
        <w:jc w:val="both"/>
        <w:rPr>
          <w:rFonts w:asciiTheme="majorHAnsi" w:hAnsiTheme="majorHAnsi" w:cstheme="majorHAnsi"/>
          <w:color w:val="000000"/>
        </w:rPr>
      </w:pPr>
      <w:r w:rsidRPr="007E5456">
        <w:rPr>
          <w:rFonts w:asciiTheme="majorHAnsi" w:hAnsiTheme="majorHAnsi" w:cstheme="majorHAnsi"/>
          <w:bCs/>
          <w:color w:val="000000"/>
        </w:rPr>
        <w:t>The Repeated Measures Analysis of Variance</w:t>
      </w:r>
      <w:r w:rsidRPr="007E5456">
        <w:rPr>
          <w:rFonts w:asciiTheme="majorHAnsi" w:hAnsiTheme="majorHAnsi" w:cstheme="majorHAnsi"/>
          <w:color w:val="000000"/>
        </w:rPr>
        <w:t xml:space="preserve"> will be carried out to verify the effect of treatment</w:t>
      </w:r>
      <w:r w:rsidR="00DC4742" w:rsidRPr="007E5456">
        <w:rPr>
          <w:rFonts w:asciiTheme="majorHAnsi" w:hAnsiTheme="majorHAnsi" w:cstheme="majorHAnsi"/>
          <w:color w:val="000000"/>
        </w:rPr>
        <w:t>.</w:t>
      </w:r>
      <w:r w:rsidRPr="007E5456">
        <w:rPr>
          <w:rFonts w:asciiTheme="majorHAnsi" w:hAnsiTheme="majorHAnsi" w:cstheme="majorHAnsi"/>
          <w:color w:val="000000"/>
        </w:rPr>
        <w:t xml:space="preserve"> </w:t>
      </w:r>
    </w:p>
    <w:p w:rsidR="00017C5C" w:rsidRPr="007E5456" w:rsidRDefault="00017C5C" w:rsidP="00642E20">
      <w:pPr>
        <w:autoSpaceDE w:val="0"/>
        <w:autoSpaceDN w:val="0"/>
        <w:adjustRightInd w:val="0"/>
        <w:spacing w:line="360" w:lineRule="auto"/>
        <w:jc w:val="both"/>
        <w:rPr>
          <w:rFonts w:asciiTheme="majorHAnsi" w:hAnsiTheme="majorHAnsi" w:cstheme="majorHAnsi"/>
          <w:color w:val="000000"/>
          <w:highlight w:val="green"/>
        </w:rPr>
      </w:pPr>
    </w:p>
    <w:p w:rsidR="00817ABD" w:rsidRPr="00697EFC" w:rsidRDefault="00817ABD" w:rsidP="00487DFD">
      <w:pPr>
        <w:pStyle w:val="Heading2"/>
        <w:tabs>
          <w:tab w:val="num" w:pos="0"/>
          <w:tab w:val="left" w:pos="600"/>
        </w:tabs>
        <w:spacing w:before="360" w:after="240" w:line="360" w:lineRule="auto"/>
        <w:ind w:left="936"/>
        <w:jc w:val="left"/>
        <w:rPr>
          <w:rFonts w:asciiTheme="majorHAnsi" w:hAnsiTheme="majorHAnsi"/>
          <w:sz w:val="24"/>
          <w:szCs w:val="24"/>
        </w:rPr>
      </w:pPr>
      <w:bookmarkStart w:id="159" w:name="_Toc269803230"/>
      <w:bookmarkStart w:id="160" w:name="_Toc292563970"/>
      <w:bookmarkStart w:id="161" w:name="_Toc324107926"/>
      <w:r w:rsidRPr="00697EFC">
        <w:rPr>
          <w:rFonts w:asciiTheme="majorHAnsi" w:hAnsiTheme="majorHAnsi"/>
          <w:sz w:val="24"/>
          <w:szCs w:val="24"/>
        </w:rPr>
        <w:t>Safety</w:t>
      </w:r>
      <w:bookmarkEnd w:id="159"/>
      <w:bookmarkEnd w:id="160"/>
      <w:bookmarkEnd w:id="161"/>
    </w:p>
    <w:p w:rsidR="004C5076" w:rsidRDefault="004C5076" w:rsidP="00487DFD">
      <w:pPr>
        <w:spacing w:line="360" w:lineRule="auto"/>
        <w:rPr>
          <w:rFonts w:asciiTheme="majorHAnsi" w:hAnsiTheme="majorHAnsi"/>
        </w:rPr>
      </w:pPr>
      <w:r w:rsidRPr="00697EFC">
        <w:rPr>
          <w:rFonts w:asciiTheme="majorHAnsi" w:hAnsiTheme="majorHAnsi"/>
        </w:rPr>
        <w:t>Descriptive analysis of listed Adverse Events.</w:t>
      </w:r>
    </w:p>
    <w:p w:rsidR="00017C5C" w:rsidRPr="00697EFC" w:rsidRDefault="00017C5C" w:rsidP="00487DFD">
      <w:pPr>
        <w:spacing w:line="360" w:lineRule="auto"/>
        <w:rPr>
          <w:rFonts w:asciiTheme="majorHAnsi" w:hAnsiTheme="majorHAnsi"/>
        </w:rPr>
      </w:pPr>
    </w:p>
    <w:p w:rsidR="00817ABD" w:rsidRPr="00487DFD" w:rsidRDefault="00817ABD" w:rsidP="00487DFD">
      <w:pPr>
        <w:pStyle w:val="Heading1"/>
        <w:spacing w:line="360" w:lineRule="auto"/>
        <w:rPr>
          <w:rFonts w:asciiTheme="majorHAnsi" w:hAnsiTheme="majorHAnsi"/>
          <w:sz w:val="24"/>
          <w:szCs w:val="24"/>
        </w:rPr>
      </w:pPr>
      <w:bookmarkStart w:id="162" w:name="_Toc324107928"/>
      <w:r w:rsidRPr="00487DFD">
        <w:rPr>
          <w:rFonts w:asciiTheme="majorHAnsi" w:hAnsiTheme="majorHAnsi"/>
          <w:sz w:val="24"/>
          <w:szCs w:val="24"/>
        </w:rPr>
        <w:t>PROTOCOL DEVIATIONS / AMENDMENTS</w:t>
      </w:r>
      <w:bookmarkEnd w:id="146"/>
      <w:bookmarkEnd w:id="147"/>
      <w:bookmarkEnd w:id="148"/>
      <w:bookmarkEnd w:id="149"/>
      <w:bookmarkEnd w:id="162"/>
    </w:p>
    <w:p w:rsidR="00817ABD" w:rsidRDefault="00817ABD" w:rsidP="00487DFD">
      <w:pPr>
        <w:spacing w:line="360" w:lineRule="auto"/>
        <w:jc w:val="both"/>
        <w:rPr>
          <w:rFonts w:asciiTheme="majorHAnsi" w:hAnsiTheme="majorHAnsi"/>
        </w:rPr>
      </w:pPr>
      <w:r w:rsidRPr="00487DFD">
        <w:rPr>
          <w:rFonts w:asciiTheme="majorHAnsi" w:hAnsiTheme="majorHAnsi"/>
        </w:rPr>
        <w:t xml:space="preserve">Investigators should make every attempt to not deviate from the protocol. Deviations can ultimately affect the scientific soundness of the protocol, as well as the rights, safety and welfare of the subject. </w:t>
      </w:r>
    </w:p>
    <w:p w:rsidR="00017C5C" w:rsidRPr="00487DFD" w:rsidRDefault="00017C5C" w:rsidP="00487DFD">
      <w:pPr>
        <w:spacing w:line="360" w:lineRule="auto"/>
        <w:jc w:val="both"/>
        <w:rPr>
          <w:rFonts w:asciiTheme="majorHAnsi" w:hAnsiTheme="majorHAnsi"/>
        </w:rPr>
      </w:pPr>
    </w:p>
    <w:p w:rsidR="00817ABD" w:rsidRPr="00487DFD" w:rsidRDefault="00817ABD" w:rsidP="00487DFD">
      <w:pPr>
        <w:pStyle w:val="Heading1"/>
        <w:spacing w:line="360" w:lineRule="auto"/>
        <w:rPr>
          <w:rFonts w:asciiTheme="majorHAnsi" w:hAnsiTheme="majorHAnsi"/>
          <w:sz w:val="24"/>
          <w:szCs w:val="24"/>
        </w:rPr>
      </w:pPr>
      <w:bookmarkStart w:id="163" w:name="_Toc194168499"/>
      <w:bookmarkStart w:id="164" w:name="_Toc215292829"/>
      <w:bookmarkStart w:id="165" w:name="_Toc324107930"/>
      <w:r w:rsidRPr="00487DFD">
        <w:rPr>
          <w:rFonts w:asciiTheme="majorHAnsi" w:hAnsiTheme="majorHAnsi"/>
          <w:sz w:val="24"/>
          <w:szCs w:val="24"/>
        </w:rPr>
        <w:t>ETHICAL PRECEPTS</w:t>
      </w:r>
      <w:bookmarkEnd w:id="163"/>
      <w:bookmarkEnd w:id="164"/>
      <w:bookmarkEnd w:id="165"/>
    </w:p>
    <w:p w:rsidR="00817ABD" w:rsidRPr="00487DFD" w:rsidRDefault="00817ABD" w:rsidP="00487DFD">
      <w:pPr>
        <w:spacing w:line="360" w:lineRule="auto"/>
        <w:jc w:val="both"/>
        <w:rPr>
          <w:rFonts w:asciiTheme="majorHAnsi" w:hAnsiTheme="majorHAnsi"/>
          <w:u w:color="000000"/>
        </w:rPr>
      </w:pPr>
      <w:r w:rsidRPr="00487DFD">
        <w:rPr>
          <w:rFonts w:asciiTheme="majorHAnsi" w:hAnsiTheme="majorHAnsi"/>
          <w:u w:color="000000"/>
        </w:rPr>
        <w:t>The Investigator will ensure that the clinical study is conducted in accordance with good clinical practice and all regulatory and institutional requirements, including those for subject privacy, informed consent, Ethics Committee or Ministry of Health approval and record retention, and with the Declaration of Helsinki (revised October 2008).</w:t>
      </w:r>
    </w:p>
    <w:p w:rsidR="00817ABD" w:rsidRPr="00487DFD" w:rsidRDefault="00817ABD" w:rsidP="00487DFD">
      <w:pPr>
        <w:spacing w:line="360" w:lineRule="auto"/>
        <w:jc w:val="both"/>
        <w:rPr>
          <w:rFonts w:asciiTheme="majorHAnsi" w:hAnsiTheme="majorHAnsi"/>
          <w:u w:color="000000"/>
        </w:rPr>
      </w:pPr>
    </w:p>
    <w:p w:rsidR="00817ABD" w:rsidRPr="00487DFD" w:rsidRDefault="00817ABD" w:rsidP="00487DFD">
      <w:pPr>
        <w:spacing w:line="360" w:lineRule="auto"/>
        <w:jc w:val="both"/>
        <w:rPr>
          <w:rFonts w:asciiTheme="majorHAnsi" w:hAnsiTheme="majorHAnsi"/>
        </w:rPr>
      </w:pPr>
      <w:r w:rsidRPr="00487DFD">
        <w:rPr>
          <w:rFonts w:asciiTheme="majorHAnsi" w:hAnsiTheme="majorHAnsi"/>
          <w:u w:color="000000"/>
        </w:rPr>
        <w:t>The Investigator must observe the requirements of the appropriate regulatory body by obtaining written informed consent. The study informed consent form must be obtained prior to the</w:t>
      </w:r>
      <w:r w:rsidRPr="00487DFD">
        <w:rPr>
          <w:rFonts w:asciiTheme="majorHAnsi" w:hAnsiTheme="majorHAnsi"/>
        </w:rPr>
        <w:t xml:space="preserve"> initiation of any study procedures. The subject (or the subject's legally authorized representative) must be allowed sufficient time to thoroughly read (or have explained), the informed consent form. The Investigator should answer any questions that the subject/representative might have. If </w:t>
      </w:r>
      <w:r w:rsidRPr="00487DFD">
        <w:rPr>
          <w:rFonts w:asciiTheme="majorHAnsi" w:hAnsiTheme="majorHAnsi"/>
        </w:rPr>
        <w:lastRenderedPageBreak/>
        <w:t>the subject agrees to participate in the study, the subject/representative must sign both copies of the informed consent form. The witness and the Investigator must also sign both copies of the informed consent form. One copy of the informed consent form should be given to the subject/representative. If applicable, it will be provided in a certified translation of the local language. The date of the subject’s signature on the informed consent form should be noted in the subject’s medical chart to document that informed consent was obtained prior to initiating any study procedures.</w:t>
      </w:r>
    </w:p>
    <w:p w:rsidR="00817ABD" w:rsidRPr="00487DFD" w:rsidRDefault="00817ABD" w:rsidP="00487DFD">
      <w:pPr>
        <w:spacing w:line="360" w:lineRule="auto"/>
        <w:jc w:val="both"/>
        <w:rPr>
          <w:rFonts w:asciiTheme="majorHAnsi" w:hAnsiTheme="majorHAnsi"/>
        </w:rPr>
      </w:pPr>
    </w:p>
    <w:p w:rsidR="00817ABD" w:rsidRPr="00487DFD" w:rsidRDefault="00817ABD" w:rsidP="00487DFD">
      <w:pPr>
        <w:spacing w:line="360" w:lineRule="auto"/>
        <w:jc w:val="both"/>
        <w:rPr>
          <w:rFonts w:asciiTheme="majorHAnsi" w:hAnsiTheme="majorHAnsi"/>
          <w:u w:color="000000"/>
        </w:rPr>
      </w:pPr>
      <w:r w:rsidRPr="00487DFD">
        <w:rPr>
          <w:rFonts w:asciiTheme="majorHAnsi" w:hAnsiTheme="majorHAnsi"/>
          <w:u w:color="000000"/>
        </w:rPr>
        <w:t>Signed consent forms must remain in each subject’s study file and must be available for verification by study monitors at any time.</w:t>
      </w:r>
    </w:p>
    <w:p w:rsidR="006B44E4" w:rsidRPr="00487DFD" w:rsidRDefault="00817ABD" w:rsidP="00487DFD">
      <w:pPr>
        <w:spacing w:line="360" w:lineRule="auto"/>
        <w:rPr>
          <w:rFonts w:asciiTheme="majorHAnsi" w:hAnsiTheme="majorHAnsi"/>
          <w:u w:color="000000"/>
        </w:rPr>
      </w:pPr>
      <w:r w:rsidRPr="00487DFD">
        <w:rPr>
          <w:rFonts w:asciiTheme="majorHAnsi" w:hAnsiTheme="majorHAnsi"/>
          <w:u w:color="000000"/>
        </w:rPr>
        <w:br w:type="page"/>
      </w:r>
      <w:bookmarkStart w:id="166" w:name="_Toc324107931"/>
    </w:p>
    <w:p w:rsidR="00817ABD" w:rsidRPr="00487DFD" w:rsidRDefault="00817ABD" w:rsidP="00487DFD">
      <w:pPr>
        <w:spacing w:line="360" w:lineRule="auto"/>
        <w:rPr>
          <w:rFonts w:asciiTheme="majorHAnsi" w:hAnsiTheme="majorHAnsi"/>
          <w:b/>
          <w:u w:color="000000"/>
        </w:rPr>
      </w:pPr>
      <w:r w:rsidRPr="00487DFD">
        <w:rPr>
          <w:rFonts w:asciiTheme="majorHAnsi" w:hAnsiTheme="majorHAnsi"/>
          <w:b/>
          <w:u w:color="000000"/>
        </w:rPr>
        <w:lastRenderedPageBreak/>
        <w:t>REFERENCES</w:t>
      </w:r>
      <w:bookmarkEnd w:id="166"/>
    </w:p>
    <w:p w:rsidR="00E14A3A" w:rsidRPr="00487DFD" w:rsidRDefault="00E14A3A" w:rsidP="00487DFD">
      <w:pPr>
        <w:spacing w:line="360" w:lineRule="auto"/>
        <w:rPr>
          <w:rFonts w:asciiTheme="majorHAnsi" w:hAnsiTheme="majorHAnsi"/>
          <w:u w:color="000000"/>
        </w:rPr>
      </w:pPr>
    </w:p>
    <w:p w:rsidR="00E14A3A" w:rsidRPr="00487DFD" w:rsidRDefault="00E14A3A" w:rsidP="00487DFD">
      <w:pPr>
        <w:spacing w:line="360" w:lineRule="auto"/>
        <w:rPr>
          <w:rFonts w:asciiTheme="majorHAnsi" w:hAnsiTheme="majorHAnsi"/>
        </w:rPr>
      </w:pPr>
      <w:r w:rsidRPr="00487DFD">
        <w:rPr>
          <w:rFonts w:asciiTheme="majorHAnsi" w:hAnsiTheme="majorHAnsi"/>
        </w:rPr>
        <w:t>1. Miller J.W. Age-related macular degeneration revisited—Piecing the puzzle: The LXIX edward jackson memorial lecture. Am. J. Ophthalmol. 2013;155</w:t>
      </w:r>
    </w:p>
    <w:p w:rsidR="00771D20" w:rsidRPr="00487DFD" w:rsidRDefault="00771D20" w:rsidP="00487DFD">
      <w:pPr>
        <w:spacing w:line="360" w:lineRule="auto"/>
        <w:rPr>
          <w:rFonts w:asciiTheme="majorHAnsi" w:hAnsiTheme="majorHAnsi"/>
        </w:rPr>
      </w:pPr>
    </w:p>
    <w:p w:rsidR="00771D20" w:rsidRPr="00487DFD" w:rsidRDefault="00E14A3A" w:rsidP="00487DFD">
      <w:pPr>
        <w:spacing w:line="360" w:lineRule="auto"/>
        <w:rPr>
          <w:rFonts w:asciiTheme="majorHAnsi" w:hAnsiTheme="majorHAnsi"/>
        </w:rPr>
      </w:pPr>
      <w:r w:rsidRPr="00487DFD">
        <w:rPr>
          <w:rFonts w:asciiTheme="majorHAnsi" w:hAnsiTheme="majorHAnsi"/>
        </w:rPr>
        <w:t>2. Ferris F.L., III, Fine S.L., Hyman L. Age-related macular degeneration and blindness due to neovascular maculopathy. Arch. Ophthalmol. 1984;102:1640–1642.</w:t>
      </w:r>
    </w:p>
    <w:p w:rsidR="00540595" w:rsidRPr="00487DFD" w:rsidRDefault="00540595" w:rsidP="00487DFD">
      <w:pPr>
        <w:spacing w:line="360" w:lineRule="auto"/>
        <w:rPr>
          <w:rFonts w:asciiTheme="majorHAnsi" w:hAnsiTheme="majorHAnsi"/>
        </w:rPr>
      </w:pPr>
    </w:p>
    <w:p w:rsidR="006B44E4" w:rsidRPr="00487DFD" w:rsidRDefault="00540595" w:rsidP="00487DFD">
      <w:pPr>
        <w:spacing w:line="360" w:lineRule="auto"/>
        <w:rPr>
          <w:rFonts w:asciiTheme="majorHAnsi" w:hAnsiTheme="majorHAnsi"/>
        </w:rPr>
      </w:pPr>
      <w:r w:rsidRPr="00487DFD">
        <w:rPr>
          <w:rFonts w:asciiTheme="majorHAnsi" w:hAnsiTheme="majorHAnsi"/>
        </w:rPr>
        <w:t>3</w:t>
      </w:r>
      <w:r w:rsidR="006B44E4" w:rsidRPr="00487DFD">
        <w:rPr>
          <w:rFonts w:asciiTheme="majorHAnsi" w:hAnsiTheme="majorHAnsi"/>
        </w:rPr>
        <w:t>. Green WR, Enger C. Age-related macular degeneration histopathologic studies. The 1992 Lorenz E. Zimmerman Lecture. Ophthalmology 1993;100:1519–35.</w:t>
      </w:r>
    </w:p>
    <w:p w:rsidR="00771D20" w:rsidRPr="00487DFD" w:rsidRDefault="00771D20" w:rsidP="00487DFD">
      <w:pPr>
        <w:spacing w:line="360" w:lineRule="auto"/>
        <w:rPr>
          <w:rFonts w:asciiTheme="majorHAnsi" w:hAnsiTheme="majorHAnsi"/>
        </w:rPr>
      </w:pPr>
    </w:p>
    <w:p w:rsidR="00771D20" w:rsidRPr="00487DFD" w:rsidRDefault="00540595" w:rsidP="00487DFD">
      <w:pPr>
        <w:spacing w:line="360" w:lineRule="auto"/>
        <w:rPr>
          <w:rFonts w:asciiTheme="majorHAnsi" w:hAnsiTheme="majorHAnsi"/>
        </w:rPr>
      </w:pPr>
      <w:r w:rsidRPr="00487DFD">
        <w:rPr>
          <w:rFonts w:asciiTheme="majorHAnsi" w:hAnsiTheme="majorHAnsi"/>
        </w:rPr>
        <w:t>4</w:t>
      </w:r>
      <w:r w:rsidR="006B44E4" w:rsidRPr="00487DFD">
        <w:rPr>
          <w:rFonts w:asciiTheme="majorHAnsi" w:hAnsiTheme="majorHAnsi"/>
        </w:rPr>
        <w:t>. Zweifel SA, Spaide RF, Curcio</w:t>
      </w:r>
      <w:r w:rsidR="00AA7F41" w:rsidRPr="00487DFD">
        <w:rPr>
          <w:rFonts w:asciiTheme="majorHAnsi" w:hAnsiTheme="majorHAnsi"/>
        </w:rPr>
        <w:t xml:space="preserve"> CA, et al. Reticular pseudo</w:t>
      </w:r>
      <w:r w:rsidR="006B44E4" w:rsidRPr="00487DFD">
        <w:rPr>
          <w:rFonts w:asciiTheme="majorHAnsi" w:hAnsiTheme="majorHAnsi"/>
        </w:rPr>
        <w:t>drusen are subretinal drusenoid deposits. Ophthalmology 2010; 117:303–12.</w:t>
      </w:r>
    </w:p>
    <w:p w:rsidR="00540595" w:rsidRPr="00487DFD" w:rsidRDefault="00540595" w:rsidP="00487DFD">
      <w:pPr>
        <w:spacing w:line="360" w:lineRule="auto"/>
        <w:rPr>
          <w:rFonts w:asciiTheme="majorHAnsi" w:hAnsiTheme="majorHAnsi"/>
        </w:rPr>
      </w:pPr>
    </w:p>
    <w:p w:rsidR="00540595" w:rsidRPr="00487DFD" w:rsidRDefault="00540595" w:rsidP="00487DFD">
      <w:pPr>
        <w:spacing w:line="360" w:lineRule="auto"/>
        <w:rPr>
          <w:rFonts w:asciiTheme="majorHAnsi" w:hAnsiTheme="majorHAnsi"/>
        </w:rPr>
      </w:pPr>
      <w:r w:rsidRPr="00487DFD">
        <w:rPr>
          <w:rFonts w:asciiTheme="majorHAnsi" w:hAnsiTheme="majorHAnsi"/>
        </w:rPr>
        <w:t>5.</w:t>
      </w:r>
      <w:r w:rsidR="00AA7F41" w:rsidRPr="00487DFD">
        <w:rPr>
          <w:rFonts w:asciiTheme="majorHAnsi" w:hAnsiTheme="majorHAnsi"/>
        </w:rPr>
        <w:t xml:space="preserve"> Finger RP et al. Reticular Pseudodrusen and Their Association with Age-Related Macular Degeneration: The Melbourne Collaborative Cohort Study. Ophthalmology. 2015 Dec 8. pii: S0161-6420(15)01216-6.</w:t>
      </w:r>
    </w:p>
    <w:p w:rsidR="00771D20" w:rsidRPr="00487DFD" w:rsidRDefault="00771D20" w:rsidP="00487DFD">
      <w:pPr>
        <w:spacing w:line="360" w:lineRule="auto"/>
        <w:rPr>
          <w:rFonts w:asciiTheme="majorHAnsi" w:hAnsiTheme="majorHAnsi"/>
        </w:rPr>
      </w:pPr>
    </w:p>
    <w:p w:rsidR="00771D20" w:rsidRPr="00487DFD" w:rsidRDefault="00771D20" w:rsidP="00487DFD">
      <w:pPr>
        <w:widowControl w:val="0"/>
        <w:autoSpaceDE w:val="0"/>
        <w:autoSpaceDN w:val="0"/>
        <w:adjustRightInd w:val="0"/>
        <w:spacing w:after="240" w:line="360" w:lineRule="auto"/>
        <w:rPr>
          <w:rFonts w:asciiTheme="majorHAnsi" w:hAnsiTheme="majorHAnsi"/>
        </w:rPr>
      </w:pPr>
      <w:r w:rsidRPr="00487DFD">
        <w:rPr>
          <w:rFonts w:asciiTheme="majorHAnsi" w:hAnsiTheme="majorHAnsi"/>
        </w:rPr>
        <w:t xml:space="preserve">6. Nowak JZ. Age-related macular degeneration (AMD): pathogenesis and therapy. Pharmacol Rep. 2006;58:353-363. </w:t>
      </w:r>
    </w:p>
    <w:p w:rsidR="00771D20" w:rsidRPr="00487DFD" w:rsidRDefault="00771D20" w:rsidP="00487DFD">
      <w:pPr>
        <w:widowControl w:val="0"/>
        <w:autoSpaceDE w:val="0"/>
        <w:autoSpaceDN w:val="0"/>
        <w:adjustRightInd w:val="0"/>
        <w:spacing w:after="240" w:line="360" w:lineRule="auto"/>
        <w:rPr>
          <w:rFonts w:asciiTheme="majorHAnsi" w:hAnsiTheme="majorHAnsi"/>
        </w:rPr>
      </w:pPr>
      <w:r w:rsidRPr="00487DFD">
        <w:rPr>
          <w:rFonts w:asciiTheme="majorHAnsi" w:hAnsiTheme="majorHAnsi"/>
        </w:rPr>
        <w:t xml:space="preserve">7. Sunness JS, Applegate CA, Bressler NM, Hawkins BS. Designing clinical trials for age- related geographic atrophy of the macula. Retina. 2007;27:204-210. </w:t>
      </w:r>
    </w:p>
    <w:p w:rsidR="00771D20" w:rsidRPr="00487DFD" w:rsidRDefault="00771D20" w:rsidP="00487DFD">
      <w:pPr>
        <w:widowControl w:val="0"/>
        <w:autoSpaceDE w:val="0"/>
        <w:autoSpaceDN w:val="0"/>
        <w:adjustRightInd w:val="0"/>
        <w:spacing w:after="240" w:line="360" w:lineRule="auto"/>
        <w:rPr>
          <w:rFonts w:asciiTheme="majorHAnsi" w:hAnsiTheme="majorHAnsi"/>
        </w:rPr>
      </w:pPr>
      <w:r w:rsidRPr="00487DFD">
        <w:rPr>
          <w:rFonts w:asciiTheme="majorHAnsi" w:hAnsiTheme="majorHAnsi"/>
        </w:rPr>
        <w:t xml:space="preserve">8. Sunness JS, Rubin GS, Applegate CA, Bressler NM, Marsh MJ, Hawkins BS, et al. Visual function abnormalities and prognosis in eyes with age-related geographic atrophy of the macula and good visual acuity. Ophthalmol. 1997;104:1677-1691. </w:t>
      </w:r>
    </w:p>
    <w:p w:rsidR="00771D20" w:rsidRPr="00487DFD" w:rsidRDefault="00771D20" w:rsidP="00487DFD">
      <w:pPr>
        <w:widowControl w:val="0"/>
        <w:autoSpaceDE w:val="0"/>
        <w:autoSpaceDN w:val="0"/>
        <w:adjustRightInd w:val="0"/>
        <w:spacing w:after="240" w:line="360" w:lineRule="auto"/>
        <w:rPr>
          <w:rFonts w:asciiTheme="majorHAnsi" w:hAnsiTheme="majorHAnsi"/>
        </w:rPr>
      </w:pPr>
      <w:r w:rsidRPr="00487DFD">
        <w:rPr>
          <w:rFonts w:asciiTheme="majorHAnsi" w:hAnsiTheme="majorHAnsi"/>
        </w:rPr>
        <w:t xml:space="preserve">9. Sunness JS, Rubin GS, Broman A, Applegate CA, Bressler NM, Hawkins BS. Low luminance visual dysfunction as a predictor of subsequent visual acuity loss from geographic atrophy in age related macular degeneration. Ophthalmol. 2008;115(9):1480-1488, 1488.el-2. </w:t>
      </w:r>
    </w:p>
    <w:p w:rsidR="00771D20" w:rsidRPr="00487DFD" w:rsidRDefault="00771D20" w:rsidP="00487DFD">
      <w:pPr>
        <w:spacing w:line="360" w:lineRule="auto"/>
        <w:jc w:val="both"/>
        <w:rPr>
          <w:rFonts w:asciiTheme="majorHAnsi" w:hAnsiTheme="majorHAnsi"/>
        </w:rPr>
      </w:pPr>
      <w:r w:rsidRPr="00487DFD">
        <w:rPr>
          <w:rFonts w:asciiTheme="majorHAnsi" w:hAnsiTheme="majorHAnsi"/>
        </w:rPr>
        <w:lastRenderedPageBreak/>
        <w:t>10. American Academy of Ophthalmology Retina/Vitreous Panel. Preferred Practice Pattern®Guidelines. Age-Related Macular Degeneration. San Francisco, CA: American Academy of Ophthalmology; 2015.</w:t>
      </w:r>
    </w:p>
    <w:p w:rsidR="00771D20" w:rsidRPr="00487DFD" w:rsidRDefault="00771D20" w:rsidP="00487DFD">
      <w:pPr>
        <w:spacing w:line="360" w:lineRule="auto"/>
        <w:jc w:val="both"/>
        <w:rPr>
          <w:rFonts w:asciiTheme="majorHAnsi" w:hAnsiTheme="majorHAnsi"/>
        </w:rPr>
      </w:pPr>
    </w:p>
    <w:p w:rsidR="00771D20" w:rsidRPr="00487DFD" w:rsidRDefault="00771D20" w:rsidP="00487DFD">
      <w:pPr>
        <w:spacing w:line="360" w:lineRule="auto"/>
        <w:jc w:val="both"/>
        <w:rPr>
          <w:rFonts w:asciiTheme="majorHAnsi" w:hAnsiTheme="majorHAnsi"/>
        </w:rPr>
      </w:pPr>
      <w:r w:rsidRPr="00487DFD">
        <w:rPr>
          <w:rFonts w:asciiTheme="majorHAnsi" w:hAnsiTheme="majorHAnsi"/>
        </w:rPr>
        <w:t xml:space="preserve">11. Brown DM, Kaiser PK, Michels M, et al, ANCHOR Study Group. Ranibizumab versus verteporfin for neovascular age-related macular degeneration. N Engl J Med 2006;355:1432-44. </w:t>
      </w:r>
    </w:p>
    <w:p w:rsidR="00771D20" w:rsidRPr="00487DFD" w:rsidRDefault="00771D20" w:rsidP="00487DFD">
      <w:pPr>
        <w:spacing w:line="360" w:lineRule="auto"/>
        <w:jc w:val="both"/>
        <w:rPr>
          <w:rFonts w:asciiTheme="majorHAnsi" w:hAnsiTheme="majorHAnsi"/>
        </w:rPr>
      </w:pPr>
    </w:p>
    <w:p w:rsidR="00771D20" w:rsidRPr="00487DFD" w:rsidRDefault="00771D20" w:rsidP="00487DFD">
      <w:pPr>
        <w:spacing w:line="360" w:lineRule="auto"/>
        <w:jc w:val="both"/>
        <w:rPr>
          <w:rFonts w:asciiTheme="majorHAnsi" w:hAnsiTheme="majorHAnsi"/>
        </w:rPr>
      </w:pPr>
      <w:r w:rsidRPr="00487DFD">
        <w:rPr>
          <w:rFonts w:asciiTheme="majorHAnsi" w:hAnsiTheme="majorHAnsi"/>
        </w:rPr>
        <w:t>12. Rosenfeld PJ, Brown DM, Heier JS, et al, MARINA Study Group. Ranibizumab for neovascular age-related macular degeneration. N Engl J Med 2006;355:1419-31.</w:t>
      </w:r>
    </w:p>
    <w:p w:rsidR="00771D20" w:rsidRPr="00487DFD" w:rsidRDefault="00771D20" w:rsidP="00487DFD">
      <w:pPr>
        <w:spacing w:line="360" w:lineRule="auto"/>
        <w:jc w:val="both"/>
        <w:rPr>
          <w:rFonts w:asciiTheme="majorHAnsi" w:hAnsiTheme="majorHAnsi"/>
        </w:rPr>
      </w:pPr>
    </w:p>
    <w:p w:rsidR="00771D20" w:rsidRPr="00487DFD" w:rsidRDefault="00771D20" w:rsidP="00487DFD">
      <w:pPr>
        <w:spacing w:line="360" w:lineRule="auto"/>
        <w:jc w:val="both"/>
        <w:rPr>
          <w:rFonts w:asciiTheme="majorHAnsi" w:hAnsiTheme="majorHAnsi"/>
        </w:rPr>
      </w:pPr>
      <w:r w:rsidRPr="00487DFD">
        <w:rPr>
          <w:rFonts w:asciiTheme="majorHAnsi" w:hAnsiTheme="majorHAnsi"/>
        </w:rPr>
        <w:t>13. Heier JS, Brown DM, Chong V, et al, VIEW 1 and VIEW 2 Study Groups. Intravitreal aflibercept (VEGF trap-eye) in wet age-related macular degeneration. Ophthalmology 2012;119:2537-48.</w:t>
      </w:r>
    </w:p>
    <w:p w:rsidR="00771D20" w:rsidRPr="00487DFD" w:rsidRDefault="00771D20" w:rsidP="00487DFD">
      <w:pPr>
        <w:spacing w:line="360" w:lineRule="auto"/>
        <w:jc w:val="both"/>
        <w:rPr>
          <w:rFonts w:asciiTheme="majorHAnsi" w:hAnsiTheme="majorHAnsi"/>
        </w:rPr>
      </w:pPr>
    </w:p>
    <w:p w:rsidR="00771D20" w:rsidRPr="00487DFD" w:rsidRDefault="00771D20" w:rsidP="00487DFD">
      <w:pPr>
        <w:spacing w:line="360" w:lineRule="auto"/>
        <w:jc w:val="both"/>
        <w:rPr>
          <w:rFonts w:asciiTheme="majorHAnsi" w:hAnsiTheme="majorHAnsi"/>
        </w:rPr>
      </w:pPr>
      <w:r w:rsidRPr="00487DFD">
        <w:rPr>
          <w:rFonts w:asciiTheme="majorHAnsi" w:hAnsiTheme="majorHAnsi"/>
        </w:rPr>
        <w:t>14. Martin DF, Maguire MG, Ying GS, et al, Comparison of Age-related Macular Degeneration Treatments Trials (CATT) Research Group. Ranibizumab and bevacizumab for neovascular age-related macular degeneration. N Engl J Med 2011;364:1897-908.</w:t>
      </w:r>
    </w:p>
    <w:p w:rsidR="00771D20" w:rsidRPr="00487DFD" w:rsidRDefault="00771D20" w:rsidP="00487DFD">
      <w:pPr>
        <w:spacing w:line="360" w:lineRule="auto"/>
        <w:jc w:val="both"/>
        <w:rPr>
          <w:rFonts w:asciiTheme="majorHAnsi" w:hAnsiTheme="majorHAnsi"/>
        </w:rPr>
      </w:pPr>
    </w:p>
    <w:p w:rsidR="00771D20" w:rsidRPr="00487DFD" w:rsidRDefault="00771D20" w:rsidP="00487DFD">
      <w:pPr>
        <w:spacing w:line="360" w:lineRule="auto"/>
        <w:jc w:val="both"/>
        <w:rPr>
          <w:rFonts w:asciiTheme="majorHAnsi" w:hAnsiTheme="majorHAnsi"/>
        </w:rPr>
      </w:pPr>
      <w:r w:rsidRPr="00487DFD">
        <w:rPr>
          <w:rFonts w:asciiTheme="majorHAnsi" w:hAnsiTheme="majorHAnsi"/>
        </w:rPr>
        <w:t>15. Luttrull JK, et al, Laser resensitization of medically unresponsive neovascular agerelated macular degeneration. Retina 2015; 35:1184–1194.</w:t>
      </w:r>
    </w:p>
    <w:p w:rsidR="00771D20" w:rsidRPr="00487DFD" w:rsidRDefault="00771D20" w:rsidP="00487DFD">
      <w:pPr>
        <w:spacing w:line="360" w:lineRule="auto"/>
        <w:jc w:val="both"/>
        <w:rPr>
          <w:rFonts w:asciiTheme="majorHAnsi" w:hAnsiTheme="majorHAnsi"/>
        </w:rPr>
      </w:pPr>
    </w:p>
    <w:p w:rsidR="00771D20" w:rsidRPr="00487DFD" w:rsidRDefault="00771D20" w:rsidP="00487DFD">
      <w:pPr>
        <w:spacing w:line="360" w:lineRule="auto"/>
        <w:jc w:val="both"/>
        <w:rPr>
          <w:rFonts w:asciiTheme="majorHAnsi" w:hAnsiTheme="majorHAnsi"/>
        </w:rPr>
      </w:pPr>
      <w:r w:rsidRPr="00487DFD">
        <w:rPr>
          <w:rFonts w:asciiTheme="majorHAnsi" w:hAnsiTheme="majorHAnsi"/>
        </w:rPr>
        <w:t>16. Bressler NM, Treatment of Age-Related Macular Degeneration with Photodynamic Therapy (TAP) Study Group. Photodynamic therapy of subfoveal choroidal neovascularization in age-related macular degeneration with verteporfin: two-year results of 2 randomized clinical trials-TAP report 2. Arch Ophthalmol 2001;119:198-207.</w:t>
      </w:r>
    </w:p>
    <w:p w:rsidR="00771D20" w:rsidRPr="00487DFD" w:rsidRDefault="00771D20" w:rsidP="00487DFD">
      <w:pPr>
        <w:spacing w:line="360" w:lineRule="auto"/>
        <w:jc w:val="both"/>
        <w:rPr>
          <w:rFonts w:asciiTheme="majorHAnsi" w:hAnsiTheme="majorHAnsi"/>
        </w:rPr>
      </w:pPr>
    </w:p>
    <w:p w:rsidR="00771D20" w:rsidRPr="00487DFD" w:rsidRDefault="00771D20" w:rsidP="00487DFD">
      <w:pPr>
        <w:spacing w:line="360" w:lineRule="auto"/>
        <w:jc w:val="both"/>
        <w:rPr>
          <w:rFonts w:asciiTheme="majorHAnsi" w:hAnsiTheme="majorHAnsi"/>
        </w:rPr>
      </w:pPr>
      <w:r w:rsidRPr="00487DFD">
        <w:rPr>
          <w:rFonts w:asciiTheme="majorHAnsi" w:hAnsiTheme="majorHAnsi"/>
        </w:rPr>
        <w:t>17. Barbazetto I, Burdan A, Bressler NM, et al. Photodynamic therapy of subfoveal choroidal neovascularization with verteporfin: fluorescein angiographic guidelines for evaluation and treatment--TAP and VIP report number 2. Arch Ophthalmol 2003;121:1253-68.</w:t>
      </w:r>
    </w:p>
    <w:p w:rsidR="00771D20" w:rsidRPr="00487DFD" w:rsidRDefault="00771D20" w:rsidP="00487DFD">
      <w:pPr>
        <w:spacing w:line="360" w:lineRule="auto"/>
        <w:jc w:val="both"/>
        <w:rPr>
          <w:rFonts w:asciiTheme="majorHAnsi" w:hAnsiTheme="majorHAnsi"/>
        </w:rPr>
      </w:pPr>
      <w:r w:rsidRPr="00487DFD">
        <w:rPr>
          <w:rFonts w:asciiTheme="majorHAnsi" w:hAnsiTheme="majorHAnsi"/>
        </w:rPr>
        <w:t>18. Macular Photocoagulation Study Group. Argon laser photocoagulation for neovascular maculopathy: five-year results from randomized clinical trials. Arch Ophthalmol 1991;109:1109-14.</w:t>
      </w:r>
    </w:p>
    <w:p w:rsidR="00771D20" w:rsidRPr="00487DFD" w:rsidRDefault="00771D20" w:rsidP="00487DFD">
      <w:pPr>
        <w:spacing w:line="360" w:lineRule="auto"/>
        <w:jc w:val="both"/>
        <w:rPr>
          <w:rFonts w:asciiTheme="majorHAnsi" w:hAnsiTheme="majorHAnsi"/>
        </w:rPr>
      </w:pPr>
    </w:p>
    <w:p w:rsidR="006B44E4" w:rsidRPr="00487DFD" w:rsidRDefault="00771D20" w:rsidP="00487DFD">
      <w:pPr>
        <w:spacing w:line="360" w:lineRule="auto"/>
        <w:rPr>
          <w:rFonts w:asciiTheme="majorHAnsi" w:hAnsiTheme="majorHAnsi"/>
        </w:rPr>
      </w:pPr>
      <w:r w:rsidRPr="003179E6">
        <w:rPr>
          <w:rFonts w:asciiTheme="majorHAnsi" w:eastAsiaTheme="minorEastAsia" w:hAnsiTheme="majorHAnsi" w:cs="Times"/>
          <w:lang w:eastAsia="it-IT"/>
        </w:rPr>
        <w:lastRenderedPageBreak/>
        <w:t>19</w:t>
      </w:r>
      <w:r w:rsidR="006B44E4" w:rsidRPr="00487DFD">
        <w:rPr>
          <w:rFonts w:asciiTheme="majorHAnsi" w:hAnsiTheme="majorHAnsi"/>
        </w:rPr>
        <w:t>. Dorin G. Subthreshold and micropulse diode laser photocoagulation. Semin Ophthalmol 2003;18:147-53.</w:t>
      </w:r>
    </w:p>
    <w:p w:rsidR="00771D20" w:rsidRPr="00487DFD" w:rsidRDefault="00771D20" w:rsidP="00487DFD">
      <w:pPr>
        <w:spacing w:line="360" w:lineRule="auto"/>
        <w:rPr>
          <w:rFonts w:asciiTheme="majorHAnsi" w:hAnsiTheme="majorHAnsi"/>
        </w:rPr>
      </w:pPr>
    </w:p>
    <w:p w:rsidR="006B44E4" w:rsidRPr="003179E6" w:rsidRDefault="00771D20" w:rsidP="00487DFD">
      <w:pPr>
        <w:spacing w:line="360" w:lineRule="auto"/>
        <w:rPr>
          <w:rFonts w:asciiTheme="majorHAnsi" w:hAnsiTheme="majorHAnsi"/>
          <w:lang w:val="it-IT"/>
        </w:rPr>
      </w:pPr>
      <w:r w:rsidRPr="00487DFD">
        <w:rPr>
          <w:rFonts w:asciiTheme="majorHAnsi" w:hAnsiTheme="majorHAnsi"/>
        </w:rPr>
        <w:t>20</w:t>
      </w:r>
      <w:r w:rsidR="006B44E4" w:rsidRPr="00487DFD">
        <w:rPr>
          <w:rFonts w:asciiTheme="majorHAnsi" w:hAnsiTheme="majorHAnsi"/>
        </w:rPr>
        <w:t xml:space="preserve">. Luttrull JK, Musch DC, Mainster MA. Subthreshold diode micropulse photocoagulation for the treatment of clinically significant diabetic macular oedema. </w:t>
      </w:r>
      <w:r w:rsidR="006B44E4" w:rsidRPr="003179E6">
        <w:rPr>
          <w:rFonts w:asciiTheme="majorHAnsi" w:hAnsiTheme="majorHAnsi"/>
          <w:lang w:val="it-IT"/>
        </w:rPr>
        <w:t>Br J Ophthalmol 2005; 89:74–80.</w:t>
      </w:r>
    </w:p>
    <w:p w:rsidR="00771D20" w:rsidRPr="003179E6" w:rsidRDefault="00771D20" w:rsidP="00487DFD">
      <w:pPr>
        <w:spacing w:line="360" w:lineRule="auto"/>
        <w:rPr>
          <w:rFonts w:asciiTheme="majorHAnsi" w:hAnsiTheme="majorHAnsi"/>
          <w:lang w:val="it-IT"/>
        </w:rPr>
      </w:pPr>
    </w:p>
    <w:p w:rsidR="006B44E4" w:rsidRPr="00487DFD" w:rsidRDefault="00771D20" w:rsidP="00487DFD">
      <w:pPr>
        <w:spacing w:line="360" w:lineRule="auto"/>
        <w:rPr>
          <w:rFonts w:asciiTheme="majorHAnsi" w:hAnsiTheme="majorHAnsi"/>
        </w:rPr>
      </w:pPr>
      <w:r w:rsidRPr="003179E6">
        <w:rPr>
          <w:rFonts w:asciiTheme="majorHAnsi" w:hAnsiTheme="majorHAnsi"/>
          <w:lang w:val="it-IT"/>
        </w:rPr>
        <w:t>21</w:t>
      </w:r>
      <w:r w:rsidR="006B44E4" w:rsidRPr="003179E6">
        <w:rPr>
          <w:rFonts w:asciiTheme="majorHAnsi" w:hAnsiTheme="majorHAnsi"/>
          <w:lang w:val="it-IT"/>
        </w:rPr>
        <w:t xml:space="preserve">. Parodi MB, Spasse S, Iacono P, et al. </w:t>
      </w:r>
      <w:r w:rsidR="006B44E4" w:rsidRPr="00487DFD">
        <w:rPr>
          <w:rFonts w:asciiTheme="majorHAnsi" w:hAnsiTheme="majorHAnsi"/>
        </w:rPr>
        <w:t>Subthreshold grid laser treatment of macular edema secondary to branch retinal vein occlusion with micropulse infrared (810 nanometer) diode laser. Ophthalmology 2006;113:2237-42.</w:t>
      </w:r>
    </w:p>
    <w:p w:rsidR="00771D20" w:rsidRPr="00487DFD" w:rsidRDefault="00771D20" w:rsidP="00487DFD">
      <w:pPr>
        <w:spacing w:line="360" w:lineRule="auto"/>
        <w:rPr>
          <w:rFonts w:asciiTheme="majorHAnsi" w:hAnsiTheme="majorHAnsi"/>
        </w:rPr>
      </w:pPr>
    </w:p>
    <w:p w:rsidR="006B44E4" w:rsidRPr="00487DFD" w:rsidRDefault="00771D20" w:rsidP="00487DFD">
      <w:pPr>
        <w:spacing w:line="360" w:lineRule="auto"/>
        <w:rPr>
          <w:rFonts w:asciiTheme="majorHAnsi" w:hAnsiTheme="majorHAnsi"/>
        </w:rPr>
      </w:pPr>
      <w:r w:rsidRPr="00487DFD">
        <w:rPr>
          <w:rFonts w:asciiTheme="majorHAnsi" w:hAnsiTheme="majorHAnsi"/>
        </w:rPr>
        <w:t>22</w:t>
      </w:r>
      <w:r w:rsidR="006B44E4" w:rsidRPr="00487DFD">
        <w:rPr>
          <w:rFonts w:asciiTheme="majorHAnsi" w:hAnsiTheme="majorHAnsi"/>
        </w:rPr>
        <w:t>. Chen SN, Hwang JF, Tseng LF. Subthreshold diode micropulse photocoagulation for the treatment of chronic central serous chorioretinopathy with juxtafoveal leakage. Ophthalmology 2008;115:2229-34.</w:t>
      </w:r>
    </w:p>
    <w:p w:rsidR="00771D20" w:rsidRPr="00487DFD" w:rsidRDefault="00771D20" w:rsidP="00487DFD">
      <w:pPr>
        <w:spacing w:line="360" w:lineRule="auto"/>
        <w:rPr>
          <w:rFonts w:asciiTheme="majorHAnsi" w:hAnsiTheme="majorHAnsi"/>
        </w:rPr>
      </w:pPr>
    </w:p>
    <w:p w:rsidR="006B44E4" w:rsidRPr="00487DFD" w:rsidRDefault="00771D20" w:rsidP="00487DFD">
      <w:pPr>
        <w:spacing w:line="360" w:lineRule="auto"/>
        <w:rPr>
          <w:rFonts w:asciiTheme="majorHAnsi" w:hAnsiTheme="majorHAnsi"/>
        </w:rPr>
      </w:pPr>
      <w:r w:rsidRPr="00487DFD">
        <w:rPr>
          <w:rFonts w:asciiTheme="majorHAnsi" w:hAnsiTheme="majorHAnsi"/>
        </w:rPr>
        <w:t>23</w:t>
      </w:r>
      <w:r w:rsidR="006B44E4" w:rsidRPr="00487DFD">
        <w:rPr>
          <w:rFonts w:asciiTheme="majorHAnsi" w:hAnsiTheme="majorHAnsi"/>
        </w:rPr>
        <w:t>. Luttrull JK, Sinclair SH. Safety of transfoveal subthreshold diode micropulse laser (SDM) for fovea-involving diabetic macular edema in eyes with good visual acuity. Retina 2014; 34:2010–2020.</w:t>
      </w:r>
    </w:p>
    <w:p w:rsidR="00771D20" w:rsidRPr="00487DFD" w:rsidRDefault="00771D20" w:rsidP="00487DFD">
      <w:pPr>
        <w:spacing w:line="360" w:lineRule="auto"/>
        <w:rPr>
          <w:rFonts w:asciiTheme="majorHAnsi" w:hAnsiTheme="majorHAnsi"/>
        </w:rPr>
      </w:pPr>
    </w:p>
    <w:p w:rsidR="006B44E4" w:rsidRPr="00487DFD" w:rsidRDefault="00771D20" w:rsidP="00487DFD">
      <w:pPr>
        <w:spacing w:line="360" w:lineRule="auto"/>
        <w:rPr>
          <w:rFonts w:asciiTheme="majorHAnsi" w:hAnsiTheme="majorHAnsi"/>
        </w:rPr>
      </w:pPr>
      <w:r w:rsidRPr="00487DFD">
        <w:rPr>
          <w:rFonts w:asciiTheme="majorHAnsi" w:hAnsiTheme="majorHAnsi"/>
        </w:rPr>
        <w:t>24</w:t>
      </w:r>
      <w:r w:rsidR="006B44E4" w:rsidRPr="00487DFD">
        <w:rPr>
          <w:rFonts w:asciiTheme="majorHAnsi" w:hAnsiTheme="majorHAnsi"/>
        </w:rPr>
        <w:t>. Luttrull JK, Chang DB, Margolis BW. LASER RESENSITIZATION OF MEDICALLY UNRESPONSIVE NEOVASCULAR AGE-RELATED MACULAR DEGENERATION: Efficacy and Implications. Retina 2015;35:1184-94.</w:t>
      </w:r>
    </w:p>
    <w:p w:rsidR="00771D20" w:rsidRPr="00487DFD" w:rsidRDefault="00771D20" w:rsidP="00487DFD">
      <w:pPr>
        <w:spacing w:line="360" w:lineRule="auto"/>
        <w:rPr>
          <w:rFonts w:asciiTheme="majorHAnsi" w:hAnsiTheme="majorHAnsi"/>
        </w:rPr>
      </w:pPr>
    </w:p>
    <w:p w:rsidR="00771D20" w:rsidRPr="00487DFD" w:rsidRDefault="00771D20" w:rsidP="00487DFD">
      <w:pPr>
        <w:spacing w:line="360" w:lineRule="auto"/>
        <w:jc w:val="both"/>
        <w:rPr>
          <w:rFonts w:asciiTheme="majorHAnsi" w:hAnsiTheme="majorHAnsi"/>
        </w:rPr>
      </w:pPr>
      <w:r w:rsidRPr="00487DFD">
        <w:rPr>
          <w:rFonts w:asciiTheme="majorHAnsi" w:hAnsiTheme="majorHAnsi"/>
        </w:rPr>
        <w:t>25.  Luttrull JK, Musch DC, Mainster MA. Subthreshold diode micropulse photocoagulation for the treatment of clinically significant diabetic macular oedema. Br J Ophthalmol 2005; 89:74–80.</w:t>
      </w:r>
    </w:p>
    <w:p w:rsidR="00771D20" w:rsidRPr="00487DFD" w:rsidRDefault="00771D20" w:rsidP="00487DFD">
      <w:pPr>
        <w:spacing w:line="360" w:lineRule="auto"/>
        <w:jc w:val="both"/>
        <w:rPr>
          <w:rFonts w:asciiTheme="majorHAnsi" w:hAnsiTheme="majorHAnsi"/>
        </w:rPr>
      </w:pPr>
    </w:p>
    <w:p w:rsidR="00771D20" w:rsidRPr="00487DFD" w:rsidRDefault="00771D20" w:rsidP="00487DFD">
      <w:pPr>
        <w:spacing w:line="360" w:lineRule="auto"/>
        <w:jc w:val="both"/>
        <w:rPr>
          <w:rFonts w:asciiTheme="majorHAnsi" w:hAnsiTheme="majorHAnsi"/>
        </w:rPr>
      </w:pPr>
      <w:r w:rsidRPr="00487DFD">
        <w:rPr>
          <w:rFonts w:asciiTheme="majorHAnsi" w:hAnsiTheme="majorHAnsi"/>
        </w:rPr>
        <w:t>26. Luttrull JK, Sinclair SH. Safety of transfoveal subthreshold diode micropulse laser (SDM) for fovea-involving diabetic macular edema in eyes with good visual acuity. Retina 2014; 34:2010–2020.</w:t>
      </w:r>
    </w:p>
    <w:p w:rsidR="00771D20" w:rsidRPr="00487DFD" w:rsidRDefault="00771D20" w:rsidP="00487DFD">
      <w:pPr>
        <w:spacing w:line="360" w:lineRule="auto"/>
        <w:jc w:val="both"/>
        <w:rPr>
          <w:rFonts w:asciiTheme="majorHAnsi" w:hAnsiTheme="majorHAnsi"/>
        </w:rPr>
      </w:pPr>
    </w:p>
    <w:p w:rsidR="00771D20" w:rsidRPr="00487DFD" w:rsidRDefault="00771D20" w:rsidP="00487DFD">
      <w:pPr>
        <w:spacing w:line="360" w:lineRule="auto"/>
        <w:jc w:val="both"/>
        <w:rPr>
          <w:rFonts w:asciiTheme="majorHAnsi" w:hAnsiTheme="majorHAnsi"/>
        </w:rPr>
      </w:pPr>
      <w:r w:rsidRPr="00487DFD">
        <w:rPr>
          <w:rFonts w:asciiTheme="majorHAnsi" w:hAnsiTheme="majorHAnsi"/>
        </w:rPr>
        <w:t xml:space="preserve">27. Vujosevic S, et al. subthreshold micropulse yellow laser versus subthreshold micropulse infrared laser in center-involving diabetic macular edema. Retina 2015; 35:1594–1603.  </w:t>
      </w:r>
    </w:p>
    <w:p w:rsidR="00771D20" w:rsidRPr="00487DFD" w:rsidRDefault="00771D20" w:rsidP="00487DFD">
      <w:pPr>
        <w:spacing w:line="360" w:lineRule="auto"/>
        <w:rPr>
          <w:rFonts w:asciiTheme="majorHAnsi" w:hAnsiTheme="majorHAnsi"/>
        </w:rPr>
      </w:pPr>
    </w:p>
    <w:p w:rsidR="00771D20" w:rsidRPr="00487DFD" w:rsidRDefault="00771D20" w:rsidP="00487DFD">
      <w:pPr>
        <w:spacing w:line="360" w:lineRule="auto"/>
        <w:rPr>
          <w:rFonts w:asciiTheme="majorHAnsi" w:hAnsiTheme="majorHAnsi"/>
        </w:rPr>
      </w:pPr>
      <w:r w:rsidRPr="00487DFD">
        <w:rPr>
          <w:rFonts w:asciiTheme="majorHAnsi" w:hAnsiTheme="majorHAnsi"/>
        </w:rPr>
        <w:lastRenderedPageBreak/>
        <w:t xml:space="preserve">28. Kenichiro B, et al. Effect of subthreshold infrared laser treatment for Drusen regression on macular autofluorescence in patients with age-related macular degeneration. Retina 2005; 25: 981-988.  </w:t>
      </w:r>
    </w:p>
    <w:p w:rsidR="00771D20" w:rsidRPr="00487DFD" w:rsidRDefault="00771D20" w:rsidP="00487DFD">
      <w:pPr>
        <w:spacing w:line="360" w:lineRule="auto"/>
        <w:rPr>
          <w:rFonts w:asciiTheme="majorHAnsi" w:hAnsiTheme="majorHAnsi"/>
        </w:rPr>
      </w:pPr>
    </w:p>
    <w:p w:rsidR="00487DFD" w:rsidRPr="00487DFD" w:rsidRDefault="00487DFD" w:rsidP="00487DFD">
      <w:pPr>
        <w:spacing w:line="360" w:lineRule="auto"/>
        <w:rPr>
          <w:rFonts w:asciiTheme="majorHAnsi" w:hAnsiTheme="majorHAnsi"/>
        </w:rPr>
      </w:pPr>
      <w:r w:rsidRPr="00487DFD">
        <w:rPr>
          <w:rFonts w:asciiTheme="majorHAnsi" w:hAnsiTheme="majorHAnsi"/>
        </w:rPr>
        <w:t xml:space="preserve">29. Virgili G, et al.  </w:t>
      </w:r>
      <w:r w:rsidRPr="00487DFD">
        <w:rPr>
          <w:rStyle w:val="highlight"/>
          <w:rFonts w:asciiTheme="majorHAnsi" w:hAnsiTheme="majorHAnsi" w:cs="Arial"/>
          <w:color w:val="000000"/>
        </w:rPr>
        <w:t>Laser</w:t>
      </w:r>
      <w:r w:rsidRPr="00487DFD">
        <w:rPr>
          <w:rStyle w:val="apple-converted-space"/>
          <w:rFonts w:asciiTheme="majorHAnsi" w:hAnsiTheme="majorHAnsi" w:cs="Arial"/>
          <w:color w:val="000000"/>
        </w:rPr>
        <w:t> </w:t>
      </w:r>
      <w:r w:rsidRPr="00487DFD">
        <w:rPr>
          <w:rFonts w:asciiTheme="majorHAnsi" w:hAnsiTheme="majorHAnsi" w:cs="Arial"/>
          <w:color w:val="000000"/>
        </w:rPr>
        <w:t>treatment of</w:t>
      </w:r>
      <w:r w:rsidRPr="00487DFD">
        <w:rPr>
          <w:rStyle w:val="apple-converted-space"/>
          <w:rFonts w:asciiTheme="majorHAnsi" w:hAnsiTheme="majorHAnsi" w:cs="Arial"/>
          <w:color w:val="000000"/>
        </w:rPr>
        <w:t> </w:t>
      </w:r>
      <w:r w:rsidRPr="00487DFD">
        <w:rPr>
          <w:rStyle w:val="highlight"/>
          <w:rFonts w:asciiTheme="majorHAnsi" w:hAnsiTheme="majorHAnsi" w:cs="Arial"/>
          <w:color w:val="000000"/>
        </w:rPr>
        <w:t>drusen</w:t>
      </w:r>
      <w:r w:rsidRPr="00487DFD">
        <w:rPr>
          <w:rStyle w:val="apple-converted-space"/>
          <w:rFonts w:asciiTheme="majorHAnsi" w:hAnsiTheme="majorHAnsi" w:cs="Arial"/>
          <w:color w:val="000000"/>
        </w:rPr>
        <w:t> </w:t>
      </w:r>
      <w:r w:rsidRPr="00487DFD">
        <w:rPr>
          <w:rFonts w:asciiTheme="majorHAnsi" w:hAnsiTheme="majorHAnsi" w:cs="Arial"/>
          <w:color w:val="000000"/>
        </w:rPr>
        <w:t>to prevent progression to advanced age-related macular degeneration. Cochrane Database Syst Rev 2015; Issue 10.</w:t>
      </w:r>
    </w:p>
    <w:p w:rsidR="00487DFD" w:rsidRPr="00487DFD" w:rsidRDefault="00487DFD" w:rsidP="00487DFD">
      <w:pPr>
        <w:spacing w:line="360" w:lineRule="auto"/>
        <w:rPr>
          <w:rFonts w:asciiTheme="majorHAnsi" w:hAnsiTheme="majorHAnsi"/>
        </w:rPr>
      </w:pPr>
    </w:p>
    <w:p w:rsidR="006B44E4" w:rsidRPr="00487DFD" w:rsidRDefault="006B44E4" w:rsidP="00487DFD">
      <w:pPr>
        <w:spacing w:line="360" w:lineRule="auto"/>
        <w:rPr>
          <w:rFonts w:asciiTheme="majorHAnsi" w:hAnsiTheme="majorHAnsi"/>
        </w:rPr>
      </w:pPr>
    </w:p>
    <w:p w:rsidR="006B44E4" w:rsidRPr="00487DFD" w:rsidRDefault="006B44E4" w:rsidP="00487DFD">
      <w:pPr>
        <w:spacing w:line="360" w:lineRule="auto"/>
        <w:rPr>
          <w:rFonts w:asciiTheme="majorHAnsi" w:hAnsiTheme="majorHAnsi"/>
        </w:rPr>
      </w:pPr>
    </w:p>
    <w:p w:rsidR="00E14A3A" w:rsidRPr="00487DFD" w:rsidRDefault="00E14A3A" w:rsidP="00487DFD">
      <w:pPr>
        <w:spacing w:line="360" w:lineRule="auto"/>
        <w:rPr>
          <w:rFonts w:asciiTheme="majorHAnsi" w:hAnsiTheme="majorHAnsi"/>
        </w:rPr>
      </w:pPr>
    </w:p>
    <w:p w:rsidR="00E14A3A" w:rsidRPr="00487DFD" w:rsidRDefault="00E14A3A" w:rsidP="00487DFD">
      <w:pPr>
        <w:spacing w:line="360" w:lineRule="auto"/>
        <w:rPr>
          <w:rFonts w:asciiTheme="majorHAnsi" w:hAnsiTheme="majorHAnsi"/>
        </w:rPr>
      </w:pPr>
    </w:p>
    <w:p w:rsidR="00E14A3A" w:rsidRPr="00487DFD" w:rsidRDefault="00E14A3A" w:rsidP="00487DFD">
      <w:pPr>
        <w:spacing w:line="360" w:lineRule="auto"/>
        <w:rPr>
          <w:rFonts w:asciiTheme="majorHAnsi" w:hAnsiTheme="majorHAnsi"/>
        </w:rPr>
      </w:pPr>
    </w:p>
    <w:p w:rsidR="00E14A3A" w:rsidRPr="00487DFD" w:rsidRDefault="00E14A3A" w:rsidP="00487DFD">
      <w:pPr>
        <w:spacing w:line="360" w:lineRule="auto"/>
        <w:rPr>
          <w:rFonts w:asciiTheme="majorHAnsi" w:hAnsiTheme="majorHAnsi"/>
        </w:rPr>
      </w:pPr>
    </w:p>
    <w:sectPr w:rsidR="00E14A3A" w:rsidRPr="00487DFD" w:rsidSect="00EE0B2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1009" w:rsidRDefault="004C1009" w:rsidP="00F459A7">
      <w:r>
        <w:separator/>
      </w:r>
    </w:p>
  </w:endnote>
  <w:endnote w:type="continuationSeparator" w:id="0">
    <w:p w:rsidR="004C1009" w:rsidRDefault="004C1009" w:rsidP="00F45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Times">
    <w:panose1 w:val="000005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Neue">
    <w:altName w:val="Corbel"/>
    <w:charset w:val="00"/>
    <w:family w:val="auto"/>
    <w:pitch w:val="variable"/>
    <w:sig w:usb0="00000003" w:usb1="500079DB" w:usb2="00000010" w:usb3="00000000" w:csb0="00000001" w:csb1="00000000"/>
  </w:font>
  <w:font w:name="KGDBBF+TimesNewRoman,Bold">
    <w:altName w:val="Times New Roman"/>
    <w:panose1 w:val="00000000000000000000"/>
    <w:charset w:val="00"/>
    <w:family w:val="roman"/>
    <w:notTrueType/>
    <w:pitch w:val="default"/>
    <w:sig w:usb0="00000003" w:usb1="00000000" w:usb2="00000000" w:usb3="00000000" w:csb0="00000001" w:csb1="00000000"/>
  </w:font>
  <w:font w:name="KGDAML+TimesNewRoman">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1009" w:rsidRDefault="004C1009" w:rsidP="00F459A7">
      <w:r>
        <w:separator/>
      </w:r>
    </w:p>
  </w:footnote>
  <w:footnote w:type="continuationSeparator" w:id="0">
    <w:p w:rsidR="004C1009" w:rsidRDefault="004C1009" w:rsidP="00F459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2pt;height:9.2pt" o:bullet="t">
        <v:imagedata r:id="rId1" o:title="bullet2"/>
      </v:shape>
    </w:pict>
  </w:numPicBullet>
  <w:numPicBullet w:numPicBulletId="1">
    <w:pict>
      <v:shape id="_x0000_i1029" type="#_x0000_t75" style="width:9.2pt;height:9.2pt" o:bullet="t">
        <v:imagedata r:id="rId2" o:title="bullet3"/>
      </v:shape>
    </w:pict>
  </w:numPicBullet>
  <w:abstractNum w:abstractNumId="0" w15:restartNumberingAfterBreak="0">
    <w:nsid w:val="02813577"/>
    <w:multiLevelType w:val="hybridMultilevel"/>
    <w:tmpl w:val="958A6AB8"/>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Symbol"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Symbol"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Symbol"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0C0723E1"/>
    <w:multiLevelType w:val="multilevel"/>
    <w:tmpl w:val="8174BA52"/>
    <w:lvl w:ilvl="0">
      <w:start w:val="1"/>
      <w:numFmt w:val="decimal"/>
      <w:lvlText w:val="%1."/>
      <w:lvlJc w:val="left"/>
      <w:pPr>
        <w:tabs>
          <w:tab w:val="num" w:pos="720"/>
        </w:tabs>
        <w:ind w:left="720" w:hanging="360"/>
      </w:pPr>
    </w:lvl>
    <w:lvl w:ilvl="1">
      <w:start w:val="1"/>
      <w:numFmt w:val="bullet"/>
      <w:lvlText w:val=""/>
      <w:lvlPicBulletId w:val="0"/>
      <w:lvlJc w:val="left"/>
      <w:pPr>
        <w:tabs>
          <w:tab w:val="num" w:pos="1080"/>
        </w:tabs>
        <w:ind w:left="1080" w:hanging="360"/>
      </w:pPr>
      <w:rPr>
        <w:rFonts w:ascii="Wingdings" w:hAnsi="Wingdings" w:hint="default"/>
      </w:rPr>
    </w:lvl>
    <w:lvl w:ilvl="2">
      <w:start w:val="1"/>
      <w:numFmt w:val="bullet"/>
      <w:lvlText w:val=""/>
      <w:lvlPicBulletId w:val="1"/>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2" w15:restartNumberingAfterBreak="0">
    <w:nsid w:val="0E8D68F3"/>
    <w:multiLevelType w:val="hybridMultilevel"/>
    <w:tmpl w:val="DFAC586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347510A"/>
    <w:multiLevelType w:val="hybridMultilevel"/>
    <w:tmpl w:val="4E4AC0F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41B16F1"/>
    <w:multiLevelType w:val="hybridMultilevel"/>
    <w:tmpl w:val="B47EB77A"/>
    <w:lvl w:ilvl="0" w:tplc="04100005">
      <w:start w:val="1"/>
      <w:numFmt w:val="bullet"/>
      <w:lvlText w:val=""/>
      <w:lvlJc w:val="left"/>
      <w:pPr>
        <w:ind w:left="1222" w:hanging="360"/>
      </w:pPr>
      <w:rPr>
        <w:rFonts w:ascii="Wingdings" w:hAnsi="Wingdings" w:hint="default"/>
      </w:rPr>
    </w:lvl>
    <w:lvl w:ilvl="1" w:tplc="04100003" w:tentative="1">
      <w:start w:val="1"/>
      <w:numFmt w:val="bullet"/>
      <w:lvlText w:val="o"/>
      <w:lvlJc w:val="left"/>
      <w:pPr>
        <w:ind w:left="1942" w:hanging="360"/>
      </w:pPr>
      <w:rPr>
        <w:rFonts w:ascii="Courier New" w:hAnsi="Courier New" w:hint="default"/>
      </w:rPr>
    </w:lvl>
    <w:lvl w:ilvl="2" w:tplc="04100005" w:tentative="1">
      <w:start w:val="1"/>
      <w:numFmt w:val="bullet"/>
      <w:lvlText w:val=""/>
      <w:lvlJc w:val="left"/>
      <w:pPr>
        <w:ind w:left="2662" w:hanging="360"/>
      </w:pPr>
      <w:rPr>
        <w:rFonts w:ascii="Wingdings" w:hAnsi="Wingdings" w:hint="default"/>
      </w:rPr>
    </w:lvl>
    <w:lvl w:ilvl="3" w:tplc="04100001" w:tentative="1">
      <w:start w:val="1"/>
      <w:numFmt w:val="bullet"/>
      <w:lvlText w:val=""/>
      <w:lvlJc w:val="left"/>
      <w:pPr>
        <w:ind w:left="3382" w:hanging="360"/>
      </w:pPr>
      <w:rPr>
        <w:rFonts w:ascii="Symbol" w:hAnsi="Symbol" w:hint="default"/>
      </w:rPr>
    </w:lvl>
    <w:lvl w:ilvl="4" w:tplc="04100003" w:tentative="1">
      <w:start w:val="1"/>
      <w:numFmt w:val="bullet"/>
      <w:lvlText w:val="o"/>
      <w:lvlJc w:val="left"/>
      <w:pPr>
        <w:ind w:left="4102" w:hanging="360"/>
      </w:pPr>
      <w:rPr>
        <w:rFonts w:ascii="Courier New" w:hAnsi="Courier New" w:hint="default"/>
      </w:rPr>
    </w:lvl>
    <w:lvl w:ilvl="5" w:tplc="04100005" w:tentative="1">
      <w:start w:val="1"/>
      <w:numFmt w:val="bullet"/>
      <w:lvlText w:val=""/>
      <w:lvlJc w:val="left"/>
      <w:pPr>
        <w:ind w:left="4822" w:hanging="360"/>
      </w:pPr>
      <w:rPr>
        <w:rFonts w:ascii="Wingdings" w:hAnsi="Wingdings" w:hint="default"/>
      </w:rPr>
    </w:lvl>
    <w:lvl w:ilvl="6" w:tplc="04100001" w:tentative="1">
      <w:start w:val="1"/>
      <w:numFmt w:val="bullet"/>
      <w:lvlText w:val=""/>
      <w:lvlJc w:val="left"/>
      <w:pPr>
        <w:ind w:left="5542" w:hanging="360"/>
      </w:pPr>
      <w:rPr>
        <w:rFonts w:ascii="Symbol" w:hAnsi="Symbol" w:hint="default"/>
      </w:rPr>
    </w:lvl>
    <w:lvl w:ilvl="7" w:tplc="04100003" w:tentative="1">
      <w:start w:val="1"/>
      <w:numFmt w:val="bullet"/>
      <w:lvlText w:val="o"/>
      <w:lvlJc w:val="left"/>
      <w:pPr>
        <w:ind w:left="6262" w:hanging="360"/>
      </w:pPr>
      <w:rPr>
        <w:rFonts w:ascii="Courier New" w:hAnsi="Courier New" w:hint="default"/>
      </w:rPr>
    </w:lvl>
    <w:lvl w:ilvl="8" w:tplc="04100005" w:tentative="1">
      <w:start w:val="1"/>
      <w:numFmt w:val="bullet"/>
      <w:lvlText w:val=""/>
      <w:lvlJc w:val="left"/>
      <w:pPr>
        <w:ind w:left="6982" w:hanging="360"/>
      </w:pPr>
      <w:rPr>
        <w:rFonts w:ascii="Wingdings" w:hAnsi="Wingdings" w:hint="default"/>
      </w:rPr>
    </w:lvl>
  </w:abstractNum>
  <w:abstractNum w:abstractNumId="5" w15:restartNumberingAfterBreak="0">
    <w:nsid w:val="19E35F80"/>
    <w:multiLevelType w:val="hybridMultilevel"/>
    <w:tmpl w:val="E44A72FC"/>
    <w:lvl w:ilvl="0" w:tplc="847AD456">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A39389E"/>
    <w:multiLevelType w:val="hybridMultilevel"/>
    <w:tmpl w:val="7CB0D0C8"/>
    <w:lvl w:ilvl="0" w:tplc="0410000F">
      <w:start w:val="1"/>
      <w:numFmt w:val="decimal"/>
      <w:lvlText w:val="%1."/>
      <w:lvlJc w:val="left"/>
      <w:pPr>
        <w:ind w:left="502" w:hanging="360"/>
      </w:pPr>
      <w:rPr>
        <w:rFonts w:hint="default"/>
      </w:rPr>
    </w:lvl>
    <w:lvl w:ilvl="1" w:tplc="04100019">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7" w15:restartNumberingAfterBreak="0">
    <w:nsid w:val="3E517012"/>
    <w:multiLevelType w:val="hybridMultilevel"/>
    <w:tmpl w:val="45983150"/>
    <w:lvl w:ilvl="0" w:tplc="FFFFFFFF">
      <w:start w:val="1"/>
      <w:numFmt w:val="bullet"/>
      <w:lvlText w:val=""/>
      <w:lvlJc w:val="left"/>
      <w:pPr>
        <w:tabs>
          <w:tab w:val="num" w:pos="1080"/>
        </w:tabs>
        <w:ind w:left="1080" w:hanging="360"/>
      </w:pPr>
      <w:rPr>
        <w:rFonts w:ascii="Symbol" w:hAnsi="Symbol" w:hint="default"/>
        <w:color w:val="auto"/>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416E5257"/>
    <w:multiLevelType w:val="hybridMultilevel"/>
    <w:tmpl w:val="3F98FE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8AB790D"/>
    <w:multiLevelType w:val="hybridMultilevel"/>
    <w:tmpl w:val="982421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2832896"/>
    <w:multiLevelType w:val="hybridMultilevel"/>
    <w:tmpl w:val="57A27D5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38F64E6"/>
    <w:multiLevelType w:val="hybridMultilevel"/>
    <w:tmpl w:val="36CC7D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41F7F3F"/>
    <w:multiLevelType w:val="hybridMultilevel"/>
    <w:tmpl w:val="73AC10F0"/>
    <w:lvl w:ilvl="0" w:tplc="7AA48A3A">
      <w:start w:val="1"/>
      <w:numFmt w:val="decimal"/>
      <w:lvlText w:val="%1."/>
      <w:lvlJc w:val="left"/>
      <w:pPr>
        <w:ind w:left="720" w:hanging="600"/>
      </w:pPr>
      <w:rPr>
        <w:rFonts w:hint="default"/>
      </w:rPr>
    </w:lvl>
    <w:lvl w:ilvl="1" w:tplc="04100019" w:tentative="1">
      <w:start w:val="1"/>
      <w:numFmt w:val="lowerLetter"/>
      <w:lvlText w:val="%2."/>
      <w:lvlJc w:val="left"/>
      <w:pPr>
        <w:ind w:left="1200" w:hanging="360"/>
      </w:pPr>
    </w:lvl>
    <w:lvl w:ilvl="2" w:tplc="0410001B" w:tentative="1">
      <w:start w:val="1"/>
      <w:numFmt w:val="lowerRoman"/>
      <w:lvlText w:val="%3."/>
      <w:lvlJc w:val="right"/>
      <w:pPr>
        <w:ind w:left="1920" w:hanging="180"/>
      </w:pPr>
    </w:lvl>
    <w:lvl w:ilvl="3" w:tplc="0410000F" w:tentative="1">
      <w:start w:val="1"/>
      <w:numFmt w:val="decimal"/>
      <w:lvlText w:val="%4."/>
      <w:lvlJc w:val="left"/>
      <w:pPr>
        <w:ind w:left="2640" w:hanging="360"/>
      </w:pPr>
    </w:lvl>
    <w:lvl w:ilvl="4" w:tplc="04100019" w:tentative="1">
      <w:start w:val="1"/>
      <w:numFmt w:val="lowerLetter"/>
      <w:lvlText w:val="%5."/>
      <w:lvlJc w:val="left"/>
      <w:pPr>
        <w:ind w:left="3360" w:hanging="360"/>
      </w:pPr>
    </w:lvl>
    <w:lvl w:ilvl="5" w:tplc="0410001B" w:tentative="1">
      <w:start w:val="1"/>
      <w:numFmt w:val="lowerRoman"/>
      <w:lvlText w:val="%6."/>
      <w:lvlJc w:val="right"/>
      <w:pPr>
        <w:ind w:left="4080" w:hanging="180"/>
      </w:pPr>
    </w:lvl>
    <w:lvl w:ilvl="6" w:tplc="0410000F" w:tentative="1">
      <w:start w:val="1"/>
      <w:numFmt w:val="decimal"/>
      <w:lvlText w:val="%7."/>
      <w:lvlJc w:val="left"/>
      <w:pPr>
        <w:ind w:left="4800" w:hanging="360"/>
      </w:pPr>
    </w:lvl>
    <w:lvl w:ilvl="7" w:tplc="04100019" w:tentative="1">
      <w:start w:val="1"/>
      <w:numFmt w:val="lowerLetter"/>
      <w:lvlText w:val="%8."/>
      <w:lvlJc w:val="left"/>
      <w:pPr>
        <w:ind w:left="5520" w:hanging="360"/>
      </w:pPr>
    </w:lvl>
    <w:lvl w:ilvl="8" w:tplc="0410001B" w:tentative="1">
      <w:start w:val="1"/>
      <w:numFmt w:val="lowerRoman"/>
      <w:lvlText w:val="%9."/>
      <w:lvlJc w:val="right"/>
      <w:pPr>
        <w:ind w:left="6240" w:hanging="180"/>
      </w:pPr>
    </w:lvl>
  </w:abstractNum>
  <w:abstractNum w:abstractNumId="13" w15:restartNumberingAfterBreak="0">
    <w:nsid w:val="5C0D26D2"/>
    <w:multiLevelType w:val="hybridMultilevel"/>
    <w:tmpl w:val="09AC6EA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5413D60"/>
    <w:multiLevelType w:val="hybridMultilevel"/>
    <w:tmpl w:val="FADA093C"/>
    <w:lvl w:ilvl="0" w:tplc="04090001">
      <w:start w:val="1"/>
      <w:numFmt w:val="bullet"/>
      <w:lvlText w:val=""/>
      <w:lvlJc w:val="left"/>
      <w:pPr>
        <w:tabs>
          <w:tab w:val="num" w:pos="783"/>
        </w:tabs>
        <w:ind w:left="783"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65BE09D2"/>
    <w:multiLevelType w:val="hybridMultilevel"/>
    <w:tmpl w:val="008AEF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6AB765D"/>
    <w:multiLevelType w:val="hybridMultilevel"/>
    <w:tmpl w:val="3C6ECE56"/>
    <w:lvl w:ilvl="0" w:tplc="4E18835E">
      <w:start w:val="1"/>
      <w:numFmt w:val="bullet"/>
      <w:lvlText w:val=""/>
      <w:lvlJc w:val="left"/>
      <w:pPr>
        <w:tabs>
          <w:tab w:val="num" w:pos="1080"/>
        </w:tabs>
        <w:ind w:left="1080" w:hanging="360"/>
      </w:pPr>
      <w:rPr>
        <w:rFonts w:ascii="Symbol" w:hAnsi="Symbol" w:hint="default"/>
        <w:color w:val="auto"/>
      </w:rPr>
    </w:lvl>
    <w:lvl w:ilvl="1" w:tplc="40AC52CA" w:tentative="1">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9EF53AF"/>
    <w:multiLevelType w:val="hybridMultilevel"/>
    <w:tmpl w:val="6B980656"/>
    <w:lvl w:ilvl="0" w:tplc="FFFFFFFF">
      <w:start w:val="1"/>
      <w:numFmt w:val="bullet"/>
      <w:lvlText w:val=""/>
      <w:lvlJc w:val="left"/>
      <w:pPr>
        <w:tabs>
          <w:tab w:val="num" w:pos="1080"/>
        </w:tabs>
        <w:ind w:left="1080" w:hanging="360"/>
      </w:pPr>
      <w:rPr>
        <w:rFonts w:ascii="Symbol" w:hAnsi="Symbol" w:hint="default"/>
        <w:color w:val="auto"/>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CC47070"/>
    <w:multiLevelType w:val="hybridMultilevel"/>
    <w:tmpl w:val="84E029BA"/>
    <w:lvl w:ilvl="0" w:tplc="FFFFFFFF">
      <w:start w:val="1"/>
      <w:numFmt w:val="bullet"/>
      <w:pStyle w:val="Bullet1"/>
      <w:lvlText w:val=""/>
      <w:legacy w:legacy="1" w:legacySpace="0" w:legacyIndent="360"/>
      <w:lvlJc w:val="left"/>
      <w:pPr>
        <w:ind w:left="360" w:hanging="360"/>
      </w:pPr>
      <w:rPr>
        <w:rFonts w:ascii="Symbol" w:hAnsi="Symbol" w:hint="default"/>
      </w:rPr>
    </w:lvl>
    <w:lvl w:ilvl="1" w:tplc="FFFFFFFF">
      <w:start w:val="1"/>
      <w:numFmt w:val="bullet"/>
      <w:lvlText w:val="o"/>
      <w:lvlJc w:val="left"/>
      <w:pPr>
        <w:tabs>
          <w:tab w:val="num" w:pos="360"/>
        </w:tabs>
        <w:ind w:left="360" w:hanging="360"/>
      </w:pPr>
      <w:rPr>
        <w:rFonts w:ascii="Courier New" w:hAnsi="Courier New" w:hint="default"/>
      </w:rPr>
    </w:lvl>
    <w:lvl w:ilvl="2" w:tplc="FFFFFFFF">
      <w:start w:val="1"/>
      <w:numFmt w:val="bullet"/>
      <w:lvlText w:val=""/>
      <w:lvlJc w:val="left"/>
      <w:pPr>
        <w:tabs>
          <w:tab w:val="num" w:pos="1080"/>
        </w:tabs>
        <w:ind w:left="1080" w:hanging="360"/>
      </w:pPr>
      <w:rPr>
        <w:rFonts w:ascii="Wingdings" w:hAnsi="Wingdings" w:hint="default"/>
      </w:rPr>
    </w:lvl>
    <w:lvl w:ilvl="3" w:tplc="FFFFFFFF">
      <w:start w:val="1"/>
      <w:numFmt w:val="bullet"/>
      <w:lvlText w:val=""/>
      <w:lvlJc w:val="left"/>
      <w:pPr>
        <w:tabs>
          <w:tab w:val="num" w:pos="1800"/>
        </w:tabs>
        <w:ind w:left="1800" w:hanging="360"/>
      </w:pPr>
      <w:rPr>
        <w:rFonts w:ascii="Symbol" w:hAnsi="Symbol" w:hint="default"/>
      </w:rPr>
    </w:lvl>
    <w:lvl w:ilvl="4" w:tplc="FFFFFFFF">
      <w:start w:val="1"/>
      <w:numFmt w:val="bullet"/>
      <w:lvlText w:val="o"/>
      <w:lvlJc w:val="left"/>
      <w:pPr>
        <w:tabs>
          <w:tab w:val="num" w:pos="2520"/>
        </w:tabs>
        <w:ind w:left="2520" w:hanging="360"/>
      </w:pPr>
      <w:rPr>
        <w:rFonts w:ascii="Courier New" w:hAnsi="Courier New" w:hint="default"/>
      </w:rPr>
    </w:lvl>
    <w:lvl w:ilvl="5" w:tplc="FFFFFFFF">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19" w15:restartNumberingAfterBreak="0">
    <w:nsid w:val="6D3A1A54"/>
    <w:multiLevelType w:val="hybridMultilevel"/>
    <w:tmpl w:val="CDE6982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080"/>
        </w:tabs>
        <w:ind w:left="-1080" w:hanging="360"/>
      </w:pPr>
    </w:lvl>
    <w:lvl w:ilvl="2" w:tplc="FFFFFFFF">
      <w:start w:val="1"/>
      <w:numFmt w:val="lowerRoman"/>
      <w:lvlText w:val="%3."/>
      <w:lvlJc w:val="right"/>
      <w:pPr>
        <w:tabs>
          <w:tab w:val="num" w:pos="360"/>
        </w:tabs>
        <w:ind w:left="360" w:hanging="180"/>
      </w:pPr>
    </w:lvl>
    <w:lvl w:ilvl="3" w:tplc="FFFFFFFF">
      <w:start w:val="612"/>
      <w:numFmt w:val="decimal"/>
      <w:lvlText w:val="%4"/>
      <w:lvlJc w:val="left"/>
      <w:pPr>
        <w:tabs>
          <w:tab w:val="num" w:pos="1260"/>
        </w:tabs>
        <w:ind w:left="1260" w:hanging="540"/>
      </w:pPr>
      <w:rPr>
        <w:rFonts w:hint="default"/>
      </w:rPr>
    </w:lvl>
    <w:lvl w:ilvl="4" w:tplc="FFFFFFFF" w:tentative="1">
      <w:start w:val="1"/>
      <w:numFmt w:val="lowerLetter"/>
      <w:lvlText w:val="%5."/>
      <w:lvlJc w:val="left"/>
      <w:pPr>
        <w:tabs>
          <w:tab w:val="num" w:pos="1800"/>
        </w:tabs>
        <w:ind w:left="1800" w:hanging="360"/>
      </w:pPr>
    </w:lvl>
    <w:lvl w:ilvl="5" w:tplc="FFFFFFFF" w:tentative="1">
      <w:start w:val="1"/>
      <w:numFmt w:val="lowerRoman"/>
      <w:lvlText w:val="%6."/>
      <w:lvlJc w:val="right"/>
      <w:pPr>
        <w:tabs>
          <w:tab w:val="num" w:pos="2520"/>
        </w:tabs>
        <w:ind w:left="2520" w:hanging="180"/>
      </w:pPr>
    </w:lvl>
    <w:lvl w:ilvl="6" w:tplc="FFFFFFFF" w:tentative="1">
      <w:start w:val="1"/>
      <w:numFmt w:val="decimal"/>
      <w:lvlText w:val="%7."/>
      <w:lvlJc w:val="left"/>
      <w:pPr>
        <w:tabs>
          <w:tab w:val="num" w:pos="3240"/>
        </w:tabs>
        <w:ind w:left="3240" w:hanging="360"/>
      </w:pPr>
    </w:lvl>
    <w:lvl w:ilvl="7" w:tplc="FFFFFFFF" w:tentative="1">
      <w:start w:val="1"/>
      <w:numFmt w:val="lowerLetter"/>
      <w:lvlText w:val="%8."/>
      <w:lvlJc w:val="left"/>
      <w:pPr>
        <w:tabs>
          <w:tab w:val="num" w:pos="3960"/>
        </w:tabs>
        <w:ind w:left="3960" w:hanging="360"/>
      </w:pPr>
    </w:lvl>
    <w:lvl w:ilvl="8" w:tplc="FFFFFFFF" w:tentative="1">
      <w:start w:val="1"/>
      <w:numFmt w:val="lowerRoman"/>
      <w:lvlText w:val="%9."/>
      <w:lvlJc w:val="right"/>
      <w:pPr>
        <w:tabs>
          <w:tab w:val="num" w:pos="4680"/>
        </w:tabs>
        <w:ind w:left="4680" w:hanging="180"/>
      </w:pPr>
    </w:lvl>
  </w:abstractNum>
  <w:abstractNum w:abstractNumId="20" w15:restartNumberingAfterBreak="0">
    <w:nsid w:val="6FEC008B"/>
    <w:multiLevelType w:val="multilevel"/>
    <w:tmpl w:val="3FEC93E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110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8."/>
      <w:lvlJc w:val="left"/>
      <w:pPr>
        <w:ind w:left="284" w:hanging="284"/>
      </w:pPr>
      <w:rPr>
        <w:rFonts w:hint="default"/>
      </w:rPr>
    </w:lvl>
    <w:lvl w:ilvl="8">
      <w:start w:val="1"/>
      <w:numFmt w:val="decimal"/>
      <w:pStyle w:val="Heading9"/>
      <w:lvlText w:val="%1.%2.%3.%4.%5.%6.%7.%8.%9"/>
      <w:lvlJc w:val="left"/>
      <w:pPr>
        <w:ind w:left="1584" w:hanging="1584"/>
      </w:pPr>
    </w:lvl>
  </w:abstractNum>
  <w:abstractNum w:abstractNumId="21" w15:restartNumberingAfterBreak="0">
    <w:nsid w:val="74C56EE0"/>
    <w:multiLevelType w:val="hybridMultilevel"/>
    <w:tmpl w:val="9AB823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AD76C87"/>
    <w:multiLevelType w:val="multilevel"/>
    <w:tmpl w:val="A47800A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10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8."/>
      <w:lvlJc w:val="left"/>
      <w:pPr>
        <w:ind w:left="113" w:hanging="113"/>
      </w:pPr>
      <w:rPr>
        <w:rFonts w:hint="default"/>
      </w:rPr>
    </w:lvl>
    <w:lvl w:ilvl="8">
      <w:start w:val="1"/>
      <w:numFmt w:val="decimal"/>
      <w:lvlText w:val="%1.%2.%3.%4.%5.%6.%7.%8.%9"/>
      <w:lvlJc w:val="left"/>
      <w:pPr>
        <w:ind w:left="1584" w:hanging="1584"/>
      </w:pPr>
    </w:lvl>
  </w:abstractNum>
  <w:abstractNum w:abstractNumId="23" w15:restartNumberingAfterBreak="0">
    <w:nsid w:val="7E677DE6"/>
    <w:multiLevelType w:val="hybridMultilevel"/>
    <w:tmpl w:val="86F62F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20"/>
  </w:num>
  <w:num w:numId="3">
    <w:abstractNumId w:val="9"/>
  </w:num>
  <w:num w:numId="4">
    <w:abstractNumId w:val="8"/>
  </w:num>
  <w:num w:numId="5">
    <w:abstractNumId w:val="16"/>
  </w:num>
  <w:num w:numId="6">
    <w:abstractNumId w:val="1"/>
    <w:lvlOverride w:ilvl="0">
      <w:startOverride w:val="1"/>
    </w:lvlOverride>
    <w:lvlOverride w:ilvl="1"/>
    <w:lvlOverride w:ilvl="2"/>
    <w:lvlOverride w:ilvl="3"/>
    <w:lvlOverride w:ilvl="4"/>
    <w:lvlOverride w:ilvl="5"/>
    <w:lvlOverride w:ilvl="6"/>
    <w:lvlOverride w:ilvl="7"/>
    <w:lvlOverride w:ilvl="8"/>
  </w:num>
  <w:num w:numId="7">
    <w:abstractNumId w:val="6"/>
  </w:num>
  <w:num w:numId="8">
    <w:abstractNumId w:val="20"/>
  </w:num>
  <w:num w:numId="9">
    <w:abstractNumId w:val="5"/>
  </w:num>
  <w:num w:numId="10">
    <w:abstractNumId w:val="7"/>
  </w:num>
  <w:num w:numId="11">
    <w:abstractNumId w:val="19"/>
  </w:num>
  <w:num w:numId="12">
    <w:abstractNumId w:val="10"/>
  </w:num>
  <w:num w:numId="13">
    <w:abstractNumId w:val="3"/>
  </w:num>
  <w:num w:numId="14">
    <w:abstractNumId w:val="13"/>
  </w:num>
  <w:num w:numId="15">
    <w:abstractNumId w:val="20"/>
  </w:num>
  <w:num w:numId="16">
    <w:abstractNumId w:val="12"/>
  </w:num>
  <w:num w:numId="17">
    <w:abstractNumId w:val="20"/>
  </w:num>
  <w:num w:numId="18">
    <w:abstractNumId w:val="17"/>
  </w:num>
  <w:num w:numId="19">
    <w:abstractNumId w:val="18"/>
  </w:num>
  <w:num w:numId="20">
    <w:abstractNumId w:val="14"/>
  </w:num>
  <w:num w:numId="21">
    <w:abstractNumId w:val="0"/>
  </w:num>
  <w:num w:numId="22">
    <w:abstractNumId w:val="20"/>
  </w:num>
  <w:num w:numId="23">
    <w:abstractNumId w:val="21"/>
  </w:num>
  <w:num w:numId="24">
    <w:abstractNumId w:val="15"/>
  </w:num>
  <w:num w:numId="25">
    <w:abstractNumId w:val="11"/>
  </w:num>
  <w:num w:numId="26">
    <w:abstractNumId w:val="4"/>
  </w:num>
  <w:num w:numId="27">
    <w:abstractNumId w:val="20"/>
  </w:num>
  <w:num w:numId="28">
    <w:abstractNumId w:val="20"/>
  </w:num>
  <w:num w:numId="29">
    <w:abstractNumId w:val="20"/>
  </w:num>
  <w:num w:numId="30">
    <w:abstractNumId w:val="22"/>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928"/>
    <w:rsid w:val="00017C5C"/>
    <w:rsid w:val="00056DE1"/>
    <w:rsid w:val="000D4349"/>
    <w:rsid w:val="0011392F"/>
    <w:rsid w:val="00120222"/>
    <w:rsid w:val="00123DFA"/>
    <w:rsid w:val="00142AC5"/>
    <w:rsid w:val="00171EFB"/>
    <w:rsid w:val="001C3D72"/>
    <w:rsid w:val="001E0965"/>
    <w:rsid w:val="002144A6"/>
    <w:rsid w:val="00235C52"/>
    <w:rsid w:val="00247636"/>
    <w:rsid w:val="00247BC1"/>
    <w:rsid w:val="00262465"/>
    <w:rsid w:val="00284356"/>
    <w:rsid w:val="002D722F"/>
    <w:rsid w:val="003179E6"/>
    <w:rsid w:val="00340E1B"/>
    <w:rsid w:val="0036631E"/>
    <w:rsid w:val="00371551"/>
    <w:rsid w:val="00395DBC"/>
    <w:rsid w:val="003E0BCC"/>
    <w:rsid w:val="003F0BF9"/>
    <w:rsid w:val="0045490E"/>
    <w:rsid w:val="0045740C"/>
    <w:rsid w:val="004626D8"/>
    <w:rsid w:val="00487DFD"/>
    <w:rsid w:val="0049428C"/>
    <w:rsid w:val="004A6078"/>
    <w:rsid w:val="004C1009"/>
    <w:rsid w:val="004C5076"/>
    <w:rsid w:val="004D2F3C"/>
    <w:rsid w:val="004E3753"/>
    <w:rsid w:val="00505C87"/>
    <w:rsid w:val="00540595"/>
    <w:rsid w:val="00565AFE"/>
    <w:rsid w:val="00590FAA"/>
    <w:rsid w:val="005E0110"/>
    <w:rsid w:val="005E41C2"/>
    <w:rsid w:val="005E49FB"/>
    <w:rsid w:val="005E5AB4"/>
    <w:rsid w:val="00601D41"/>
    <w:rsid w:val="00610330"/>
    <w:rsid w:val="00612EF7"/>
    <w:rsid w:val="00615B2D"/>
    <w:rsid w:val="00625013"/>
    <w:rsid w:val="006254F7"/>
    <w:rsid w:val="00625BFF"/>
    <w:rsid w:val="00630554"/>
    <w:rsid w:val="00642E20"/>
    <w:rsid w:val="00697EFC"/>
    <w:rsid w:val="006B44E4"/>
    <w:rsid w:val="006C0623"/>
    <w:rsid w:val="006C4EF4"/>
    <w:rsid w:val="006C73FC"/>
    <w:rsid w:val="007003B7"/>
    <w:rsid w:val="0070523F"/>
    <w:rsid w:val="007323A4"/>
    <w:rsid w:val="00771D20"/>
    <w:rsid w:val="0079523F"/>
    <w:rsid w:val="00797F05"/>
    <w:rsid w:val="007A1BA4"/>
    <w:rsid w:val="007A5CA1"/>
    <w:rsid w:val="007E5456"/>
    <w:rsid w:val="007E668F"/>
    <w:rsid w:val="008126E2"/>
    <w:rsid w:val="00817ABD"/>
    <w:rsid w:val="0082174C"/>
    <w:rsid w:val="00826CD8"/>
    <w:rsid w:val="00845B9F"/>
    <w:rsid w:val="00851490"/>
    <w:rsid w:val="008B5E1D"/>
    <w:rsid w:val="008D2F0E"/>
    <w:rsid w:val="0092147F"/>
    <w:rsid w:val="00921E2B"/>
    <w:rsid w:val="00970795"/>
    <w:rsid w:val="009C3B08"/>
    <w:rsid w:val="009E0DAA"/>
    <w:rsid w:val="009E22BB"/>
    <w:rsid w:val="009E2F5F"/>
    <w:rsid w:val="00A150D0"/>
    <w:rsid w:val="00A22311"/>
    <w:rsid w:val="00A3460B"/>
    <w:rsid w:val="00A62B59"/>
    <w:rsid w:val="00A93328"/>
    <w:rsid w:val="00AA3D2D"/>
    <w:rsid w:val="00AA45E8"/>
    <w:rsid w:val="00AA7F41"/>
    <w:rsid w:val="00AB2754"/>
    <w:rsid w:val="00AC05B4"/>
    <w:rsid w:val="00AF352D"/>
    <w:rsid w:val="00AF3AE0"/>
    <w:rsid w:val="00B550A1"/>
    <w:rsid w:val="00B754A1"/>
    <w:rsid w:val="00BD3928"/>
    <w:rsid w:val="00BD49D9"/>
    <w:rsid w:val="00C11D40"/>
    <w:rsid w:val="00C76C18"/>
    <w:rsid w:val="00C85168"/>
    <w:rsid w:val="00CA745F"/>
    <w:rsid w:val="00D131CC"/>
    <w:rsid w:val="00D43E5C"/>
    <w:rsid w:val="00D70D5B"/>
    <w:rsid w:val="00DC4742"/>
    <w:rsid w:val="00E0316F"/>
    <w:rsid w:val="00E14A3A"/>
    <w:rsid w:val="00E75E54"/>
    <w:rsid w:val="00E839B1"/>
    <w:rsid w:val="00E9560C"/>
    <w:rsid w:val="00EB411F"/>
    <w:rsid w:val="00EB78AA"/>
    <w:rsid w:val="00EE0B26"/>
    <w:rsid w:val="00F338BE"/>
    <w:rsid w:val="00F45335"/>
    <w:rsid w:val="00F459A7"/>
    <w:rsid w:val="00F57C4F"/>
    <w:rsid w:val="00F91BB1"/>
    <w:rsid w:val="00FA08F0"/>
    <w:rsid w:val="00FC6472"/>
    <w:rsid w:val="00FE30AA"/>
    <w:rsid w:val="00FF10B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14:defaultImageDpi w14:val="300"/>
  <w15:docId w15:val="{6A8BFB61-29BC-9545-BC2F-2D3385996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3928"/>
    <w:rPr>
      <w:rFonts w:ascii="Times New Roman" w:eastAsia="Times New Roman" w:hAnsi="Times New Roman" w:cs="Times New Roman"/>
      <w:lang w:val="en-US" w:eastAsia="en-US"/>
    </w:rPr>
  </w:style>
  <w:style w:type="paragraph" w:styleId="Heading1">
    <w:name w:val="heading 1"/>
    <w:basedOn w:val="Normal"/>
    <w:next w:val="Normal"/>
    <w:link w:val="Heading1Char"/>
    <w:qFormat/>
    <w:rsid w:val="00BD3928"/>
    <w:pPr>
      <w:keepNext/>
      <w:numPr>
        <w:numId w:val="29"/>
      </w:numPr>
      <w:spacing w:before="240" w:after="60"/>
      <w:outlineLvl w:val="0"/>
    </w:pPr>
    <w:rPr>
      <w:b/>
      <w:bCs/>
      <w:smallCaps/>
      <w:kern w:val="32"/>
      <w:sz w:val="28"/>
      <w:szCs w:val="28"/>
    </w:rPr>
  </w:style>
  <w:style w:type="paragraph" w:styleId="Heading2">
    <w:name w:val="heading 2"/>
    <w:basedOn w:val="Normal"/>
    <w:next w:val="Normal"/>
    <w:link w:val="Heading2Char"/>
    <w:qFormat/>
    <w:rsid w:val="00BD3928"/>
    <w:pPr>
      <w:keepNext/>
      <w:numPr>
        <w:ilvl w:val="1"/>
        <w:numId w:val="29"/>
      </w:numPr>
      <w:autoSpaceDE w:val="0"/>
      <w:spacing w:before="240" w:after="60"/>
      <w:jc w:val="both"/>
      <w:outlineLvl w:val="1"/>
    </w:pPr>
    <w:rPr>
      <w:b/>
      <w:bCs/>
      <w:iCs/>
      <w:sz w:val="28"/>
      <w:szCs w:val="28"/>
    </w:rPr>
  </w:style>
  <w:style w:type="paragraph" w:styleId="Heading3">
    <w:name w:val="heading 3"/>
    <w:basedOn w:val="Normal"/>
    <w:next w:val="Normal"/>
    <w:link w:val="Heading3Char"/>
    <w:autoRedefine/>
    <w:qFormat/>
    <w:rsid w:val="00BD3928"/>
    <w:pPr>
      <w:keepNext/>
      <w:numPr>
        <w:ilvl w:val="2"/>
        <w:numId w:val="29"/>
      </w:numPr>
      <w:tabs>
        <w:tab w:val="left" w:pos="1320"/>
      </w:tabs>
      <w:autoSpaceDE w:val="0"/>
      <w:spacing w:before="240" w:after="60"/>
      <w:jc w:val="both"/>
      <w:outlineLvl w:val="2"/>
    </w:pPr>
    <w:rPr>
      <w:b/>
      <w:bCs/>
      <w:spacing w:val="4"/>
      <w:u w:color="000000"/>
      <w:lang w:val="it-IT" w:eastAsia="it-IT"/>
    </w:rPr>
  </w:style>
  <w:style w:type="paragraph" w:styleId="Heading4">
    <w:name w:val="heading 4"/>
    <w:basedOn w:val="Normal"/>
    <w:next w:val="Normal"/>
    <w:link w:val="Heading4Char"/>
    <w:autoRedefine/>
    <w:qFormat/>
    <w:rsid w:val="00BD3928"/>
    <w:pPr>
      <w:keepNext/>
      <w:numPr>
        <w:ilvl w:val="3"/>
        <w:numId w:val="29"/>
      </w:numPr>
      <w:spacing w:before="240" w:after="60"/>
      <w:outlineLvl w:val="3"/>
    </w:pPr>
    <w:rPr>
      <w:b/>
      <w:bCs/>
      <w:szCs w:val="28"/>
    </w:rPr>
  </w:style>
  <w:style w:type="paragraph" w:styleId="Heading5">
    <w:name w:val="heading 5"/>
    <w:basedOn w:val="Normal"/>
    <w:next w:val="Normal"/>
    <w:link w:val="Heading5Char"/>
    <w:qFormat/>
    <w:rsid w:val="00BD3928"/>
    <w:pPr>
      <w:numPr>
        <w:ilvl w:val="4"/>
        <w:numId w:val="29"/>
      </w:numPr>
      <w:spacing w:before="240" w:after="60"/>
      <w:outlineLvl w:val="4"/>
    </w:pPr>
    <w:rPr>
      <w:b/>
      <w:bCs/>
      <w:i/>
      <w:iCs/>
      <w:sz w:val="26"/>
      <w:szCs w:val="26"/>
    </w:rPr>
  </w:style>
  <w:style w:type="paragraph" w:styleId="Heading6">
    <w:name w:val="heading 6"/>
    <w:basedOn w:val="Normal"/>
    <w:next w:val="Normal"/>
    <w:link w:val="Heading6Char"/>
    <w:qFormat/>
    <w:rsid w:val="00BD3928"/>
    <w:pPr>
      <w:numPr>
        <w:ilvl w:val="5"/>
        <w:numId w:val="29"/>
      </w:numPr>
      <w:spacing w:before="240" w:after="60"/>
      <w:outlineLvl w:val="5"/>
    </w:pPr>
    <w:rPr>
      <w:b/>
      <w:bCs/>
      <w:sz w:val="22"/>
      <w:szCs w:val="22"/>
    </w:rPr>
  </w:style>
  <w:style w:type="paragraph" w:styleId="Heading7">
    <w:name w:val="heading 7"/>
    <w:basedOn w:val="Normal"/>
    <w:next w:val="Normal"/>
    <w:link w:val="Heading7Char"/>
    <w:qFormat/>
    <w:rsid w:val="00BD3928"/>
    <w:pPr>
      <w:numPr>
        <w:ilvl w:val="6"/>
        <w:numId w:val="29"/>
      </w:numPr>
      <w:spacing w:before="240" w:after="60"/>
      <w:outlineLvl w:val="6"/>
    </w:pPr>
  </w:style>
  <w:style w:type="paragraph" w:styleId="Heading8">
    <w:name w:val="heading 8"/>
    <w:basedOn w:val="Normal"/>
    <w:next w:val="Normal"/>
    <w:link w:val="Heading8Char"/>
    <w:qFormat/>
    <w:rsid w:val="00BD3928"/>
    <w:pPr>
      <w:spacing w:before="240" w:after="60"/>
      <w:outlineLvl w:val="7"/>
    </w:pPr>
    <w:rPr>
      <w:i/>
      <w:iCs/>
    </w:rPr>
  </w:style>
  <w:style w:type="paragraph" w:styleId="Heading9">
    <w:name w:val="heading 9"/>
    <w:basedOn w:val="Normal"/>
    <w:next w:val="Normal"/>
    <w:link w:val="Heading9Char"/>
    <w:qFormat/>
    <w:rsid w:val="00BD3928"/>
    <w:pPr>
      <w:numPr>
        <w:ilvl w:val="8"/>
        <w:numId w:val="29"/>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3928"/>
    <w:rPr>
      <w:rFonts w:ascii="Times New Roman" w:eastAsia="Times New Roman" w:hAnsi="Times New Roman" w:cs="Times New Roman"/>
      <w:b/>
      <w:bCs/>
      <w:smallCaps/>
      <w:kern w:val="32"/>
      <w:sz w:val="28"/>
      <w:szCs w:val="28"/>
      <w:lang w:val="en-US" w:eastAsia="en-US"/>
    </w:rPr>
  </w:style>
  <w:style w:type="character" w:customStyle="1" w:styleId="Heading2Char">
    <w:name w:val="Heading 2 Char"/>
    <w:basedOn w:val="DefaultParagraphFont"/>
    <w:link w:val="Heading2"/>
    <w:rsid w:val="00BD3928"/>
    <w:rPr>
      <w:rFonts w:ascii="Times New Roman" w:eastAsia="Times New Roman" w:hAnsi="Times New Roman" w:cs="Times New Roman"/>
      <w:b/>
      <w:bCs/>
      <w:iCs/>
      <w:sz w:val="28"/>
      <w:szCs w:val="28"/>
      <w:lang w:val="en-US" w:eastAsia="en-US"/>
    </w:rPr>
  </w:style>
  <w:style w:type="character" w:customStyle="1" w:styleId="Heading3Char">
    <w:name w:val="Heading 3 Char"/>
    <w:basedOn w:val="DefaultParagraphFont"/>
    <w:link w:val="Heading3"/>
    <w:rsid w:val="00BD3928"/>
    <w:rPr>
      <w:rFonts w:ascii="Times New Roman" w:eastAsia="Times New Roman" w:hAnsi="Times New Roman" w:cs="Times New Roman"/>
      <w:b/>
      <w:bCs/>
      <w:spacing w:val="4"/>
      <w:u w:color="000000"/>
    </w:rPr>
  </w:style>
  <w:style w:type="character" w:customStyle="1" w:styleId="Heading4Char">
    <w:name w:val="Heading 4 Char"/>
    <w:basedOn w:val="DefaultParagraphFont"/>
    <w:link w:val="Heading4"/>
    <w:rsid w:val="00BD3928"/>
    <w:rPr>
      <w:rFonts w:ascii="Times New Roman" w:eastAsia="Times New Roman" w:hAnsi="Times New Roman" w:cs="Times New Roman"/>
      <w:b/>
      <w:bCs/>
      <w:szCs w:val="28"/>
      <w:lang w:val="en-US" w:eastAsia="en-US"/>
    </w:rPr>
  </w:style>
  <w:style w:type="character" w:customStyle="1" w:styleId="Heading5Char">
    <w:name w:val="Heading 5 Char"/>
    <w:basedOn w:val="DefaultParagraphFont"/>
    <w:link w:val="Heading5"/>
    <w:rsid w:val="00BD3928"/>
    <w:rPr>
      <w:rFonts w:ascii="Times New Roman" w:eastAsia="Times New Roman" w:hAnsi="Times New Roman" w:cs="Times New Roman"/>
      <w:b/>
      <w:bCs/>
      <w:i/>
      <w:iCs/>
      <w:sz w:val="26"/>
      <w:szCs w:val="26"/>
      <w:lang w:val="en-US" w:eastAsia="en-US"/>
    </w:rPr>
  </w:style>
  <w:style w:type="character" w:customStyle="1" w:styleId="Heading6Char">
    <w:name w:val="Heading 6 Char"/>
    <w:basedOn w:val="DefaultParagraphFont"/>
    <w:link w:val="Heading6"/>
    <w:rsid w:val="00BD3928"/>
    <w:rPr>
      <w:rFonts w:ascii="Times New Roman" w:eastAsia="Times New Roman" w:hAnsi="Times New Roman" w:cs="Times New Roman"/>
      <w:b/>
      <w:bCs/>
      <w:sz w:val="22"/>
      <w:szCs w:val="22"/>
      <w:lang w:val="en-US" w:eastAsia="en-US"/>
    </w:rPr>
  </w:style>
  <w:style w:type="character" w:customStyle="1" w:styleId="Heading7Char">
    <w:name w:val="Heading 7 Char"/>
    <w:basedOn w:val="DefaultParagraphFont"/>
    <w:link w:val="Heading7"/>
    <w:rsid w:val="00BD3928"/>
    <w:rPr>
      <w:rFonts w:ascii="Times New Roman" w:eastAsia="Times New Roman" w:hAnsi="Times New Roman" w:cs="Times New Roman"/>
      <w:lang w:val="en-US" w:eastAsia="en-US"/>
    </w:rPr>
  </w:style>
  <w:style w:type="character" w:customStyle="1" w:styleId="Heading8Char">
    <w:name w:val="Heading 8 Char"/>
    <w:basedOn w:val="DefaultParagraphFont"/>
    <w:link w:val="Heading8"/>
    <w:rsid w:val="00BD3928"/>
    <w:rPr>
      <w:rFonts w:ascii="Times New Roman" w:eastAsia="Times New Roman" w:hAnsi="Times New Roman" w:cs="Times New Roman"/>
      <w:i/>
      <w:iCs/>
      <w:lang w:val="en-US" w:eastAsia="en-US"/>
    </w:rPr>
  </w:style>
  <w:style w:type="character" w:customStyle="1" w:styleId="Heading9Char">
    <w:name w:val="Heading 9 Char"/>
    <w:basedOn w:val="DefaultParagraphFont"/>
    <w:link w:val="Heading9"/>
    <w:rsid w:val="00BD3928"/>
    <w:rPr>
      <w:rFonts w:ascii="Arial" w:eastAsia="Times New Roman" w:hAnsi="Arial" w:cs="Arial"/>
      <w:sz w:val="22"/>
      <w:szCs w:val="22"/>
      <w:lang w:val="en-US" w:eastAsia="en-US"/>
    </w:rPr>
  </w:style>
  <w:style w:type="paragraph" w:styleId="Header">
    <w:name w:val="header"/>
    <w:basedOn w:val="Normal"/>
    <w:link w:val="HeaderChar"/>
    <w:rsid w:val="00BD3928"/>
    <w:pPr>
      <w:tabs>
        <w:tab w:val="center" w:pos="4320"/>
        <w:tab w:val="right" w:pos="8640"/>
      </w:tabs>
    </w:pPr>
  </w:style>
  <w:style w:type="character" w:customStyle="1" w:styleId="HeaderChar">
    <w:name w:val="Header Char"/>
    <w:basedOn w:val="DefaultParagraphFont"/>
    <w:link w:val="Header"/>
    <w:rsid w:val="00BD3928"/>
    <w:rPr>
      <w:rFonts w:ascii="Times New Roman" w:eastAsia="Times New Roman" w:hAnsi="Times New Roman" w:cs="Times New Roman"/>
      <w:lang w:val="en-US" w:eastAsia="en-US"/>
    </w:rPr>
  </w:style>
  <w:style w:type="paragraph" w:styleId="BodyText">
    <w:name w:val="Body Text"/>
    <w:basedOn w:val="Normal"/>
    <w:link w:val="BodyTextChar"/>
    <w:rsid w:val="00BD3928"/>
    <w:pPr>
      <w:keepLines/>
      <w:widowControl w:val="0"/>
      <w:spacing w:before="100" w:after="100" w:line="240" w:lineRule="exact"/>
      <w:jc w:val="center"/>
    </w:pPr>
    <w:rPr>
      <w:rFonts w:ascii="Arial" w:hAnsi="Arial"/>
      <w:sz w:val="22"/>
      <w:szCs w:val="20"/>
    </w:rPr>
  </w:style>
  <w:style w:type="character" w:customStyle="1" w:styleId="BodyTextChar">
    <w:name w:val="Body Text Char"/>
    <w:basedOn w:val="DefaultParagraphFont"/>
    <w:link w:val="BodyText"/>
    <w:rsid w:val="00BD3928"/>
    <w:rPr>
      <w:rFonts w:ascii="Arial" w:eastAsia="Times New Roman" w:hAnsi="Arial" w:cs="Times New Roman"/>
      <w:sz w:val="22"/>
      <w:szCs w:val="20"/>
      <w:lang w:val="en-US" w:eastAsia="en-US"/>
    </w:rPr>
  </w:style>
  <w:style w:type="paragraph" w:customStyle="1" w:styleId="AppTitle">
    <w:name w:val="App Title"/>
    <w:basedOn w:val="Normal"/>
    <w:rsid w:val="00BD3928"/>
    <w:pPr>
      <w:spacing w:line="360" w:lineRule="auto"/>
      <w:jc w:val="center"/>
    </w:pPr>
    <w:rPr>
      <w:b/>
      <w:szCs w:val="20"/>
    </w:rPr>
  </w:style>
  <w:style w:type="character" w:customStyle="1" w:styleId="BodyTextCharChar">
    <w:name w:val="Body Text Char Char"/>
    <w:rsid w:val="00BD3928"/>
    <w:rPr>
      <w:sz w:val="24"/>
      <w:szCs w:val="24"/>
      <w:lang w:val="en-US" w:eastAsia="en-US" w:bidi="ar-SA"/>
    </w:rPr>
  </w:style>
  <w:style w:type="paragraph" w:styleId="ListParagraph">
    <w:name w:val="List Paragraph"/>
    <w:basedOn w:val="Normal"/>
    <w:uiPriority w:val="34"/>
    <w:qFormat/>
    <w:rsid w:val="001E0965"/>
    <w:pPr>
      <w:ind w:left="720"/>
      <w:contextualSpacing/>
    </w:pPr>
  </w:style>
  <w:style w:type="character" w:styleId="EndnoteReference">
    <w:name w:val="endnote reference"/>
    <w:rsid w:val="00F459A7"/>
    <w:rPr>
      <w:vertAlign w:val="superscript"/>
    </w:rPr>
  </w:style>
  <w:style w:type="paragraph" w:styleId="EndnoteText">
    <w:name w:val="endnote text"/>
    <w:basedOn w:val="Normal"/>
    <w:link w:val="EndnoteTextChar"/>
    <w:rsid w:val="00F459A7"/>
    <w:rPr>
      <w:rFonts w:ascii="Trebuchet MS" w:hAnsi="Trebuchet MS"/>
      <w:color w:val="000000"/>
      <w:sz w:val="20"/>
      <w:szCs w:val="20"/>
    </w:rPr>
  </w:style>
  <w:style w:type="character" w:customStyle="1" w:styleId="EndnoteTextChar">
    <w:name w:val="Endnote Text Char"/>
    <w:basedOn w:val="DefaultParagraphFont"/>
    <w:link w:val="EndnoteText"/>
    <w:rsid w:val="00F459A7"/>
    <w:rPr>
      <w:rFonts w:ascii="Trebuchet MS" w:eastAsia="Times New Roman" w:hAnsi="Trebuchet MS" w:cs="Times New Roman"/>
      <w:color w:val="000000"/>
      <w:sz w:val="20"/>
      <w:szCs w:val="20"/>
      <w:lang w:val="en-US" w:eastAsia="en-US"/>
    </w:rPr>
  </w:style>
  <w:style w:type="character" w:styleId="Emphasis">
    <w:name w:val="Emphasis"/>
    <w:qFormat/>
    <w:rsid w:val="00F459A7"/>
    <w:rPr>
      <w:i/>
      <w:iCs/>
    </w:rPr>
  </w:style>
  <w:style w:type="paragraph" w:customStyle="1" w:styleId="EntryTextTi9">
    <w:name w:val="EntryText:Ti9"/>
    <w:basedOn w:val="Normal"/>
    <w:rsid w:val="00F459A7"/>
    <w:pPr>
      <w:spacing w:before="40" w:after="40"/>
    </w:pPr>
    <w:rPr>
      <w:sz w:val="18"/>
      <w:szCs w:val="20"/>
    </w:rPr>
  </w:style>
  <w:style w:type="paragraph" w:customStyle="1" w:styleId="norm">
    <w:name w:val="norm"/>
    <w:basedOn w:val="Normal"/>
    <w:rsid w:val="00F459A7"/>
    <w:pPr>
      <w:spacing w:before="100" w:beforeAutospacing="1" w:after="100" w:afterAutospacing="1"/>
    </w:pPr>
  </w:style>
  <w:style w:type="character" w:customStyle="1" w:styleId="journal">
    <w:name w:val="journal"/>
    <w:basedOn w:val="DefaultParagraphFont"/>
    <w:rsid w:val="00F459A7"/>
  </w:style>
  <w:style w:type="character" w:customStyle="1" w:styleId="jnumber">
    <w:name w:val="jnumber"/>
    <w:basedOn w:val="DefaultParagraphFont"/>
    <w:rsid w:val="00F459A7"/>
  </w:style>
  <w:style w:type="paragraph" w:styleId="BalloonText">
    <w:name w:val="Balloon Text"/>
    <w:basedOn w:val="Normal"/>
    <w:link w:val="BalloonTextChar"/>
    <w:uiPriority w:val="99"/>
    <w:semiHidden/>
    <w:unhideWhenUsed/>
    <w:rsid w:val="00F459A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459A7"/>
    <w:rPr>
      <w:rFonts w:ascii="Lucida Grande" w:eastAsia="Times New Roman" w:hAnsi="Lucida Grande" w:cs="Lucida Grande"/>
      <w:sz w:val="18"/>
      <w:szCs w:val="18"/>
      <w:lang w:val="en-US" w:eastAsia="en-US"/>
    </w:rPr>
  </w:style>
  <w:style w:type="character" w:styleId="CommentReference">
    <w:name w:val="annotation reference"/>
    <w:uiPriority w:val="99"/>
    <w:semiHidden/>
    <w:unhideWhenUsed/>
    <w:rsid w:val="00F459A7"/>
    <w:rPr>
      <w:sz w:val="18"/>
      <w:szCs w:val="18"/>
    </w:rPr>
  </w:style>
  <w:style w:type="paragraph" w:styleId="CommentText">
    <w:name w:val="annotation text"/>
    <w:basedOn w:val="Normal"/>
    <w:link w:val="CommentTextChar"/>
    <w:uiPriority w:val="99"/>
    <w:semiHidden/>
    <w:unhideWhenUsed/>
    <w:rsid w:val="00F459A7"/>
    <w:pPr>
      <w:suppressAutoHyphens/>
      <w:spacing w:after="200" w:line="276" w:lineRule="auto"/>
    </w:pPr>
    <w:rPr>
      <w:rFonts w:ascii="Calibri" w:hAnsi="Calibri"/>
      <w:noProof/>
      <w:kern w:val="1"/>
      <w:lang w:val="it-IT" w:eastAsia="it-IT"/>
    </w:rPr>
  </w:style>
  <w:style w:type="character" w:customStyle="1" w:styleId="TestocommentoCarattere">
    <w:name w:val="Testo commento Carattere"/>
    <w:basedOn w:val="DefaultParagraphFont"/>
    <w:uiPriority w:val="99"/>
    <w:semiHidden/>
    <w:rsid w:val="00F459A7"/>
    <w:rPr>
      <w:rFonts w:ascii="Times New Roman" w:eastAsia="Times New Roman" w:hAnsi="Times New Roman" w:cs="Times New Roman"/>
      <w:lang w:val="en-US" w:eastAsia="en-US"/>
    </w:rPr>
  </w:style>
  <w:style w:type="character" w:customStyle="1" w:styleId="CommentTextChar">
    <w:name w:val="Comment Text Char"/>
    <w:link w:val="CommentText"/>
    <w:uiPriority w:val="99"/>
    <w:semiHidden/>
    <w:rsid w:val="00F459A7"/>
    <w:rPr>
      <w:rFonts w:ascii="Calibri" w:eastAsia="Times New Roman" w:hAnsi="Calibri" w:cs="Times New Roman"/>
      <w:noProof/>
      <w:kern w:val="1"/>
    </w:rPr>
  </w:style>
  <w:style w:type="paragraph" w:styleId="CommentSubject">
    <w:name w:val="annotation subject"/>
    <w:basedOn w:val="CommentText"/>
    <w:next w:val="CommentText"/>
    <w:link w:val="CommentSubjectChar"/>
    <w:uiPriority w:val="99"/>
    <w:semiHidden/>
    <w:unhideWhenUsed/>
    <w:rsid w:val="00A22311"/>
    <w:pPr>
      <w:suppressAutoHyphens w:val="0"/>
      <w:spacing w:after="0" w:line="240" w:lineRule="auto"/>
    </w:pPr>
    <w:rPr>
      <w:rFonts w:ascii="Times New Roman" w:hAnsi="Times New Roman"/>
      <w:b/>
      <w:bCs/>
      <w:noProof w:val="0"/>
      <w:kern w:val="0"/>
      <w:sz w:val="20"/>
      <w:szCs w:val="20"/>
      <w:lang w:val="en-US" w:eastAsia="en-US"/>
    </w:rPr>
  </w:style>
  <w:style w:type="character" w:customStyle="1" w:styleId="CommentSubjectChar">
    <w:name w:val="Comment Subject Char"/>
    <w:basedOn w:val="CommentTextChar"/>
    <w:link w:val="CommentSubject"/>
    <w:uiPriority w:val="99"/>
    <w:semiHidden/>
    <w:rsid w:val="00A22311"/>
    <w:rPr>
      <w:rFonts w:ascii="Times New Roman" w:eastAsia="Times New Roman" w:hAnsi="Times New Roman" w:cs="Times New Roman"/>
      <w:b/>
      <w:bCs/>
      <w:noProof/>
      <w:kern w:val="1"/>
      <w:sz w:val="20"/>
      <w:szCs w:val="20"/>
      <w:lang w:val="en-US" w:eastAsia="en-US"/>
    </w:rPr>
  </w:style>
  <w:style w:type="paragraph" w:customStyle="1" w:styleId="Default">
    <w:name w:val="Default"/>
    <w:link w:val="DefaultChar"/>
    <w:rsid w:val="00817ABD"/>
    <w:pPr>
      <w:jc w:val="both"/>
    </w:pPr>
    <w:rPr>
      <w:rFonts w:ascii="Times New Roman" w:eastAsia="Arial" w:hAnsi="Times New Roman" w:cs="Times New Roman"/>
      <w:color w:val="000000"/>
      <w:szCs w:val="23"/>
      <w:u w:color="000000"/>
      <w:lang w:val="en-US" w:eastAsia="en-GB"/>
    </w:rPr>
  </w:style>
  <w:style w:type="character" w:customStyle="1" w:styleId="DefaultChar">
    <w:name w:val="Default Char"/>
    <w:link w:val="Default"/>
    <w:rsid w:val="00817ABD"/>
    <w:rPr>
      <w:rFonts w:ascii="Times New Roman" w:eastAsia="Arial" w:hAnsi="Times New Roman" w:cs="Times New Roman"/>
      <w:color w:val="000000"/>
      <w:szCs w:val="23"/>
      <w:u w:color="000000"/>
      <w:lang w:val="en-US" w:eastAsia="en-GB"/>
    </w:rPr>
  </w:style>
  <w:style w:type="paragraph" w:customStyle="1" w:styleId="Bullet1">
    <w:name w:val="Bullet1"/>
    <w:basedOn w:val="Normal"/>
    <w:rsid w:val="00817ABD"/>
    <w:pPr>
      <w:numPr>
        <w:numId w:val="19"/>
      </w:numPr>
    </w:pPr>
    <w:rPr>
      <w:sz w:val="20"/>
      <w:szCs w:val="20"/>
    </w:rPr>
  </w:style>
  <w:style w:type="paragraph" w:customStyle="1" w:styleId="bullettext1">
    <w:name w:val="bullettext1"/>
    <w:basedOn w:val="Normal"/>
    <w:autoRedefine/>
    <w:rsid w:val="00817ABD"/>
    <w:rPr>
      <w:color w:val="000000"/>
    </w:rPr>
  </w:style>
  <w:style w:type="paragraph" w:customStyle="1" w:styleId="Paragraph">
    <w:name w:val="Paragraph"/>
    <w:link w:val="ParagraphChar"/>
    <w:rsid w:val="00817ABD"/>
    <w:pPr>
      <w:spacing w:after="240"/>
    </w:pPr>
    <w:rPr>
      <w:rFonts w:ascii="Arial" w:eastAsia="Times New Roman" w:hAnsi="Arial" w:cs="Times New Roman"/>
      <w:lang w:val="en-US" w:eastAsia="en-US"/>
    </w:rPr>
  </w:style>
  <w:style w:type="character" w:customStyle="1" w:styleId="ParagraphChar">
    <w:name w:val="Paragraph Char"/>
    <w:link w:val="Paragraph"/>
    <w:rsid w:val="00817ABD"/>
    <w:rPr>
      <w:rFonts w:ascii="Arial" w:eastAsia="Times New Roman" w:hAnsi="Arial" w:cs="Times New Roman"/>
      <w:lang w:val="en-US" w:eastAsia="en-US"/>
    </w:rPr>
  </w:style>
  <w:style w:type="paragraph" w:styleId="Footer">
    <w:name w:val="footer"/>
    <w:basedOn w:val="Normal"/>
    <w:link w:val="FooterChar"/>
    <w:uiPriority w:val="99"/>
    <w:unhideWhenUsed/>
    <w:rsid w:val="009E2F5F"/>
    <w:pPr>
      <w:tabs>
        <w:tab w:val="center" w:pos="4819"/>
        <w:tab w:val="right" w:pos="9638"/>
      </w:tabs>
    </w:pPr>
  </w:style>
  <w:style w:type="character" w:customStyle="1" w:styleId="FooterChar">
    <w:name w:val="Footer Char"/>
    <w:basedOn w:val="DefaultParagraphFont"/>
    <w:link w:val="Footer"/>
    <w:uiPriority w:val="99"/>
    <w:rsid w:val="009E2F5F"/>
    <w:rPr>
      <w:rFonts w:ascii="Times New Roman" w:eastAsia="Times New Roman" w:hAnsi="Times New Roman" w:cs="Times New Roman"/>
      <w:lang w:val="en-US" w:eastAsia="en-US"/>
    </w:rPr>
  </w:style>
  <w:style w:type="paragraph" w:styleId="DocumentMap">
    <w:name w:val="Document Map"/>
    <w:basedOn w:val="Normal"/>
    <w:link w:val="DocumentMapChar"/>
    <w:uiPriority w:val="99"/>
    <w:semiHidden/>
    <w:unhideWhenUsed/>
    <w:rsid w:val="00AA7F41"/>
    <w:rPr>
      <w:rFonts w:ascii="Lucida Grande" w:hAnsi="Lucida Grande" w:cs="Lucida Grande"/>
    </w:rPr>
  </w:style>
  <w:style w:type="character" w:customStyle="1" w:styleId="DocumentMapChar">
    <w:name w:val="Document Map Char"/>
    <w:basedOn w:val="DefaultParagraphFont"/>
    <w:link w:val="DocumentMap"/>
    <w:uiPriority w:val="99"/>
    <w:semiHidden/>
    <w:rsid w:val="00AA7F41"/>
    <w:rPr>
      <w:rFonts w:ascii="Lucida Grande" w:eastAsia="Times New Roman" w:hAnsi="Lucida Grande" w:cs="Lucida Grande"/>
      <w:lang w:val="en-US" w:eastAsia="en-US"/>
    </w:rPr>
  </w:style>
  <w:style w:type="character" w:customStyle="1" w:styleId="apple-converted-space">
    <w:name w:val="apple-converted-space"/>
    <w:basedOn w:val="DefaultParagraphFont"/>
    <w:rsid w:val="00487DFD"/>
  </w:style>
  <w:style w:type="character" w:customStyle="1" w:styleId="highlight">
    <w:name w:val="highlight"/>
    <w:basedOn w:val="DefaultParagraphFont"/>
    <w:rsid w:val="00487DFD"/>
  </w:style>
  <w:style w:type="character" w:customStyle="1" w:styleId="shorttext">
    <w:name w:val="short_text"/>
    <w:basedOn w:val="DefaultParagraphFont"/>
    <w:rsid w:val="00FF10BF"/>
  </w:style>
  <w:style w:type="paragraph" w:styleId="Revision">
    <w:name w:val="Revision"/>
    <w:hidden/>
    <w:uiPriority w:val="99"/>
    <w:semiHidden/>
    <w:rsid w:val="00247BC1"/>
    <w:rPr>
      <w:rFonts w:ascii="Times New Roman" w:eastAsia="Times New Roman" w:hAnsi="Times New Roman" w:cs="Times New Roman"/>
      <w:lang w:val="en-US" w:eastAsia="en-US"/>
    </w:rPr>
  </w:style>
  <w:style w:type="character" w:styleId="Hyperlink">
    <w:name w:val="Hyperlink"/>
    <w:basedOn w:val="DefaultParagraphFont"/>
    <w:uiPriority w:val="99"/>
    <w:unhideWhenUsed/>
    <w:rsid w:val="007952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11957-D5F1-40B1-9511-27B099CDF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30</Pages>
  <Words>6893</Words>
  <Characters>39295</Characters>
  <Application>Microsoft Office Word</Application>
  <DocSecurity>0</DocSecurity>
  <Lines>327</Lines>
  <Paragraphs>92</Paragraphs>
  <ScaleCrop>false</ScaleCrop>
  <HeadingPairs>
    <vt:vector size="2" baseType="variant">
      <vt:variant>
        <vt:lpstr>Titolo</vt:lpstr>
      </vt:variant>
      <vt:variant>
        <vt:i4>1</vt:i4>
      </vt:variant>
    </vt:vector>
  </HeadingPairs>
  <TitlesOfParts>
    <vt:vector size="1" baseType="lpstr">
      <vt:lpstr/>
    </vt:vector>
  </TitlesOfParts>
  <Company>Ospedale San Raffaele</Company>
  <LinksUpToDate>false</LinksUpToDate>
  <CharactersWithSpaces>46096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Benatti</dc:creator>
  <cp:lastModifiedBy>Shyam Sundar W.</cp:lastModifiedBy>
  <cp:revision>9</cp:revision>
  <dcterms:created xsi:type="dcterms:W3CDTF">2016-09-29T14:31:00Z</dcterms:created>
  <dcterms:modified xsi:type="dcterms:W3CDTF">2021-01-13T03:48:00Z</dcterms:modified>
</cp:coreProperties>
</file>