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3796B" w14:textId="77777777" w:rsidR="003967E4" w:rsidRPr="003967E4" w:rsidRDefault="003967E4" w:rsidP="003967E4">
      <w:r w:rsidRPr="003967E4">
        <w:rPr>
          <w:b/>
          <w:bCs/>
        </w:rPr>
        <w:t xml:space="preserve">Involvement of the miR156/SPL module in flooding response in </w:t>
      </w:r>
      <w:r w:rsidRPr="003967E4">
        <w:rPr>
          <w:b/>
          <w:bCs/>
          <w:i/>
          <w:iCs/>
        </w:rPr>
        <w:t xml:space="preserve">Medicago sativa </w:t>
      </w:r>
    </w:p>
    <w:p w14:paraId="1715E008" w14:textId="172340DE" w:rsidR="003967E4" w:rsidRPr="003967E4" w:rsidRDefault="003967E4" w:rsidP="003967E4">
      <w:r w:rsidRPr="003967E4">
        <w:t>Biruk A. Feyissa</w:t>
      </w:r>
      <w:r w:rsidRPr="003967E4">
        <w:rPr>
          <w:vertAlign w:val="superscript"/>
        </w:rPr>
        <w:t>1,2</w:t>
      </w:r>
      <w:r w:rsidRPr="003967E4">
        <w:t>, Lisa Amyot</w:t>
      </w:r>
      <w:r w:rsidRPr="003967E4">
        <w:rPr>
          <w:vertAlign w:val="superscript"/>
        </w:rPr>
        <w:t>1</w:t>
      </w:r>
      <w:r w:rsidRPr="003967E4">
        <w:t xml:space="preserve">, </w:t>
      </w:r>
      <w:r w:rsidR="0031566A">
        <w:t>Vida Nasrol</w:t>
      </w:r>
      <w:r w:rsidR="006728F5">
        <w:t>l</w:t>
      </w:r>
      <w:r w:rsidR="0031566A">
        <w:t>ahi</w:t>
      </w:r>
      <w:r w:rsidR="006728F5">
        <w:rPr>
          <w:vertAlign w:val="superscript"/>
        </w:rPr>
        <w:t>1,</w:t>
      </w:r>
      <w:r w:rsidR="006728F5" w:rsidRPr="006728F5">
        <w:rPr>
          <w:vertAlign w:val="superscript"/>
        </w:rPr>
        <w:t>2</w:t>
      </w:r>
      <w:r w:rsidR="006728F5">
        <w:t xml:space="preserve">, </w:t>
      </w:r>
      <w:r w:rsidRPr="006728F5">
        <w:t>Yousef</w:t>
      </w:r>
      <w:r w:rsidRPr="003967E4">
        <w:t xml:space="preserve"> Papadopoulos</w:t>
      </w:r>
      <w:r w:rsidRPr="003967E4">
        <w:rPr>
          <w:vertAlign w:val="superscript"/>
        </w:rPr>
        <w:t>3</w:t>
      </w:r>
      <w:r w:rsidRPr="003967E4">
        <w:t>, Susanne E. Kohalmi</w:t>
      </w:r>
      <w:r w:rsidRPr="003967E4">
        <w:rPr>
          <w:vertAlign w:val="superscript"/>
        </w:rPr>
        <w:t>2</w:t>
      </w:r>
      <w:r w:rsidRPr="003967E4">
        <w:t xml:space="preserve">, </w:t>
      </w:r>
      <w:proofErr w:type="spellStart"/>
      <w:r w:rsidRPr="003967E4">
        <w:t>Abdelali</w:t>
      </w:r>
      <w:proofErr w:type="spellEnd"/>
      <w:r w:rsidRPr="003967E4">
        <w:t xml:space="preserve"> Hannoufa</w:t>
      </w:r>
      <w:r w:rsidRPr="003967E4">
        <w:rPr>
          <w:vertAlign w:val="superscript"/>
        </w:rPr>
        <w:t>1,</w:t>
      </w:r>
      <w:proofErr w:type="gramStart"/>
      <w:r w:rsidRPr="003967E4">
        <w:rPr>
          <w:vertAlign w:val="superscript"/>
        </w:rPr>
        <w:t>2,*</w:t>
      </w:r>
      <w:proofErr w:type="gramEnd"/>
    </w:p>
    <w:p w14:paraId="3D40446F" w14:textId="77777777" w:rsidR="003967E4" w:rsidRPr="003967E4" w:rsidRDefault="003967E4" w:rsidP="003967E4">
      <w:r w:rsidRPr="003967E4">
        <w:rPr>
          <w:b/>
          <w:bCs/>
          <w:vertAlign w:val="superscript"/>
        </w:rPr>
        <w:t>1</w:t>
      </w:r>
      <w:r w:rsidRPr="003967E4">
        <w:rPr>
          <w:b/>
          <w:bCs/>
        </w:rPr>
        <w:t xml:space="preserve"> </w:t>
      </w:r>
      <w:r w:rsidRPr="003967E4">
        <w:t>Agriculture and Agri-Food Canada, 1391 San</w:t>
      </w:r>
      <w:bookmarkStart w:id="0" w:name="_GoBack"/>
      <w:bookmarkEnd w:id="0"/>
      <w:r w:rsidRPr="003967E4">
        <w:t>dford Street, London, Ontario, N5V 4T3, Canada</w:t>
      </w:r>
    </w:p>
    <w:p w14:paraId="658E32A2" w14:textId="77777777" w:rsidR="003967E4" w:rsidRPr="003967E4" w:rsidRDefault="003967E4" w:rsidP="003967E4">
      <w:r w:rsidRPr="003967E4">
        <w:rPr>
          <w:b/>
          <w:bCs/>
          <w:vertAlign w:val="superscript"/>
        </w:rPr>
        <w:t>2</w:t>
      </w:r>
      <w:r w:rsidRPr="003967E4">
        <w:rPr>
          <w:b/>
          <w:bCs/>
        </w:rPr>
        <w:t xml:space="preserve"> </w:t>
      </w:r>
      <w:r w:rsidRPr="003967E4">
        <w:t>Department of Biology, University of Western Ontario, 1151 Richmond Street, London, Ontario, N6A5B7, Canada</w:t>
      </w:r>
    </w:p>
    <w:p w14:paraId="1B3968AA" w14:textId="77777777" w:rsidR="003967E4" w:rsidRPr="003967E4" w:rsidRDefault="003967E4" w:rsidP="003967E4">
      <w:r w:rsidRPr="003967E4">
        <w:rPr>
          <w:vertAlign w:val="superscript"/>
        </w:rPr>
        <w:t xml:space="preserve">3 </w:t>
      </w:r>
      <w:r w:rsidRPr="003967E4">
        <w:t>Agriculture and Agri-Food Canada, 58 River Road, Truro, Nova Scotia, B2N 5E3, Canada</w:t>
      </w:r>
    </w:p>
    <w:p w14:paraId="0471063F" w14:textId="77777777" w:rsidR="003967E4" w:rsidRPr="003967E4" w:rsidRDefault="003967E4" w:rsidP="003967E4">
      <w:r w:rsidRPr="003967E4">
        <w:rPr>
          <w:vertAlign w:val="superscript"/>
        </w:rPr>
        <w:t>*</w:t>
      </w:r>
      <w:r w:rsidRPr="003967E4">
        <w:t xml:space="preserve"> Corresponding author email: Abdelali.Hannoufa@canada.ca</w:t>
      </w:r>
    </w:p>
    <w:p w14:paraId="7F09531C" w14:textId="77777777" w:rsidR="003967E4" w:rsidRPr="003967E4" w:rsidRDefault="003967E4" w:rsidP="003967E4">
      <w:r w:rsidRPr="003967E4">
        <w:t> </w:t>
      </w:r>
    </w:p>
    <w:p w14:paraId="1FB327CF" w14:textId="77777777" w:rsidR="003967E4" w:rsidRDefault="003967E4">
      <w:pPr>
        <w:sectPr w:rsidR="003967E4">
          <w:pgSz w:w="12240" w:h="15840"/>
          <w:pgMar w:top="1440" w:right="1440" w:bottom="1440" w:left="1440" w:header="708" w:footer="708" w:gutter="0"/>
          <w:cols w:space="708"/>
          <w:docGrid w:linePitch="360"/>
        </w:sectPr>
      </w:pPr>
    </w:p>
    <w:p w14:paraId="7D9C23D8" w14:textId="5536CB92" w:rsidR="001D2564" w:rsidRDefault="003967E4" w:rsidP="003967E4">
      <w:r w:rsidRPr="003967E4">
        <w:rPr>
          <w:noProof/>
        </w:rPr>
        <w:lastRenderedPageBreak/>
        <mc:AlternateContent>
          <mc:Choice Requires="wps">
            <w:drawing>
              <wp:anchor distT="0" distB="0" distL="114300" distR="114300" simplePos="0" relativeHeight="251662336" behindDoc="0" locked="0" layoutInCell="1" allowOverlap="1" wp14:anchorId="30244A7E" wp14:editId="38CF2E90">
                <wp:simplePos x="0" y="0"/>
                <wp:positionH relativeFrom="margin">
                  <wp:posOffset>76200</wp:posOffset>
                </wp:positionH>
                <wp:positionV relativeFrom="paragraph">
                  <wp:posOffset>3286125</wp:posOffset>
                </wp:positionV>
                <wp:extent cx="471604" cy="369332"/>
                <wp:effectExtent l="0" t="0" r="0" b="0"/>
                <wp:wrapNone/>
                <wp:docPr id="36" name="Rectangle 35"/>
                <wp:cNvGraphicFramePr/>
                <a:graphic xmlns:a="http://schemas.openxmlformats.org/drawingml/2006/main">
                  <a:graphicData uri="http://schemas.microsoft.com/office/word/2010/wordprocessingShape">
                    <wps:wsp>
                      <wps:cNvSpPr/>
                      <wps:spPr>
                        <a:xfrm>
                          <a:off x="0" y="0"/>
                          <a:ext cx="471604" cy="369332"/>
                        </a:xfrm>
                        <a:prstGeom prst="rect">
                          <a:avLst/>
                        </a:prstGeom>
                      </wps:spPr>
                      <wps:txbx>
                        <w:txbxContent>
                          <w:p w14:paraId="02A8362A" w14:textId="77777777" w:rsidR="003967E4" w:rsidRPr="003967E4" w:rsidRDefault="003967E4" w:rsidP="003967E4">
                            <w:pPr>
                              <w:rPr>
                                <w:b/>
                                <w:bCs/>
                                <w:color w:val="FFFFFF" w:themeColor="background1"/>
                                <w:sz w:val="24"/>
                                <w:szCs w:val="24"/>
                              </w:rPr>
                            </w:pPr>
                            <w:r w:rsidRPr="003967E4">
                              <w:rPr>
                                <w:rFonts w:hAnsi="Calibri"/>
                                <w:b/>
                                <w:bCs/>
                                <w:color w:val="FFFFFF" w:themeColor="background1"/>
                                <w:kern w:val="24"/>
                                <w:sz w:val="24"/>
                                <w:szCs w:val="24"/>
                              </w:rPr>
                              <w:t>(G)</w:t>
                            </w:r>
                          </w:p>
                        </w:txbxContent>
                      </wps:txbx>
                      <wps:bodyPr wrap="none">
                        <a:spAutoFit/>
                      </wps:bodyPr>
                    </wps:wsp>
                  </a:graphicData>
                </a:graphic>
              </wp:anchor>
            </w:drawing>
          </mc:Choice>
          <mc:Fallback>
            <w:pict>
              <v:rect w14:anchorId="30244A7E" id="Rectangle 35" o:spid="_x0000_s1026" style="position:absolute;margin-left:6pt;margin-top:258.75pt;width:37.15pt;height:29.1pt;z-index:25166233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" filled="f" stroked="f">
                <v:textbox style="mso-fit-shape-to-text:t">
                  <w:txbxContent>
                    <w:p w14:paraId="02A8362A" w14:textId="77777777" w:rsidR="003967E4" w:rsidRPr="003967E4" w:rsidRDefault="003967E4" w:rsidP="003967E4">
                      <w:pPr>
                        <w:rPr>
                          <w:b/>
                          <w:bCs/>
                          <w:color w:val="FFFFFF" w:themeColor="background1"/>
                          <w:sz w:val="24"/>
                          <w:szCs w:val="24"/>
                        </w:rPr>
                      </w:pPr>
                      <w:r w:rsidRPr="003967E4">
                        <w:rPr>
                          <w:rFonts w:hAnsi="Calibri"/>
                          <w:b/>
                          <w:bCs/>
                          <w:color w:val="FFFFFF" w:themeColor="background1"/>
                          <w:kern w:val="24"/>
                          <w:sz w:val="24"/>
                          <w:szCs w:val="24"/>
                        </w:rPr>
                        <w:t>(G)</w:t>
                      </w:r>
                    </w:p>
                  </w:txbxContent>
                </v:textbox>
                <w10:wrap anchorx="margin"/>
              </v:rect>
            </w:pict>
          </mc:Fallback>
        </mc:AlternateContent>
      </w:r>
      <w:r w:rsidRPr="003967E4">
        <w:rPr>
          <w:noProof/>
        </w:rPr>
        <mc:AlternateContent>
          <mc:Choice Requires="wps">
            <w:drawing>
              <wp:anchor distT="0" distB="0" distL="114300" distR="114300" simplePos="0" relativeHeight="251661312" behindDoc="0" locked="0" layoutInCell="1" allowOverlap="1" wp14:anchorId="40FBDB16" wp14:editId="18D7AF8E">
                <wp:simplePos x="0" y="0"/>
                <wp:positionH relativeFrom="column">
                  <wp:posOffset>2976880</wp:posOffset>
                </wp:positionH>
                <wp:positionV relativeFrom="paragraph">
                  <wp:posOffset>3282950</wp:posOffset>
                </wp:positionV>
                <wp:extent cx="470000" cy="369332"/>
                <wp:effectExtent l="0" t="0" r="0" b="0"/>
                <wp:wrapNone/>
                <wp:docPr id="35" name="Rectangle 34"/>
                <wp:cNvGraphicFramePr/>
                <a:graphic xmlns:a="http://schemas.openxmlformats.org/drawingml/2006/main">
                  <a:graphicData uri="http://schemas.microsoft.com/office/word/2010/wordprocessingShape">
                    <wps:wsp>
                      <wps:cNvSpPr/>
                      <wps:spPr>
                        <a:xfrm>
                          <a:off x="0" y="0"/>
                          <a:ext cx="470000" cy="369332"/>
                        </a:xfrm>
                        <a:prstGeom prst="rect">
                          <a:avLst/>
                        </a:prstGeom>
                      </wps:spPr>
                      <wps:txbx>
                        <w:txbxContent>
                          <w:p w14:paraId="737685D4" w14:textId="77777777" w:rsidR="003967E4" w:rsidRPr="003967E4" w:rsidRDefault="003967E4" w:rsidP="003967E4">
                            <w:pPr>
                              <w:rPr>
                                <w:b/>
                                <w:bCs/>
                                <w:color w:val="FFFFFF" w:themeColor="background1"/>
                                <w:sz w:val="24"/>
                                <w:szCs w:val="24"/>
                              </w:rPr>
                            </w:pPr>
                            <w:r w:rsidRPr="003967E4">
                              <w:rPr>
                                <w:rFonts w:hAnsi="Calibri"/>
                                <w:b/>
                                <w:bCs/>
                                <w:color w:val="FFFFFF" w:themeColor="background1"/>
                                <w:kern w:val="24"/>
                                <w:sz w:val="24"/>
                                <w:szCs w:val="24"/>
                              </w:rPr>
                              <w:t>(H)</w:t>
                            </w:r>
                          </w:p>
                        </w:txbxContent>
                      </wps:txbx>
                      <wps:bodyPr wrap="none">
                        <a:spAutoFit/>
                      </wps:bodyPr>
                    </wps:wsp>
                  </a:graphicData>
                </a:graphic>
              </wp:anchor>
            </w:drawing>
          </mc:Choice>
          <mc:Fallback>
            <w:pict>
              <v:rect w14:anchorId="40FBDB16" id="Rectangle 34" o:spid="_x0000_s1027" style="position:absolute;margin-left:234.4pt;margin-top:258.5pt;width:37pt;height:29.1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" filled="f" stroked="f">
                <v:textbox style="mso-fit-shape-to-text:t">
                  <w:txbxContent>
                    <w:p w14:paraId="737685D4" w14:textId="77777777" w:rsidR="003967E4" w:rsidRPr="003967E4" w:rsidRDefault="003967E4" w:rsidP="003967E4">
                      <w:pPr>
                        <w:rPr>
                          <w:b/>
                          <w:bCs/>
                          <w:color w:val="FFFFFF" w:themeColor="background1"/>
                          <w:sz w:val="24"/>
                          <w:szCs w:val="24"/>
                        </w:rPr>
                      </w:pPr>
                      <w:r w:rsidRPr="003967E4">
                        <w:rPr>
                          <w:rFonts w:hAnsi="Calibri"/>
                          <w:b/>
                          <w:bCs/>
                          <w:color w:val="FFFFFF" w:themeColor="background1"/>
                          <w:kern w:val="24"/>
                          <w:sz w:val="24"/>
                          <w:szCs w:val="24"/>
                        </w:rPr>
                        <w:t>(H)</w:t>
                      </w:r>
                    </w:p>
                  </w:txbxContent>
                </v:textbox>
              </v:rect>
            </w:pict>
          </mc:Fallback>
        </mc:AlternateContent>
      </w:r>
      <w:r w:rsidRPr="003967E4">
        <w:rPr>
          <w:noProof/>
        </w:rPr>
        <w:drawing>
          <wp:anchor distT="0" distB="0" distL="114300" distR="114300" simplePos="0" relativeHeight="251659264" behindDoc="0" locked="0" layoutInCell="1" allowOverlap="1" wp14:anchorId="43DEEBB6" wp14:editId="7574C6A0">
            <wp:simplePos x="0" y="0"/>
            <wp:positionH relativeFrom="column">
              <wp:posOffset>2981325</wp:posOffset>
            </wp:positionH>
            <wp:positionV relativeFrom="paragraph">
              <wp:posOffset>3320415</wp:posOffset>
            </wp:positionV>
            <wp:extent cx="2771775" cy="1577712"/>
            <wp:effectExtent l="0" t="0" r="0" b="3810"/>
            <wp:wrapNone/>
            <wp:docPr id="21"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 name="Content Placeholder 3"/>
                    <pic:cNvPicPr>
                      <a:picLocks noGrp="1" noChangeAspect="1"/>
                    </pic:cNvPicPr>
                  </pic:nvPicPr>
                  <pic:blipFill rotWithShape="1">
                    <a:blip r:embed="rId4" cstate="print">
                      <a:extLst>
                        <a:ext uri="{28A0092B-C50C-407E-A947-70E740481C1C}">
                          <a14:useLocalDpi xmlns:a14="http://schemas.microsoft.com/office/drawing/2010/main" val="0"/>
                        </a:ext>
                      </a:extLst>
                    </a:blip>
                    <a:srcRect t="24106"/>
                    <a:stretch/>
                  </pic:blipFill>
                  <pic:spPr>
                    <a:xfrm>
                      <a:off x="0" y="0"/>
                      <a:ext cx="2771775" cy="1577712"/>
                    </a:xfrm>
                    <a:prstGeom prst="rect">
                      <a:avLst/>
                    </a:prstGeom>
                  </pic:spPr>
                </pic:pic>
              </a:graphicData>
            </a:graphic>
            <wp14:sizeRelH relativeFrom="margin">
              <wp14:pctWidth>0</wp14:pctWidth>
            </wp14:sizeRelH>
            <wp14:sizeRelV relativeFrom="margin">
              <wp14:pctHeight>0</wp14:pctHeight>
            </wp14:sizeRelV>
          </wp:anchor>
        </w:drawing>
      </w:r>
      <w:r w:rsidRPr="003967E4">
        <w:rPr>
          <w:noProof/>
        </w:rPr>
        <w:drawing>
          <wp:anchor distT="0" distB="0" distL="114300" distR="114300" simplePos="0" relativeHeight="251660288" behindDoc="0" locked="0" layoutInCell="1" allowOverlap="1" wp14:anchorId="1D0D0F66" wp14:editId="514453BE">
            <wp:simplePos x="0" y="0"/>
            <wp:positionH relativeFrom="column">
              <wp:posOffset>76200</wp:posOffset>
            </wp:positionH>
            <wp:positionV relativeFrom="paragraph">
              <wp:posOffset>3324225</wp:posOffset>
            </wp:positionV>
            <wp:extent cx="2905125" cy="1575627"/>
            <wp:effectExtent l="0" t="0" r="0" b="5715"/>
            <wp:wrapNone/>
            <wp:docPr id="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rotWithShape="1">
                    <a:blip r:embed="rId5" cstate="print">
                      <a:extLst>
                        <a:ext uri="{28A0092B-C50C-407E-A947-70E740481C1C}">
                          <a14:useLocalDpi xmlns:a14="http://schemas.microsoft.com/office/drawing/2010/main" val="0"/>
                        </a:ext>
                      </a:extLst>
                    </a:blip>
                    <a:srcRect t="27685"/>
                    <a:stretch/>
                  </pic:blipFill>
                  <pic:spPr>
                    <a:xfrm>
                      <a:off x="0" y="0"/>
                      <a:ext cx="2905125" cy="1575627"/>
                    </a:xfrm>
                    <a:prstGeom prst="rect">
                      <a:avLst/>
                    </a:prstGeom>
                  </pic:spPr>
                </pic:pic>
              </a:graphicData>
            </a:graphic>
            <wp14:sizeRelH relativeFrom="margin">
              <wp14:pctWidth>0</wp14:pctWidth>
            </wp14:sizeRelH>
            <wp14:sizeRelV relativeFrom="margin">
              <wp14:pctHeight>0</wp14:pctHeight>
            </wp14:sizeRelV>
          </wp:anchor>
        </w:drawing>
      </w:r>
      <w:r w:rsidRPr="003967E4">
        <w:rPr>
          <w:noProof/>
        </w:rPr>
        <w:drawing>
          <wp:inline distT="0" distB="0" distL="0" distR="0" wp14:anchorId="58ABD9B3" wp14:editId="4390124C">
            <wp:extent cx="5800725" cy="3408045"/>
            <wp:effectExtent l="0" t="0" r="0" b="1905"/>
            <wp:docPr id="34" name="Picture 33"/>
            <wp:cNvGraphicFramePr/>
            <a:graphic xmlns:a="http://schemas.openxmlformats.org/drawingml/2006/main">
              <a:graphicData uri="http://schemas.openxmlformats.org/drawingml/2006/picture">
                <pic:pic xmlns:pic="http://schemas.openxmlformats.org/drawingml/2006/picture">
                  <pic:nvPicPr>
                    <pic:cNvPr id="34" name="Picture 33"/>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00725" cy="3408045"/>
                    </a:xfrm>
                    <a:prstGeom prst="rect">
                      <a:avLst/>
                    </a:prstGeom>
                    <a:noFill/>
                  </pic:spPr>
                </pic:pic>
              </a:graphicData>
            </a:graphic>
          </wp:inline>
        </w:drawing>
      </w:r>
    </w:p>
    <w:p w14:paraId="100BDC16" w14:textId="26DA4646" w:rsidR="003967E4" w:rsidRDefault="003967E4" w:rsidP="003967E4"/>
    <w:p w14:paraId="1EC6ACD8" w14:textId="0C47DCBE" w:rsidR="003967E4" w:rsidRDefault="003967E4" w:rsidP="003967E4"/>
    <w:p w14:paraId="3BEC0E62" w14:textId="69F0A9A1" w:rsidR="003967E4" w:rsidRDefault="003967E4" w:rsidP="003967E4"/>
    <w:p w14:paraId="50A87222" w14:textId="692F6AB9" w:rsidR="003967E4" w:rsidRDefault="003967E4" w:rsidP="003967E4"/>
    <w:p w14:paraId="5B1E3C62" w14:textId="31FF5B23" w:rsidR="003967E4" w:rsidRDefault="003967E4" w:rsidP="003967E4"/>
    <w:p w14:paraId="71E62124" w14:textId="77777777" w:rsidR="003967E4" w:rsidRPr="003967E4" w:rsidRDefault="003967E4" w:rsidP="003967E4">
      <w:r w:rsidRPr="003967E4">
        <w:rPr>
          <w:b/>
          <w:bCs/>
        </w:rPr>
        <w:t>Fig. S1.</w:t>
      </w:r>
      <w:r w:rsidRPr="003967E4">
        <w:t xml:space="preserve"> Phenotypic responses of alfalfa genotypes to FS grown at AAFC, Nova scotia, Canada. (</w:t>
      </w:r>
      <w:r w:rsidRPr="003967E4">
        <w:rPr>
          <w:b/>
          <w:bCs/>
        </w:rPr>
        <w:t>A</w:t>
      </w:r>
      <w:r w:rsidRPr="003967E4">
        <w:t>) Plant vigor, (</w:t>
      </w:r>
      <w:r w:rsidRPr="003967E4">
        <w:rPr>
          <w:b/>
          <w:bCs/>
        </w:rPr>
        <w:t>B</w:t>
      </w:r>
      <w:r w:rsidRPr="003967E4">
        <w:t>) plant height, and (</w:t>
      </w:r>
      <w:r w:rsidRPr="003967E4">
        <w:rPr>
          <w:b/>
          <w:bCs/>
        </w:rPr>
        <w:t>C</w:t>
      </w:r>
      <w:r w:rsidRPr="003967E4">
        <w:t>) plant dry matter 6 week post flooding respectively, (</w:t>
      </w:r>
      <w:r w:rsidRPr="003967E4">
        <w:rPr>
          <w:b/>
          <w:bCs/>
        </w:rPr>
        <w:t>D</w:t>
      </w:r>
      <w:r w:rsidRPr="003967E4">
        <w:t>) Plant vigor, (</w:t>
      </w:r>
      <w:r w:rsidRPr="003967E4">
        <w:rPr>
          <w:b/>
          <w:bCs/>
        </w:rPr>
        <w:t>E</w:t>
      </w:r>
      <w:r w:rsidRPr="003967E4">
        <w:t>) plant, and (</w:t>
      </w:r>
      <w:r w:rsidRPr="003967E4">
        <w:rPr>
          <w:b/>
          <w:bCs/>
        </w:rPr>
        <w:t>F</w:t>
      </w:r>
      <w:r w:rsidRPr="003967E4">
        <w:t>) plant dry matter 21 weeks post flooding  respectively, (</w:t>
      </w:r>
      <w:r w:rsidRPr="003967E4">
        <w:rPr>
          <w:b/>
          <w:bCs/>
        </w:rPr>
        <w:t>G</w:t>
      </w:r>
      <w:r w:rsidRPr="003967E4">
        <w:t>) Shoots of control, and (</w:t>
      </w:r>
      <w:r w:rsidRPr="003967E4">
        <w:rPr>
          <w:b/>
          <w:bCs/>
        </w:rPr>
        <w:t>H</w:t>
      </w:r>
      <w:r w:rsidRPr="003967E4">
        <w:t>) flood-stressed plants. In ‘</w:t>
      </w:r>
      <w:r w:rsidRPr="003967E4">
        <w:rPr>
          <w:b/>
          <w:bCs/>
        </w:rPr>
        <w:t>A</w:t>
      </w:r>
      <w:r w:rsidRPr="003967E4">
        <w:t>’ and ‘</w:t>
      </w:r>
      <w:r w:rsidRPr="003967E4">
        <w:rPr>
          <w:b/>
          <w:bCs/>
        </w:rPr>
        <w:t>D</w:t>
      </w:r>
      <w:r w:rsidRPr="003967E4">
        <w:t xml:space="preserve">’ plant vigor is scaled 1 to 4, four being exceptional. </w:t>
      </w:r>
      <w:r w:rsidRPr="003967E4">
        <w:rPr>
          <w:lang w:val="en-US"/>
        </w:rPr>
        <w:t>The above cultivars/genotypes were planted (July 1, 2016) in (6.4 cm</w:t>
      </w:r>
      <w:r w:rsidRPr="003967E4">
        <w:rPr>
          <w:vertAlign w:val="superscript"/>
          <w:lang w:val="en-US"/>
        </w:rPr>
        <w:t>2</w:t>
      </w:r>
      <w:r w:rsidRPr="003967E4">
        <w:rPr>
          <w:lang w:val="en-US"/>
        </w:rPr>
        <w:t xml:space="preserve"> wide and 14-cm height) root retainers containing </w:t>
      </w:r>
      <w:proofErr w:type="spellStart"/>
      <w:r w:rsidRPr="003967E4">
        <w:rPr>
          <w:lang w:val="en-US"/>
        </w:rPr>
        <w:t>Turface</w:t>
      </w:r>
      <w:proofErr w:type="spellEnd"/>
      <w:r w:rsidRPr="003967E4">
        <w:rPr>
          <w:lang w:val="en-US"/>
        </w:rPr>
        <w:t xml:space="preserve"> and </w:t>
      </w:r>
      <w:proofErr w:type="spellStart"/>
      <w:r w:rsidRPr="003967E4">
        <w:rPr>
          <w:lang w:val="en-US"/>
        </w:rPr>
        <w:t>Promix</w:t>
      </w:r>
      <w:proofErr w:type="spellEnd"/>
      <w:r w:rsidRPr="003967E4">
        <w:rPr>
          <w:lang w:val="en-US"/>
        </w:rPr>
        <w:t xml:space="preserve"> (50:50). Seedlings were clipped as needed and moved from the greenhouse to the field location (August 31, 2016). The experimental design consisted of 12 plants per experimental unit arranged in a split plot-randomized complete block design with 4 replications.  The main plot was the flooding treatment (2); control (not flooded) and fall-spring flooding.  The sub-plots were the genotypes/cultivars listed above. Plants were moved to the field location to allow the plants to acclimatize to field environmental conditions.  The root retainers containing plants were placed in plywood boxes to accommodate designated flooding treatments which was initiated on October 15, 2016. At the end of the flooding treatment (6 weeks), the boxes were </w:t>
      </w:r>
      <w:proofErr w:type="gramStart"/>
      <w:r w:rsidRPr="003967E4">
        <w:rPr>
          <w:lang w:val="en-US"/>
        </w:rPr>
        <w:t>drained</w:t>
      </w:r>
      <w:proofErr w:type="gramEnd"/>
      <w:r w:rsidRPr="003967E4">
        <w:rPr>
          <w:lang w:val="en-US"/>
        </w:rPr>
        <w:t xml:space="preserve"> and the top growth trimmed back to 4 cm above the crown region. Genotypes used </w:t>
      </w:r>
      <w:r w:rsidRPr="003967E4">
        <w:t>the field experiment are wild type (WT), empty-vector alfalfa, a local cultivar (AC-Caribou), FS-tolerant (AAC-</w:t>
      </w:r>
      <w:proofErr w:type="spellStart"/>
      <w:r w:rsidRPr="003967E4">
        <w:t>Trueman</w:t>
      </w:r>
      <w:proofErr w:type="spellEnd"/>
      <w:r w:rsidRPr="003967E4">
        <w:t xml:space="preserve">), </w:t>
      </w:r>
      <w:r w:rsidRPr="003967E4">
        <w:rPr>
          <w:i/>
          <w:iCs/>
        </w:rPr>
        <w:t>miR156</w:t>
      </w:r>
      <w:r w:rsidRPr="003967E4">
        <w:t xml:space="preserve">OE (A8a, A8, A16, A11, A11a, A17), miR156-regulated </w:t>
      </w:r>
      <w:r w:rsidRPr="003967E4">
        <w:rPr>
          <w:i/>
          <w:iCs/>
        </w:rPr>
        <w:t>SPL6</w:t>
      </w:r>
      <w:r w:rsidRPr="003967E4">
        <w:t>RNAi (</w:t>
      </w:r>
      <w:r w:rsidRPr="003967E4">
        <w:rPr>
          <w:i/>
          <w:iCs/>
        </w:rPr>
        <w:t>SPL6</w:t>
      </w:r>
      <w:r w:rsidRPr="003967E4">
        <w:t xml:space="preserve">-405, </w:t>
      </w:r>
      <w:r w:rsidRPr="003967E4">
        <w:rPr>
          <w:i/>
          <w:iCs/>
        </w:rPr>
        <w:t>SPL6</w:t>
      </w:r>
      <w:r w:rsidRPr="003967E4">
        <w:t xml:space="preserve">-425, </w:t>
      </w:r>
      <w:r w:rsidRPr="003967E4">
        <w:rPr>
          <w:i/>
          <w:iCs/>
        </w:rPr>
        <w:t>SPL6</w:t>
      </w:r>
      <w:r w:rsidRPr="003967E4">
        <w:t xml:space="preserve">-428), and miR156-regulated </w:t>
      </w:r>
      <w:r w:rsidRPr="003967E4">
        <w:rPr>
          <w:i/>
          <w:iCs/>
        </w:rPr>
        <w:t>SPL13</w:t>
      </w:r>
      <w:r w:rsidRPr="003967E4">
        <w:t>RNAi (</w:t>
      </w:r>
      <w:r w:rsidRPr="003967E4">
        <w:rPr>
          <w:i/>
          <w:iCs/>
        </w:rPr>
        <w:t>SPL13</w:t>
      </w:r>
      <w:r w:rsidRPr="003967E4">
        <w:t xml:space="preserve">R-2, </w:t>
      </w:r>
      <w:r w:rsidRPr="003967E4">
        <w:rPr>
          <w:i/>
          <w:iCs/>
        </w:rPr>
        <w:t>SPL13</w:t>
      </w:r>
      <w:r w:rsidRPr="003967E4">
        <w:t xml:space="preserve">R-5, </w:t>
      </w:r>
      <w:r w:rsidRPr="003967E4">
        <w:rPr>
          <w:i/>
          <w:iCs/>
        </w:rPr>
        <w:t>SPL13</w:t>
      </w:r>
      <w:r w:rsidRPr="003967E4">
        <w:t>R-6).</w:t>
      </w:r>
    </w:p>
    <w:p w14:paraId="2C5817E5" w14:textId="23AC8F8A" w:rsidR="003967E4" w:rsidRDefault="003967E4" w:rsidP="003967E4">
      <w:r w:rsidRPr="003967E4">
        <w:rPr>
          <w:noProof/>
        </w:rPr>
        <w:lastRenderedPageBreak/>
        <w:drawing>
          <wp:inline distT="0" distB="0" distL="0" distR="0" wp14:anchorId="09D98333" wp14:editId="2AF21216">
            <wp:extent cx="4762500" cy="3928045"/>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a:srcRect t="10560" r="7652"/>
                    <a:stretch/>
                  </pic:blipFill>
                  <pic:spPr>
                    <a:xfrm>
                      <a:off x="0" y="0"/>
                      <a:ext cx="4764301" cy="3929530"/>
                    </a:xfrm>
                    <a:prstGeom prst="rect">
                      <a:avLst/>
                    </a:prstGeom>
                  </pic:spPr>
                </pic:pic>
              </a:graphicData>
            </a:graphic>
          </wp:inline>
        </w:drawing>
      </w:r>
    </w:p>
    <w:p w14:paraId="1E39F346" w14:textId="6C3AB5E8" w:rsidR="003967E4" w:rsidRPr="003967E4" w:rsidRDefault="003967E4" w:rsidP="003967E4">
      <w:r w:rsidRPr="003967E4">
        <w:rPr>
          <w:b/>
          <w:bCs/>
        </w:rPr>
        <w:t xml:space="preserve">Fig. S2. Mean daily temperature in degrees Celsius for August 1, 2016 to November 31, 2016 at </w:t>
      </w:r>
      <w:proofErr w:type="gramStart"/>
      <w:r w:rsidRPr="003967E4">
        <w:rPr>
          <w:b/>
          <w:bCs/>
        </w:rPr>
        <w:t>Kentville,  Nova</w:t>
      </w:r>
      <w:proofErr w:type="gramEnd"/>
      <w:r w:rsidRPr="003967E4">
        <w:rPr>
          <w:b/>
          <w:bCs/>
        </w:rPr>
        <w:t xml:space="preserve"> Scotia</w:t>
      </w:r>
      <w:r w:rsidRPr="003967E4">
        <w:t>. Source: Environmental Canada station KENTVILLE CDA CS. NOVA SCOTIA</w:t>
      </w:r>
    </w:p>
    <w:p w14:paraId="05E97671" w14:textId="77777777" w:rsidR="003967E4" w:rsidRDefault="003967E4" w:rsidP="003967E4">
      <w:pPr>
        <w:sectPr w:rsidR="003967E4">
          <w:pgSz w:w="12240" w:h="15840"/>
          <w:pgMar w:top="1440" w:right="1440" w:bottom="1440" w:left="1440" w:header="708" w:footer="708" w:gutter="0"/>
          <w:cols w:space="708"/>
          <w:docGrid w:linePitch="360"/>
        </w:sectPr>
      </w:pPr>
    </w:p>
    <w:p w14:paraId="2E0B67CB" w14:textId="3F5C32B1" w:rsidR="003967E4" w:rsidRDefault="0031566A" w:rsidP="003967E4">
      <w:r>
        <w:rPr>
          <w:noProof/>
        </w:rPr>
        <w:lastRenderedPageBreak/>
        <w:drawing>
          <wp:inline distT="0" distB="0" distL="0" distR="0" wp14:anchorId="521A10ED" wp14:editId="3AA5FFD7">
            <wp:extent cx="5988685" cy="404307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9462" cy="4050352"/>
                    </a:xfrm>
                    <a:prstGeom prst="rect">
                      <a:avLst/>
                    </a:prstGeom>
                    <a:noFill/>
                  </pic:spPr>
                </pic:pic>
              </a:graphicData>
            </a:graphic>
          </wp:inline>
        </w:drawing>
      </w:r>
    </w:p>
    <w:p w14:paraId="4B1791A7" w14:textId="77777777" w:rsidR="003967E4" w:rsidRDefault="003967E4" w:rsidP="003967E4">
      <w:pPr>
        <w:sectPr w:rsidR="003967E4">
          <w:pgSz w:w="12240" w:h="15840"/>
          <w:pgMar w:top="1440" w:right="1440" w:bottom="1440" w:left="1440" w:header="708" w:footer="708" w:gutter="0"/>
          <w:cols w:space="708"/>
          <w:docGrid w:linePitch="360"/>
        </w:sectPr>
      </w:pPr>
      <w:r w:rsidRPr="003967E4">
        <w:rPr>
          <w:b/>
          <w:bCs/>
        </w:rPr>
        <w:t xml:space="preserve">Fig. S3. </w:t>
      </w:r>
      <w:proofErr w:type="spellStart"/>
      <w:r w:rsidRPr="003967E4">
        <w:rPr>
          <w:b/>
          <w:bCs/>
        </w:rPr>
        <w:t>qRT</w:t>
      </w:r>
      <w:proofErr w:type="spellEnd"/>
      <w:r w:rsidRPr="003967E4">
        <w:rPr>
          <w:b/>
          <w:bCs/>
        </w:rPr>
        <w:t xml:space="preserve">-PCR-based transcript analysis of field grown alfalfa genotypes. </w:t>
      </w:r>
      <w:r w:rsidRPr="003967E4">
        <w:t>Relative transcript levels of</w:t>
      </w:r>
      <w:r w:rsidRPr="003967E4">
        <w:rPr>
          <w:b/>
          <w:bCs/>
        </w:rPr>
        <w:t xml:space="preserve"> (A)</w:t>
      </w:r>
      <w:r w:rsidRPr="003967E4">
        <w:rPr>
          <w:i/>
          <w:iCs/>
        </w:rPr>
        <w:t xml:space="preserve"> SNORKEL1, </w:t>
      </w:r>
      <w:r w:rsidRPr="003967E4">
        <w:t>(</w:t>
      </w:r>
      <w:r w:rsidRPr="003967E4">
        <w:rPr>
          <w:b/>
          <w:bCs/>
        </w:rPr>
        <w:t>B</w:t>
      </w:r>
      <w:r w:rsidRPr="003967E4">
        <w:t xml:space="preserve">) </w:t>
      </w:r>
      <w:r w:rsidRPr="003967E4">
        <w:rPr>
          <w:i/>
          <w:iCs/>
        </w:rPr>
        <w:t>SPL4</w:t>
      </w:r>
      <w:r w:rsidRPr="003967E4">
        <w:t>, (</w:t>
      </w:r>
      <w:r w:rsidRPr="003967E4">
        <w:rPr>
          <w:b/>
          <w:bCs/>
        </w:rPr>
        <w:t>C</w:t>
      </w:r>
      <w:r w:rsidRPr="003967E4">
        <w:t xml:space="preserve">) </w:t>
      </w:r>
      <w:r w:rsidRPr="003967E4">
        <w:rPr>
          <w:i/>
          <w:iCs/>
        </w:rPr>
        <w:t>SPL13</w:t>
      </w:r>
      <w:r w:rsidRPr="003967E4">
        <w:t>, (</w:t>
      </w:r>
      <w:r w:rsidRPr="003967E4">
        <w:rPr>
          <w:b/>
          <w:bCs/>
        </w:rPr>
        <w:t>D</w:t>
      </w:r>
      <w:r w:rsidRPr="003967E4">
        <w:t xml:space="preserve">) </w:t>
      </w:r>
      <w:r w:rsidRPr="003967E4">
        <w:rPr>
          <w:i/>
          <w:iCs/>
        </w:rPr>
        <w:t>miR156</w:t>
      </w:r>
      <w:r w:rsidRPr="003967E4">
        <w:t>, and (</w:t>
      </w:r>
      <w:r w:rsidRPr="003967E4">
        <w:rPr>
          <w:b/>
          <w:bCs/>
        </w:rPr>
        <w:t>E</w:t>
      </w:r>
      <w:r w:rsidRPr="003967E4">
        <w:t xml:space="preserve">) </w:t>
      </w:r>
      <w:r w:rsidRPr="003967E4">
        <w:rPr>
          <w:i/>
          <w:iCs/>
        </w:rPr>
        <w:t>SPL12</w:t>
      </w:r>
      <w:r w:rsidRPr="003967E4">
        <w:t xml:space="preserve">. Pair-wise transcript level comparison was performed between WT and miR156OE genotypes to similar growth conditions. ‘*’ indicates significance level at p&lt;0.05 level while ‘**’ indicates significant difference at p&lt;0.01. </w:t>
      </w:r>
    </w:p>
    <w:p w14:paraId="4F3A80F6" w14:textId="18FC323F" w:rsidR="003967E4" w:rsidRPr="003967E4" w:rsidRDefault="003967E4" w:rsidP="003967E4">
      <w:r>
        <w:rPr>
          <w:noProof/>
        </w:rPr>
        <w:lastRenderedPageBreak/>
        <w:drawing>
          <wp:inline distT="0" distB="0" distL="0" distR="0" wp14:anchorId="48AFFAF1" wp14:editId="77BDC8CB">
            <wp:extent cx="5892165" cy="324598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13877" cy="3257942"/>
                    </a:xfrm>
                    <a:prstGeom prst="rect">
                      <a:avLst/>
                    </a:prstGeom>
                    <a:noFill/>
                  </pic:spPr>
                </pic:pic>
              </a:graphicData>
            </a:graphic>
          </wp:inline>
        </w:drawing>
      </w:r>
    </w:p>
    <w:p w14:paraId="31E7FD7F" w14:textId="77777777" w:rsidR="003967E4" w:rsidRPr="003967E4" w:rsidRDefault="003967E4" w:rsidP="003967E4">
      <w:r w:rsidRPr="003967E4">
        <w:rPr>
          <w:b/>
          <w:bCs/>
        </w:rPr>
        <w:t xml:space="preserve">Fig. S4 Fold-changes of commonly increased DEG among flood-tolerant genotypes. </w:t>
      </w:r>
      <w:r w:rsidRPr="003967E4">
        <w:t>Expression level fold-changes of (</w:t>
      </w:r>
      <w:r w:rsidRPr="003967E4">
        <w:rPr>
          <w:b/>
          <w:bCs/>
        </w:rPr>
        <w:t>A</w:t>
      </w:r>
      <w:r w:rsidRPr="003967E4">
        <w:t>) GDSL-like lipase/</w:t>
      </w:r>
      <w:proofErr w:type="spellStart"/>
      <w:r w:rsidRPr="003967E4">
        <w:t>acylhydrolase</w:t>
      </w:r>
      <w:proofErr w:type="spellEnd"/>
      <w:r w:rsidRPr="003967E4">
        <w:t xml:space="preserve"> and Pmr5/Cas1p GDSL/SGNH-like acyl-esterase, (</w:t>
      </w:r>
      <w:r w:rsidRPr="003967E4">
        <w:rPr>
          <w:b/>
          <w:bCs/>
        </w:rPr>
        <w:t>B</w:t>
      </w:r>
      <w:r w:rsidRPr="003967E4">
        <w:t>) Reticuline oxidase-like protein (</w:t>
      </w:r>
      <w:r w:rsidRPr="003967E4">
        <w:rPr>
          <w:b/>
          <w:bCs/>
        </w:rPr>
        <w:t>C</w:t>
      </w:r>
      <w:r w:rsidRPr="003967E4">
        <w:t>) sucrose non-fermenting-related protein kinase, SnRK1, related genes, and (</w:t>
      </w:r>
      <w:r w:rsidRPr="003967E4">
        <w:rPr>
          <w:b/>
          <w:bCs/>
        </w:rPr>
        <w:t>D</w:t>
      </w:r>
      <w:r w:rsidRPr="003967E4">
        <w:t>) abscisic acid insensitive (ABI1,2,and 5) and -responsive elements (ABRE). In ‘</w:t>
      </w:r>
      <w:r w:rsidRPr="003967E4">
        <w:rPr>
          <w:b/>
          <w:bCs/>
        </w:rPr>
        <w:t>C</w:t>
      </w:r>
      <w:r w:rsidRPr="003967E4">
        <w:t xml:space="preserve">’ SnRK1-alpha KIN11 are the catalytic subunits of SnRK1 while SnRK1-beta1 and -beta2 with -gamma subunits are regulatory subunits. </w:t>
      </w:r>
    </w:p>
    <w:p w14:paraId="34E34EB6" w14:textId="77777777" w:rsidR="003967E4" w:rsidRDefault="003967E4" w:rsidP="003967E4">
      <w:pPr>
        <w:sectPr w:rsidR="003967E4">
          <w:pgSz w:w="12240" w:h="15840"/>
          <w:pgMar w:top="1440" w:right="1440" w:bottom="1440" w:left="1440" w:header="708" w:footer="708" w:gutter="0"/>
          <w:cols w:space="708"/>
          <w:docGrid w:linePitch="360"/>
        </w:sectPr>
      </w:pPr>
    </w:p>
    <w:p w14:paraId="4B7DF510" w14:textId="77777777" w:rsidR="00387DCF" w:rsidRDefault="003967E4" w:rsidP="00387DCF">
      <w:pPr>
        <w:rPr>
          <w:b/>
          <w:bCs/>
        </w:rPr>
      </w:pPr>
      <w:r>
        <w:rPr>
          <w:noProof/>
        </w:rPr>
        <w:lastRenderedPageBreak/>
        <w:drawing>
          <wp:inline distT="0" distB="0" distL="0" distR="0" wp14:anchorId="64CAF188" wp14:editId="36B66690">
            <wp:extent cx="6610350" cy="5361434"/>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37329" cy="5383316"/>
                    </a:xfrm>
                    <a:prstGeom prst="rect">
                      <a:avLst/>
                    </a:prstGeom>
                    <a:noFill/>
                  </pic:spPr>
                </pic:pic>
              </a:graphicData>
            </a:graphic>
          </wp:inline>
        </w:drawing>
      </w:r>
    </w:p>
    <w:p w14:paraId="43CA0194" w14:textId="77777777" w:rsidR="00387DCF" w:rsidRDefault="00387DCF" w:rsidP="00387DCF">
      <w:pPr>
        <w:sectPr w:rsidR="00387DCF" w:rsidSect="003967E4">
          <w:pgSz w:w="15840" w:h="12240" w:orient="landscape"/>
          <w:pgMar w:top="1440" w:right="1440" w:bottom="1440" w:left="1440" w:header="708" w:footer="708" w:gutter="0"/>
          <w:cols w:space="708"/>
          <w:docGrid w:linePitch="360"/>
        </w:sectPr>
      </w:pPr>
      <w:r w:rsidRPr="00387DCF">
        <w:rPr>
          <w:b/>
          <w:bCs/>
        </w:rPr>
        <w:t xml:space="preserve">Fig. S5 miR156 complementary nucleotide sequences of the newly identified </w:t>
      </w:r>
      <w:proofErr w:type="spellStart"/>
      <w:r w:rsidRPr="00387DCF">
        <w:rPr>
          <w:b/>
          <w:bCs/>
        </w:rPr>
        <w:t>MsSPLs</w:t>
      </w:r>
      <w:proofErr w:type="spellEnd"/>
      <w:r w:rsidRPr="00387DCF">
        <w:rPr>
          <w:b/>
          <w:bCs/>
        </w:rPr>
        <w:t xml:space="preserve">. </w:t>
      </w:r>
      <w:r w:rsidRPr="00387DCF">
        <w:t xml:space="preserve">miR156 complementary nucleotide sequences are highlighted yellow.  </w:t>
      </w:r>
    </w:p>
    <w:p w14:paraId="127D3F73" w14:textId="267B7030" w:rsidR="00387DCF" w:rsidRDefault="00387DCF" w:rsidP="00387DCF">
      <w:r w:rsidRPr="00387DCF">
        <w:rPr>
          <w:noProof/>
        </w:rPr>
        <w:lastRenderedPageBreak/>
        <w:drawing>
          <wp:inline distT="0" distB="0" distL="0" distR="0" wp14:anchorId="573C51DE" wp14:editId="59E349AB">
            <wp:extent cx="5943600" cy="2781935"/>
            <wp:effectExtent l="0" t="0" r="0" b="0"/>
            <wp:docPr id="24" name="Picture 23"/>
            <wp:cNvGraphicFramePr/>
            <a:graphic xmlns:a="http://schemas.openxmlformats.org/drawingml/2006/main">
              <a:graphicData uri="http://schemas.openxmlformats.org/drawingml/2006/picture">
                <pic:pic xmlns:pic="http://schemas.openxmlformats.org/drawingml/2006/picture">
                  <pic:nvPicPr>
                    <pic:cNvPr id="24" name="Picture 23"/>
                    <pic:cNvPicPr/>
                  </pic:nvPicPr>
                  <pic:blipFill rotWithShape="1">
                    <a:blip r:embed="rId11" cstate="print">
                      <a:extLst>
                        <a:ext uri="{28A0092B-C50C-407E-A947-70E740481C1C}">
                          <a14:useLocalDpi xmlns:a14="http://schemas.microsoft.com/office/drawing/2010/main" val="0"/>
                        </a:ext>
                      </a:extLst>
                    </a:blip>
                    <a:srcRect l="3083" t="59605"/>
                    <a:stretch/>
                  </pic:blipFill>
                  <pic:spPr bwMode="auto">
                    <a:xfrm>
                      <a:off x="0" y="0"/>
                      <a:ext cx="5943600" cy="2781935"/>
                    </a:xfrm>
                    <a:prstGeom prst="rect">
                      <a:avLst/>
                    </a:prstGeom>
                    <a:noFill/>
                    <a:ln>
                      <a:noFill/>
                    </a:ln>
                    <a:extLst>
                      <a:ext uri="{53640926-AAD7-44D8-BBD7-CCE9431645EC}">
                        <a14:shadowObscured xmlns:a14="http://schemas.microsoft.com/office/drawing/2010/main"/>
                      </a:ext>
                    </a:extLst>
                  </pic:spPr>
                </pic:pic>
              </a:graphicData>
            </a:graphic>
          </wp:inline>
        </w:drawing>
      </w:r>
    </w:p>
    <w:p w14:paraId="37421596" w14:textId="77777777" w:rsidR="00387DCF" w:rsidRPr="00387DCF" w:rsidRDefault="00387DCF" w:rsidP="00387DCF">
      <w:r w:rsidRPr="00387DCF">
        <w:rPr>
          <w:b/>
          <w:bCs/>
        </w:rPr>
        <w:t xml:space="preserve">Fig. S6 Nuclear localization signals (NLS) of newly identified SPLs. </w:t>
      </w:r>
      <w:r w:rsidRPr="00387DCF">
        <w:t>Predicted nuclear localization signals from amino acid sequences are indicated in red fonts.  Using an amino acid sequence-based online tool (</w:t>
      </w:r>
      <w:r w:rsidRPr="00387DCF">
        <w:rPr>
          <w:i/>
          <w:iCs/>
        </w:rPr>
        <w:t>http://nls-mapper.iab.keio.ac.jp/cgi-bin/NLS_Mapper_form.cgi</w:t>
      </w:r>
      <w:r w:rsidRPr="00387DCF">
        <w:t>), nuclear localization signals were also detected in the newly identified SPLs</w:t>
      </w:r>
    </w:p>
    <w:p w14:paraId="0F55D1E2" w14:textId="77777777" w:rsidR="00387DCF" w:rsidRDefault="00387DCF" w:rsidP="00387DCF">
      <w:pPr>
        <w:sectPr w:rsidR="00387DCF" w:rsidSect="00387DCF">
          <w:pgSz w:w="12240" w:h="15840"/>
          <w:pgMar w:top="1440" w:right="1440" w:bottom="1440" w:left="1440" w:header="708" w:footer="708" w:gutter="0"/>
          <w:cols w:space="708"/>
          <w:docGrid w:linePitch="360"/>
        </w:sectPr>
      </w:pPr>
    </w:p>
    <w:p w14:paraId="688BB415" w14:textId="1E604326" w:rsidR="00387DCF" w:rsidRPr="00387DCF" w:rsidRDefault="00387DCF" w:rsidP="00387DCF">
      <w:r>
        <w:rPr>
          <w:noProof/>
        </w:rPr>
        <w:lastRenderedPageBreak/>
        <w:drawing>
          <wp:inline distT="0" distB="0" distL="0" distR="0" wp14:anchorId="3F25D71F" wp14:editId="78A26E90">
            <wp:extent cx="5934075" cy="4724753"/>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6796" cy="4734882"/>
                    </a:xfrm>
                    <a:prstGeom prst="rect">
                      <a:avLst/>
                    </a:prstGeom>
                    <a:noFill/>
                  </pic:spPr>
                </pic:pic>
              </a:graphicData>
            </a:graphic>
          </wp:inline>
        </w:drawing>
      </w:r>
    </w:p>
    <w:p w14:paraId="33B50793" w14:textId="77777777" w:rsidR="00387DCF" w:rsidRPr="00387DCF" w:rsidRDefault="00387DCF" w:rsidP="00387DCF">
      <w:r w:rsidRPr="00387DCF">
        <w:rPr>
          <w:b/>
          <w:bCs/>
        </w:rPr>
        <w:t xml:space="preserve">Fig S7 DEG-based pathway analysis illustrate genotype specific flood stress regulation. (A) </w:t>
      </w:r>
      <w:r w:rsidRPr="00387DCF">
        <w:t>Pathway analysis of DEG between flood-stressed AAC-</w:t>
      </w:r>
      <w:proofErr w:type="spellStart"/>
      <w:r w:rsidRPr="00387DCF">
        <w:t>Trueman</w:t>
      </w:r>
      <w:proofErr w:type="spellEnd"/>
      <w:r w:rsidRPr="00387DCF">
        <w:t xml:space="preserve"> and WT</w:t>
      </w:r>
      <w:r w:rsidRPr="00387DCF">
        <w:rPr>
          <w:b/>
          <w:bCs/>
        </w:rPr>
        <w:t>,</w:t>
      </w:r>
      <w:r w:rsidRPr="00387DCF">
        <w:rPr>
          <w:b/>
          <w:bCs/>
          <w:color w:val="D9D9D9" w:themeColor="background1" w:themeShade="D9"/>
        </w:rPr>
        <w:t xml:space="preserve"> </w:t>
      </w:r>
      <w:r w:rsidRPr="00387DCF">
        <w:rPr>
          <w:color w:val="D9D9D9" w:themeColor="background1" w:themeShade="D9"/>
        </w:rPr>
        <w:t>(</w:t>
      </w:r>
      <w:r w:rsidRPr="00387DCF">
        <w:rPr>
          <w:b/>
          <w:bCs/>
          <w:color w:val="D9D9D9" w:themeColor="background1" w:themeShade="D9"/>
        </w:rPr>
        <w:t>B</w:t>
      </w:r>
      <w:r w:rsidRPr="00387DCF">
        <w:rPr>
          <w:color w:val="D9D9D9" w:themeColor="background1" w:themeShade="D9"/>
        </w:rPr>
        <w:t>) Pathway analysis of DEG between flood-stressed AC-Caribou and WT</w:t>
      </w:r>
      <w:r w:rsidRPr="00387DCF">
        <w:t>. Pathway overview is constructed using differentially expressed genes between AAC-</w:t>
      </w:r>
      <w:proofErr w:type="spellStart"/>
      <w:r w:rsidRPr="00387DCF">
        <w:t>Trueman</w:t>
      </w:r>
      <w:proofErr w:type="spellEnd"/>
      <w:r w:rsidRPr="00387DCF">
        <w:t xml:space="preserve"> and WT or AC-Caribou and WT under flooding conditions on </w:t>
      </w:r>
      <w:proofErr w:type="spellStart"/>
      <w:r w:rsidRPr="00387DCF">
        <w:t>MapMan</w:t>
      </w:r>
      <w:proofErr w:type="spellEnd"/>
      <w:r w:rsidRPr="00387DCF">
        <w:t xml:space="preserve"> online tool. Red colour indicates increased in transcript levels while blue are reduced levels. Values are transformed by log 2 values.</w:t>
      </w:r>
    </w:p>
    <w:p w14:paraId="297F714B" w14:textId="77777777" w:rsidR="00387DCF" w:rsidRDefault="00387DCF" w:rsidP="003967E4">
      <w:pPr>
        <w:sectPr w:rsidR="00387DCF" w:rsidSect="00387DCF">
          <w:pgSz w:w="12240" w:h="15840"/>
          <w:pgMar w:top="1440" w:right="1440" w:bottom="1440" w:left="1440" w:header="708" w:footer="708" w:gutter="0"/>
          <w:cols w:space="708"/>
          <w:docGrid w:linePitch="360"/>
        </w:sectPr>
      </w:pPr>
    </w:p>
    <w:p w14:paraId="4A276183" w14:textId="166DAD2F" w:rsidR="003967E4" w:rsidRDefault="00387DCF" w:rsidP="003967E4">
      <w:r>
        <w:rPr>
          <w:noProof/>
        </w:rPr>
        <w:lastRenderedPageBreak/>
        <w:drawing>
          <wp:inline distT="0" distB="0" distL="0" distR="0" wp14:anchorId="5E64C32D" wp14:editId="713196A8">
            <wp:extent cx="5958205" cy="4785354"/>
            <wp:effectExtent l="0" t="0" r="444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803" cy="4797079"/>
                    </a:xfrm>
                    <a:prstGeom prst="rect">
                      <a:avLst/>
                    </a:prstGeom>
                    <a:noFill/>
                  </pic:spPr>
                </pic:pic>
              </a:graphicData>
            </a:graphic>
          </wp:inline>
        </w:drawing>
      </w:r>
    </w:p>
    <w:p w14:paraId="0899AB2F" w14:textId="0105D8B1" w:rsidR="00387DCF" w:rsidRDefault="00387DCF" w:rsidP="00387DCF">
      <w:r w:rsidRPr="00387DCF">
        <w:rPr>
          <w:b/>
          <w:bCs/>
        </w:rPr>
        <w:t xml:space="preserve">Fig S7 DEG-based pathway analysis illustrate genotype specific flood stress regulation. </w:t>
      </w:r>
      <w:r w:rsidRPr="00387DCF">
        <w:rPr>
          <w:b/>
          <w:bCs/>
          <w:color w:val="D9D9D9" w:themeColor="background1" w:themeShade="D9"/>
        </w:rPr>
        <w:t xml:space="preserve">(A) </w:t>
      </w:r>
      <w:r w:rsidRPr="00387DCF">
        <w:rPr>
          <w:color w:val="D9D9D9" w:themeColor="background1" w:themeShade="D9"/>
        </w:rPr>
        <w:t>Pathway analysis of DEG between flood-stressed AAC-</w:t>
      </w:r>
      <w:proofErr w:type="spellStart"/>
      <w:r w:rsidRPr="00387DCF">
        <w:rPr>
          <w:color w:val="D9D9D9" w:themeColor="background1" w:themeShade="D9"/>
        </w:rPr>
        <w:t>Trueman</w:t>
      </w:r>
      <w:proofErr w:type="spellEnd"/>
      <w:r w:rsidRPr="00387DCF">
        <w:rPr>
          <w:color w:val="D9D9D9" w:themeColor="background1" w:themeShade="D9"/>
        </w:rPr>
        <w:t xml:space="preserve"> and WT</w:t>
      </w:r>
      <w:r w:rsidRPr="00387DCF">
        <w:rPr>
          <w:b/>
          <w:bCs/>
          <w:color w:val="D9D9D9" w:themeColor="background1" w:themeShade="D9"/>
        </w:rPr>
        <w:t xml:space="preserve">, </w:t>
      </w:r>
      <w:r w:rsidRPr="00387DCF">
        <w:t>(</w:t>
      </w:r>
      <w:r w:rsidRPr="00387DCF">
        <w:rPr>
          <w:b/>
          <w:bCs/>
        </w:rPr>
        <w:t>B</w:t>
      </w:r>
      <w:r w:rsidRPr="00387DCF">
        <w:t>) Pathway analysis of DEG between flood-stressed AC-Caribou and WT. Pathway overview is constructed using differentially expressed genes between AAC-</w:t>
      </w:r>
      <w:proofErr w:type="spellStart"/>
      <w:r w:rsidRPr="00387DCF">
        <w:t>Trueman</w:t>
      </w:r>
      <w:proofErr w:type="spellEnd"/>
      <w:r w:rsidRPr="00387DCF">
        <w:t xml:space="preserve"> and WT or AC-Caribou and WT under flooding conditions on </w:t>
      </w:r>
      <w:proofErr w:type="spellStart"/>
      <w:r w:rsidRPr="00387DCF">
        <w:t>MapMan</w:t>
      </w:r>
      <w:proofErr w:type="spellEnd"/>
      <w:r w:rsidRPr="00387DCF">
        <w:t xml:space="preserve"> online tool. Red colour indicates increased in transcript levels while blue are reduced levels. Values are transformed by log 2 values.</w:t>
      </w:r>
    </w:p>
    <w:sectPr w:rsidR="00387DCF" w:rsidSect="00387D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7E4"/>
    <w:rsid w:val="001D5416"/>
    <w:rsid w:val="00235B3D"/>
    <w:rsid w:val="00250BA6"/>
    <w:rsid w:val="0031566A"/>
    <w:rsid w:val="00387DCF"/>
    <w:rsid w:val="003967E4"/>
    <w:rsid w:val="006728F5"/>
    <w:rsid w:val="006C6D6D"/>
    <w:rsid w:val="00752695"/>
    <w:rsid w:val="00861D92"/>
    <w:rsid w:val="00884847"/>
    <w:rsid w:val="008C2ECD"/>
    <w:rsid w:val="0095052E"/>
    <w:rsid w:val="00954ECE"/>
    <w:rsid w:val="00C41FD6"/>
    <w:rsid w:val="00D73EC3"/>
    <w:rsid w:val="00EB08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88FE"/>
  <w15:chartTrackingRefBased/>
  <w15:docId w15:val="{EAF7119F-E5DC-47FA-939A-28398B74B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7DC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15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6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74946">
      <w:bodyDiv w:val="1"/>
      <w:marLeft w:val="0"/>
      <w:marRight w:val="0"/>
      <w:marTop w:val="0"/>
      <w:marBottom w:val="0"/>
      <w:divBdr>
        <w:top w:val="none" w:sz="0" w:space="0" w:color="auto"/>
        <w:left w:val="none" w:sz="0" w:space="0" w:color="auto"/>
        <w:bottom w:val="none" w:sz="0" w:space="0" w:color="auto"/>
        <w:right w:val="none" w:sz="0" w:space="0" w:color="auto"/>
      </w:divBdr>
    </w:div>
    <w:div w:id="470832489">
      <w:bodyDiv w:val="1"/>
      <w:marLeft w:val="0"/>
      <w:marRight w:val="0"/>
      <w:marTop w:val="0"/>
      <w:marBottom w:val="0"/>
      <w:divBdr>
        <w:top w:val="none" w:sz="0" w:space="0" w:color="auto"/>
        <w:left w:val="none" w:sz="0" w:space="0" w:color="auto"/>
        <w:bottom w:val="none" w:sz="0" w:space="0" w:color="auto"/>
        <w:right w:val="none" w:sz="0" w:space="0" w:color="auto"/>
      </w:divBdr>
    </w:div>
    <w:div w:id="596208551">
      <w:bodyDiv w:val="1"/>
      <w:marLeft w:val="0"/>
      <w:marRight w:val="0"/>
      <w:marTop w:val="0"/>
      <w:marBottom w:val="0"/>
      <w:divBdr>
        <w:top w:val="none" w:sz="0" w:space="0" w:color="auto"/>
        <w:left w:val="none" w:sz="0" w:space="0" w:color="auto"/>
        <w:bottom w:val="none" w:sz="0" w:space="0" w:color="auto"/>
        <w:right w:val="none" w:sz="0" w:space="0" w:color="auto"/>
      </w:divBdr>
    </w:div>
    <w:div w:id="1075010465">
      <w:bodyDiv w:val="1"/>
      <w:marLeft w:val="0"/>
      <w:marRight w:val="0"/>
      <w:marTop w:val="0"/>
      <w:marBottom w:val="0"/>
      <w:divBdr>
        <w:top w:val="none" w:sz="0" w:space="0" w:color="auto"/>
        <w:left w:val="none" w:sz="0" w:space="0" w:color="auto"/>
        <w:bottom w:val="none" w:sz="0" w:space="0" w:color="auto"/>
        <w:right w:val="none" w:sz="0" w:space="0" w:color="auto"/>
      </w:divBdr>
    </w:div>
    <w:div w:id="1119640980">
      <w:bodyDiv w:val="1"/>
      <w:marLeft w:val="0"/>
      <w:marRight w:val="0"/>
      <w:marTop w:val="0"/>
      <w:marBottom w:val="0"/>
      <w:divBdr>
        <w:top w:val="none" w:sz="0" w:space="0" w:color="auto"/>
        <w:left w:val="none" w:sz="0" w:space="0" w:color="auto"/>
        <w:bottom w:val="none" w:sz="0" w:space="0" w:color="auto"/>
        <w:right w:val="none" w:sz="0" w:space="0" w:color="auto"/>
      </w:divBdr>
    </w:div>
    <w:div w:id="1313367766">
      <w:bodyDiv w:val="1"/>
      <w:marLeft w:val="0"/>
      <w:marRight w:val="0"/>
      <w:marTop w:val="0"/>
      <w:marBottom w:val="0"/>
      <w:divBdr>
        <w:top w:val="none" w:sz="0" w:space="0" w:color="auto"/>
        <w:left w:val="none" w:sz="0" w:space="0" w:color="auto"/>
        <w:bottom w:val="none" w:sz="0" w:space="0" w:color="auto"/>
        <w:right w:val="none" w:sz="0" w:space="0" w:color="auto"/>
      </w:divBdr>
    </w:div>
    <w:div w:id="1461262174">
      <w:bodyDiv w:val="1"/>
      <w:marLeft w:val="0"/>
      <w:marRight w:val="0"/>
      <w:marTop w:val="0"/>
      <w:marBottom w:val="0"/>
      <w:divBdr>
        <w:top w:val="none" w:sz="0" w:space="0" w:color="auto"/>
        <w:left w:val="none" w:sz="0" w:space="0" w:color="auto"/>
        <w:bottom w:val="none" w:sz="0" w:space="0" w:color="auto"/>
        <w:right w:val="none" w:sz="0" w:space="0" w:color="auto"/>
      </w:divBdr>
    </w:div>
    <w:div w:id="1692609135">
      <w:bodyDiv w:val="1"/>
      <w:marLeft w:val="0"/>
      <w:marRight w:val="0"/>
      <w:marTop w:val="0"/>
      <w:marBottom w:val="0"/>
      <w:divBdr>
        <w:top w:val="none" w:sz="0" w:space="0" w:color="auto"/>
        <w:left w:val="none" w:sz="0" w:space="0" w:color="auto"/>
        <w:bottom w:val="none" w:sz="0" w:space="0" w:color="auto"/>
        <w:right w:val="none" w:sz="0" w:space="0" w:color="auto"/>
      </w:divBdr>
    </w:div>
    <w:div w:id="17435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biruk F</dc:creator>
  <cp:keywords/>
  <dc:description/>
  <cp:lastModifiedBy>biruk F</cp:lastModifiedBy>
  <cp:revision>3</cp:revision>
  <dcterms:created xsi:type="dcterms:W3CDTF">2021-01-08T02:31:00Z</dcterms:created>
  <dcterms:modified xsi:type="dcterms:W3CDTF">2021-01-08T02:34:00Z</dcterms:modified>
</cp:coreProperties>
</file>