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7332" w:rsidRPr="00077332" w:rsidRDefault="00077332" w:rsidP="00077332">
      <w:pPr>
        <w:spacing w:line="480" w:lineRule="auto"/>
        <w:jc w:val="both"/>
        <w:rPr>
          <w:b/>
          <w:sz w:val="22"/>
          <w:szCs w:val="22"/>
          <w:lang w:val="en-US"/>
        </w:rPr>
      </w:pPr>
      <w:r w:rsidRPr="00077332">
        <w:rPr>
          <w:b/>
          <w:sz w:val="22"/>
          <w:szCs w:val="22"/>
          <w:lang w:val="en-US"/>
        </w:rPr>
        <w:t>Supplementary materials</w:t>
      </w:r>
    </w:p>
    <w:p w:rsidR="00077332" w:rsidRDefault="00077332" w:rsidP="00077332">
      <w:pPr>
        <w:spacing w:line="480" w:lineRule="auto"/>
        <w:jc w:val="both"/>
        <w:rPr>
          <w:sz w:val="22"/>
          <w:szCs w:val="22"/>
          <w:lang w:val="en-US"/>
        </w:rPr>
      </w:pPr>
    </w:p>
    <w:p w:rsidR="00077332" w:rsidRDefault="00077332" w:rsidP="00077332">
      <w:pPr>
        <w:spacing w:line="480" w:lineRule="auto"/>
        <w:jc w:val="both"/>
        <w:rPr>
          <w:b/>
          <w:sz w:val="32"/>
          <w:lang w:val="en-US"/>
        </w:rPr>
      </w:pPr>
    </w:p>
    <w:p w:rsidR="00077332" w:rsidRDefault="00077332" w:rsidP="00077332">
      <w:pPr>
        <w:spacing w:line="480" w:lineRule="auto"/>
        <w:jc w:val="both"/>
        <w:rPr>
          <w:b/>
          <w:sz w:val="32"/>
          <w:lang w:val="en-US"/>
        </w:rPr>
      </w:pPr>
      <w:r>
        <w:rPr>
          <w:b/>
          <w:sz w:val="32"/>
          <w:lang w:val="en-US"/>
        </w:rPr>
        <w:t>Role of PDZ-binding motif from West Nile virus NS5 protein on viral replication.</w:t>
      </w:r>
    </w:p>
    <w:p w:rsidR="00077332" w:rsidRDefault="00077332" w:rsidP="00077332">
      <w:pPr>
        <w:spacing w:line="480" w:lineRule="auto"/>
        <w:jc w:val="both"/>
        <w:rPr>
          <w:b/>
          <w:sz w:val="22"/>
          <w:szCs w:val="22"/>
          <w:lang w:val="en-US"/>
        </w:rPr>
      </w:pPr>
      <w:r>
        <w:rPr>
          <w:b/>
          <w:sz w:val="22"/>
          <w:szCs w:val="22"/>
          <w:lang w:val="en-US"/>
        </w:rPr>
        <w:t>Authors:</w:t>
      </w:r>
    </w:p>
    <w:p w:rsidR="00077332" w:rsidRDefault="00077332" w:rsidP="00077332">
      <w:pPr>
        <w:spacing w:line="480" w:lineRule="auto"/>
        <w:jc w:val="both"/>
        <w:rPr>
          <w:sz w:val="22"/>
          <w:szCs w:val="22"/>
          <w:lang w:val="en-US"/>
        </w:rPr>
      </w:pPr>
      <w:r>
        <w:rPr>
          <w:sz w:val="22"/>
          <w:szCs w:val="22"/>
          <w:lang w:val="en-US"/>
        </w:rPr>
        <w:t>Emilie Giraud</w:t>
      </w:r>
      <w:r>
        <w:rPr>
          <w:sz w:val="22"/>
          <w:szCs w:val="22"/>
          <w:vertAlign w:val="superscript"/>
          <w:lang w:val="en-US"/>
        </w:rPr>
        <w:t>1*</w:t>
      </w:r>
      <w:r>
        <w:rPr>
          <w:sz w:val="22"/>
          <w:szCs w:val="22"/>
          <w:lang w:val="en-US"/>
        </w:rPr>
        <w:t xml:space="preserve">, </w:t>
      </w:r>
      <w:proofErr w:type="spellStart"/>
      <w:r>
        <w:rPr>
          <w:sz w:val="22"/>
          <w:szCs w:val="22"/>
          <w:lang w:val="en-US"/>
        </w:rPr>
        <w:t>Chloé</w:t>
      </w:r>
      <w:proofErr w:type="spellEnd"/>
      <w:r>
        <w:rPr>
          <w:sz w:val="22"/>
          <w:szCs w:val="22"/>
          <w:lang w:val="en-US"/>
        </w:rPr>
        <w:t xml:space="preserve"> Otero del val</w:t>
      </w:r>
      <w:r>
        <w:rPr>
          <w:sz w:val="22"/>
          <w:szCs w:val="22"/>
          <w:vertAlign w:val="superscript"/>
          <w:lang w:val="en-US"/>
        </w:rPr>
        <w:t>2</w:t>
      </w:r>
      <w:r>
        <w:rPr>
          <w:sz w:val="22"/>
          <w:szCs w:val="22"/>
          <w:lang w:val="en-US"/>
        </w:rPr>
        <w:t xml:space="preserve">, </w:t>
      </w:r>
      <w:proofErr w:type="spellStart"/>
      <w:r>
        <w:rPr>
          <w:sz w:val="22"/>
          <w:szCs w:val="22"/>
          <w:lang w:val="en-US"/>
        </w:rPr>
        <w:t>Célia</w:t>
      </w:r>
      <w:proofErr w:type="spellEnd"/>
      <w:r>
        <w:rPr>
          <w:sz w:val="22"/>
          <w:szCs w:val="22"/>
          <w:lang w:val="en-US"/>
        </w:rPr>
        <w:t xml:space="preserve"> Caillet-Saguy</w:t>
      </w:r>
      <w:r>
        <w:rPr>
          <w:sz w:val="22"/>
          <w:szCs w:val="22"/>
          <w:vertAlign w:val="superscript"/>
          <w:lang w:val="en-US"/>
        </w:rPr>
        <w:t>2</w:t>
      </w:r>
      <w:r>
        <w:rPr>
          <w:sz w:val="22"/>
          <w:szCs w:val="22"/>
          <w:lang w:val="en-US"/>
        </w:rPr>
        <w:t>, Nada Zehrouni</w:t>
      </w:r>
      <w:r>
        <w:rPr>
          <w:sz w:val="22"/>
          <w:szCs w:val="22"/>
          <w:vertAlign w:val="superscript"/>
          <w:lang w:val="en-US"/>
        </w:rPr>
        <w:t>2</w:t>
      </w:r>
      <w:r>
        <w:rPr>
          <w:sz w:val="22"/>
          <w:szCs w:val="22"/>
          <w:lang w:val="en-US"/>
        </w:rPr>
        <w:t>, Cécile Khou</w:t>
      </w:r>
      <w:r>
        <w:rPr>
          <w:sz w:val="22"/>
          <w:szCs w:val="22"/>
          <w:vertAlign w:val="superscript"/>
          <w:lang w:val="en-US"/>
        </w:rPr>
        <w:t>5</w:t>
      </w:r>
      <w:r>
        <w:rPr>
          <w:sz w:val="22"/>
          <w:szCs w:val="22"/>
          <w:lang w:val="en-US"/>
        </w:rPr>
        <w:t>, Joël Caillet</w:t>
      </w:r>
      <w:r>
        <w:rPr>
          <w:sz w:val="22"/>
          <w:szCs w:val="22"/>
          <w:vertAlign w:val="superscript"/>
          <w:lang w:val="en-US"/>
        </w:rPr>
        <w:t>4</w:t>
      </w:r>
      <w:r>
        <w:rPr>
          <w:sz w:val="22"/>
          <w:szCs w:val="22"/>
          <w:lang w:val="en-US"/>
        </w:rPr>
        <w:t>, Yves Jacob</w:t>
      </w:r>
      <w:r>
        <w:rPr>
          <w:sz w:val="22"/>
          <w:szCs w:val="22"/>
          <w:vertAlign w:val="superscript"/>
          <w:lang w:val="en-US"/>
        </w:rPr>
        <w:t>3</w:t>
      </w:r>
      <w:r>
        <w:rPr>
          <w:sz w:val="22"/>
          <w:szCs w:val="22"/>
          <w:lang w:val="en-US"/>
        </w:rPr>
        <w:t>, Nathalie Pardigon</w:t>
      </w:r>
      <w:r>
        <w:rPr>
          <w:sz w:val="22"/>
          <w:szCs w:val="22"/>
          <w:vertAlign w:val="superscript"/>
          <w:lang w:val="en-US"/>
        </w:rPr>
        <w:t>5</w:t>
      </w:r>
      <w:r>
        <w:rPr>
          <w:sz w:val="22"/>
          <w:szCs w:val="22"/>
          <w:lang w:val="en-US"/>
        </w:rPr>
        <w:t>, Nicolas Wolff</w:t>
      </w:r>
      <w:r>
        <w:rPr>
          <w:sz w:val="22"/>
          <w:szCs w:val="22"/>
          <w:vertAlign w:val="superscript"/>
          <w:lang w:val="en-US"/>
        </w:rPr>
        <w:t>2</w:t>
      </w:r>
      <w:r>
        <w:rPr>
          <w:sz w:val="22"/>
          <w:szCs w:val="22"/>
          <w:lang w:val="en-US"/>
        </w:rPr>
        <w:t>.</w:t>
      </w:r>
    </w:p>
    <w:p w:rsidR="00077332" w:rsidRDefault="00077332" w:rsidP="00077332">
      <w:pPr>
        <w:spacing w:beforeAutospacing="1" w:afterAutospacing="1"/>
        <w:jc w:val="both"/>
        <w:rPr>
          <w:sz w:val="22"/>
          <w:szCs w:val="22"/>
        </w:rPr>
      </w:pPr>
      <w:r>
        <w:rPr>
          <w:sz w:val="22"/>
          <w:szCs w:val="22"/>
          <w:vertAlign w:val="superscript"/>
        </w:rPr>
        <w:t xml:space="preserve">1 </w:t>
      </w:r>
      <w:r>
        <w:rPr>
          <w:sz w:val="22"/>
          <w:szCs w:val="22"/>
        </w:rPr>
        <w:t>Unité Interactions Virus-Insectes, Institut Pasteur, Paris.</w:t>
      </w:r>
    </w:p>
    <w:p w:rsidR="00077332" w:rsidRDefault="00077332" w:rsidP="00077332">
      <w:pPr>
        <w:pStyle w:val="NormalWeb"/>
        <w:spacing w:before="280" w:after="280"/>
        <w:rPr>
          <w:sz w:val="22"/>
          <w:szCs w:val="22"/>
          <w:lang w:val="fr-FR"/>
        </w:rPr>
      </w:pPr>
      <w:r>
        <w:rPr>
          <w:sz w:val="22"/>
          <w:szCs w:val="22"/>
          <w:vertAlign w:val="superscript"/>
          <w:lang w:val="fr-FR"/>
        </w:rPr>
        <w:t xml:space="preserve">2 </w:t>
      </w:r>
      <w:r>
        <w:rPr>
          <w:sz w:val="22"/>
          <w:szCs w:val="22"/>
          <w:lang w:val="fr-FR"/>
        </w:rPr>
        <w:t>Unité Récepteurs-Canaux, Institut Pasteur, Paris.</w:t>
      </w:r>
    </w:p>
    <w:p w:rsidR="00077332" w:rsidRDefault="00077332" w:rsidP="00077332">
      <w:pPr>
        <w:pStyle w:val="NormalWeb"/>
        <w:spacing w:before="280" w:after="280"/>
        <w:rPr>
          <w:sz w:val="22"/>
          <w:szCs w:val="22"/>
          <w:lang w:val="fr-FR"/>
        </w:rPr>
      </w:pPr>
      <w:r>
        <w:rPr>
          <w:sz w:val="22"/>
          <w:szCs w:val="22"/>
          <w:vertAlign w:val="superscript"/>
          <w:lang w:val="fr-FR"/>
        </w:rPr>
        <w:t xml:space="preserve">3 </w:t>
      </w:r>
      <w:r>
        <w:rPr>
          <w:sz w:val="22"/>
          <w:szCs w:val="22"/>
          <w:lang w:val="fr-FR"/>
        </w:rPr>
        <w:t>Unité de Génétique Moléculaire des virus ARN, Institut Pasteur, Paris.</w:t>
      </w:r>
    </w:p>
    <w:p w:rsidR="00077332" w:rsidRDefault="00077332" w:rsidP="00077332">
      <w:pPr>
        <w:pStyle w:val="NormalWeb"/>
        <w:spacing w:before="280" w:after="280"/>
        <w:rPr>
          <w:sz w:val="22"/>
          <w:szCs w:val="22"/>
          <w:lang w:val="fr-FR"/>
        </w:rPr>
      </w:pPr>
      <w:r>
        <w:rPr>
          <w:sz w:val="22"/>
          <w:szCs w:val="22"/>
          <w:vertAlign w:val="superscript"/>
          <w:lang w:val="fr-FR"/>
        </w:rPr>
        <w:t xml:space="preserve">4 </w:t>
      </w:r>
      <w:r>
        <w:rPr>
          <w:sz w:val="22"/>
          <w:szCs w:val="22"/>
          <w:lang w:val="fr-FR"/>
        </w:rPr>
        <w:t>UMR 8261, CNRS, Université de Paris, Institut de Biologie Physico-Chimique, 75005, Paris, France.</w:t>
      </w:r>
    </w:p>
    <w:p w:rsidR="00077332" w:rsidRDefault="00077332" w:rsidP="00077332">
      <w:pPr>
        <w:pStyle w:val="NormalWeb"/>
        <w:spacing w:before="280" w:after="280"/>
        <w:rPr>
          <w:sz w:val="22"/>
          <w:szCs w:val="22"/>
          <w:lang w:val="fr-FR"/>
        </w:rPr>
      </w:pPr>
      <w:r>
        <w:rPr>
          <w:sz w:val="22"/>
          <w:szCs w:val="22"/>
          <w:vertAlign w:val="superscript"/>
          <w:lang w:val="fr-FR"/>
        </w:rPr>
        <w:t>5</w:t>
      </w:r>
      <w:r>
        <w:rPr>
          <w:sz w:val="22"/>
          <w:szCs w:val="22"/>
          <w:lang w:val="fr-FR"/>
        </w:rPr>
        <w:t xml:space="preserve"> Unité de Recherche et d’Expertise Environnement et Risques Infectieux, Institut Pasteur, Paris</w:t>
      </w:r>
    </w:p>
    <w:p w:rsidR="00077332" w:rsidRDefault="00077332" w:rsidP="00077332">
      <w:pPr>
        <w:spacing w:line="480" w:lineRule="auto"/>
        <w:jc w:val="both"/>
        <w:rPr>
          <w:sz w:val="22"/>
          <w:szCs w:val="22"/>
        </w:rPr>
      </w:pPr>
    </w:p>
    <w:p w:rsidR="00077332" w:rsidRDefault="00077332" w:rsidP="00077332">
      <w:pPr>
        <w:spacing w:line="480" w:lineRule="auto"/>
        <w:jc w:val="both"/>
        <w:rPr>
          <w:sz w:val="22"/>
          <w:szCs w:val="22"/>
          <w:lang w:val="en-US"/>
        </w:rPr>
      </w:pPr>
      <w:r>
        <w:rPr>
          <w:sz w:val="22"/>
          <w:szCs w:val="22"/>
          <w:lang w:val="en-US"/>
        </w:rPr>
        <w:t>* Corresponding author: Emilie Giraud</w:t>
      </w:r>
    </w:p>
    <w:p w:rsidR="00077332" w:rsidRPr="00C133AE" w:rsidRDefault="00077332" w:rsidP="00077332">
      <w:pPr>
        <w:spacing w:line="480" w:lineRule="auto"/>
        <w:jc w:val="both"/>
        <w:rPr>
          <w:lang w:val="en-US"/>
        </w:rPr>
      </w:pPr>
      <w:r w:rsidRPr="00C133AE">
        <w:rPr>
          <w:sz w:val="22"/>
          <w:szCs w:val="22"/>
          <w:lang w:val="en-US"/>
        </w:rPr>
        <w:t xml:space="preserve">E-mail: </w:t>
      </w:r>
      <w:hyperlink r:id="rId6">
        <w:r w:rsidRPr="00C133AE">
          <w:rPr>
            <w:rStyle w:val="LienInternet"/>
            <w:sz w:val="22"/>
            <w:szCs w:val="22"/>
            <w:lang w:val="en-US"/>
          </w:rPr>
          <w:t>emilie.giraud@pasteur.fr</w:t>
        </w:r>
      </w:hyperlink>
    </w:p>
    <w:p w:rsidR="00077332" w:rsidRPr="00C133AE" w:rsidRDefault="00077332" w:rsidP="00077332">
      <w:pPr>
        <w:spacing w:line="480" w:lineRule="auto"/>
        <w:jc w:val="both"/>
        <w:rPr>
          <w:sz w:val="22"/>
          <w:szCs w:val="22"/>
          <w:lang w:val="en-US"/>
        </w:rPr>
      </w:pPr>
    </w:p>
    <w:p w:rsidR="00077332" w:rsidRDefault="00077332" w:rsidP="00077332">
      <w:pPr>
        <w:spacing w:line="480" w:lineRule="auto"/>
        <w:jc w:val="both"/>
        <w:rPr>
          <w:b/>
          <w:sz w:val="22"/>
          <w:szCs w:val="22"/>
        </w:rPr>
      </w:pPr>
      <w:proofErr w:type="gramStart"/>
      <w:r>
        <w:rPr>
          <w:b/>
          <w:sz w:val="22"/>
          <w:szCs w:val="22"/>
        </w:rPr>
        <w:t>Keywords:</w:t>
      </w:r>
      <w:proofErr w:type="gramEnd"/>
    </w:p>
    <w:p w:rsidR="00077332" w:rsidRDefault="00077332" w:rsidP="00077332">
      <w:pPr>
        <w:spacing w:line="480" w:lineRule="auto"/>
        <w:jc w:val="both"/>
        <w:rPr>
          <w:sz w:val="22"/>
          <w:szCs w:val="22"/>
        </w:rPr>
      </w:pPr>
      <w:proofErr w:type="spellStart"/>
      <w:r>
        <w:rPr>
          <w:sz w:val="22"/>
          <w:szCs w:val="22"/>
        </w:rPr>
        <w:t>Flavivirus</w:t>
      </w:r>
      <w:proofErr w:type="spellEnd"/>
      <w:r>
        <w:rPr>
          <w:sz w:val="22"/>
          <w:szCs w:val="22"/>
        </w:rPr>
        <w:t xml:space="preserve">, Virus </w:t>
      </w:r>
      <w:proofErr w:type="spellStart"/>
      <w:r>
        <w:rPr>
          <w:sz w:val="22"/>
          <w:szCs w:val="22"/>
        </w:rPr>
        <w:t>replication</w:t>
      </w:r>
      <w:proofErr w:type="spellEnd"/>
      <w:r>
        <w:rPr>
          <w:sz w:val="22"/>
          <w:szCs w:val="22"/>
        </w:rPr>
        <w:t xml:space="preserve">, Viral </w:t>
      </w:r>
      <w:proofErr w:type="spellStart"/>
      <w:r>
        <w:rPr>
          <w:sz w:val="22"/>
          <w:szCs w:val="22"/>
        </w:rPr>
        <w:t>protein</w:t>
      </w:r>
      <w:proofErr w:type="spellEnd"/>
      <w:r>
        <w:rPr>
          <w:sz w:val="22"/>
          <w:szCs w:val="22"/>
        </w:rPr>
        <w:t xml:space="preserve">, </w:t>
      </w:r>
      <w:proofErr w:type="spellStart"/>
      <w:r>
        <w:rPr>
          <w:sz w:val="22"/>
          <w:szCs w:val="22"/>
        </w:rPr>
        <w:t>protein-protein</w:t>
      </w:r>
      <w:proofErr w:type="spellEnd"/>
      <w:r>
        <w:rPr>
          <w:sz w:val="22"/>
          <w:szCs w:val="22"/>
        </w:rPr>
        <w:t xml:space="preserve"> interaction, PDZ </w:t>
      </w:r>
      <w:proofErr w:type="spellStart"/>
      <w:r>
        <w:rPr>
          <w:sz w:val="22"/>
          <w:szCs w:val="22"/>
        </w:rPr>
        <w:t>domain</w:t>
      </w:r>
      <w:proofErr w:type="spellEnd"/>
      <w:r>
        <w:rPr>
          <w:sz w:val="22"/>
          <w:szCs w:val="22"/>
        </w:rPr>
        <w:t>, PBM motif.</w:t>
      </w:r>
    </w:p>
    <w:p w:rsidR="00077332" w:rsidRDefault="00077332" w:rsidP="00077332">
      <w:pPr>
        <w:spacing w:line="480" w:lineRule="auto"/>
        <w:jc w:val="both"/>
        <w:rPr>
          <w:sz w:val="22"/>
          <w:szCs w:val="22"/>
        </w:rPr>
      </w:pPr>
    </w:p>
    <w:p w:rsidR="00077332" w:rsidRDefault="00077332" w:rsidP="00077332">
      <w:pPr>
        <w:spacing w:line="480" w:lineRule="auto"/>
        <w:jc w:val="both"/>
        <w:rPr>
          <w:sz w:val="22"/>
          <w:szCs w:val="22"/>
        </w:rPr>
      </w:pPr>
    </w:p>
    <w:p w:rsidR="00077332" w:rsidRPr="004A40AA" w:rsidRDefault="00077332" w:rsidP="00077332">
      <w:pPr>
        <w:spacing w:line="480" w:lineRule="auto"/>
        <w:jc w:val="both"/>
        <w:rPr>
          <w:lang w:val="en-US"/>
        </w:rPr>
      </w:pPr>
      <w:proofErr w:type="gramStart"/>
      <w:r w:rsidRPr="004A40AA">
        <w:rPr>
          <w:b/>
          <w:lang w:val="en-US"/>
        </w:rPr>
        <w:t>Contents </w:t>
      </w:r>
      <w:r w:rsidRPr="004A40AA">
        <w:rPr>
          <w:lang w:val="en-US"/>
        </w:rPr>
        <w:t>:</w:t>
      </w:r>
      <w:proofErr w:type="gramEnd"/>
      <w:r w:rsidRPr="004A40AA">
        <w:rPr>
          <w:lang w:val="en-US"/>
        </w:rPr>
        <w:t xml:space="preserve"> </w:t>
      </w:r>
    </w:p>
    <w:p w:rsidR="00077332" w:rsidRPr="00077332" w:rsidRDefault="00077332" w:rsidP="00077332">
      <w:pPr>
        <w:spacing w:line="480" w:lineRule="auto"/>
        <w:jc w:val="both"/>
        <w:rPr>
          <w:lang w:val="en-GB"/>
        </w:rPr>
        <w:sectPr w:rsidR="00077332" w:rsidRPr="00077332" w:rsidSect="00C133AE">
          <w:footerReference w:type="default" r:id="rId7"/>
          <w:pgSz w:w="11906" w:h="16838"/>
          <w:pgMar w:top="1418" w:right="1418" w:bottom="1418" w:left="1418" w:header="0" w:footer="709" w:gutter="0"/>
          <w:cols w:space="720"/>
          <w:formProt w:val="0"/>
          <w:docGrid w:linePitch="360"/>
        </w:sectPr>
      </w:pPr>
      <w:r w:rsidRPr="00077332">
        <w:rPr>
          <w:lang w:val="en-GB"/>
        </w:rPr>
        <w:t>Supplementary Figures 1-3 and supplementary table</w:t>
      </w:r>
      <w:r>
        <w:rPr>
          <w:lang w:val="en-GB"/>
        </w:rPr>
        <w:t>s 1-2</w:t>
      </w:r>
    </w:p>
    <w:p w:rsidR="00C133AE" w:rsidRDefault="00C133AE" w:rsidP="00C133AE">
      <w:pPr>
        <w:jc w:val="both"/>
        <w:rPr>
          <w:lang w:val="en-GB"/>
        </w:rPr>
      </w:pPr>
      <w:r w:rsidRPr="00A21BB1">
        <w:rPr>
          <w:noProof/>
          <w:lang w:val="en-GB" w:eastAsia="en-GB"/>
        </w:rPr>
        <w:lastRenderedPageBreak/>
        <w:drawing>
          <wp:inline distT="0" distB="0" distL="0" distR="0" wp14:anchorId="4CD5F062" wp14:editId="4673C44F">
            <wp:extent cx="5759450" cy="4990465"/>
            <wp:effectExtent l="0" t="0" r="0" b="0"/>
            <wp:docPr id="12" name="Image 6">
              <a:extLst xmlns:a="http://schemas.openxmlformats.org/drawingml/2006/main">
                <a:ext uri="{FF2B5EF4-FFF2-40B4-BE49-F238E27FC236}">
                  <a16:creationId xmlns:a16="http://schemas.microsoft.com/office/drawing/2014/main" id="{AA11F979-A52C-9B4E-8B7B-06606D3E76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a:extLst>
                        <a:ext uri="{FF2B5EF4-FFF2-40B4-BE49-F238E27FC236}">
                          <a16:creationId xmlns:a16="http://schemas.microsoft.com/office/drawing/2014/main" id="{AA11F979-A52C-9B4E-8B7B-06606D3E76D1}"/>
                        </a:ext>
                      </a:extLst>
                    </pic:cNvPr>
                    <pic:cNvPicPr>
                      <a:picLocks noChangeAspect="1"/>
                    </pic:cNvPicPr>
                  </pic:nvPicPr>
                  <pic:blipFill>
                    <a:blip r:embed="rId8"/>
                    <a:stretch>
                      <a:fillRect/>
                    </a:stretch>
                  </pic:blipFill>
                  <pic:spPr>
                    <a:xfrm>
                      <a:off x="0" y="0"/>
                      <a:ext cx="5759450" cy="4990465"/>
                    </a:xfrm>
                    <a:prstGeom prst="rect">
                      <a:avLst/>
                    </a:prstGeom>
                  </pic:spPr>
                </pic:pic>
              </a:graphicData>
            </a:graphic>
          </wp:inline>
        </w:drawing>
      </w:r>
    </w:p>
    <w:p w:rsidR="00C133AE" w:rsidRPr="00E6334D" w:rsidRDefault="00C133AE" w:rsidP="00C133AE">
      <w:pPr>
        <w:jc w:val="both"/>
        <w:rPr>
          <w:b/>
          <w:sz w:val="20"/>
          <w:szCs w:val="20"/>
          <w:lang w:val="en-US"/>
        </w:rPr>
      </w:pPr>
      <w:r w:rsidRPr="00E6334D">
        <w:rPr>
          <w:b/>
          <w:sz w:val="20"/>
          <w:szCs w:val="20"/>
          <w:lang w:val="en-US"/>
        </w:rPr>
        <w:t>Suppl. Fig. 1: Functional categorization of PDZ proteins identified by the high-throughput Holdup and N2H methods</w:t>
      </w:r>
    </w:p>
    <w:p w:rsidR="00C133AE" w:rsidRPr="009A105B" w:rsidRDefault="00C133AE" w:rsidP="00C133AE">
      <w:pPr>
        <w:jc w:val="both"/>
        <w:rPr>
          <w:sz w:val="20"/>
          <w:szCs w:val="20"/>
          <w:lang w:val="en-GB"/>
        </w:rPr>
      </w:pPr>
      <w:r w:rsidRPr="00E6334D">
        <w:rPr>
          <w:sz w:val="20"/>
          <w:szCs w:val="20"/>
          <w:lang w:val="en-GB"/>
        </w:rPr>
        <w:t>(A) Venn diagram comparing the list of PZD proteins obtained by Holdup (blue), by N2H method with the PDZ domains (red) and by N2H method obtained with full-length proteins (green). (B-E) Pie charts of PANTHER GO-slim molecular function (B), Biological process (C), Cellular function (D) and protein class (E). PANTHER overrepresentation test was performed on 41 proteins which were identified by the two high-throughput analysis by importing protein IDs into the GO enrichment analysis tool based on protein analysis through the evolutionary relationships (PANTHER) classification system.</w:t>
      </w:r>
    </w:p>
    <w:p w:rsidR="006945C7" w:rsidRDefault="00401A2A" w:rsidP="00077332">
      <w:pPr>
        <w:rPr>
          <w:lang w:val="en-GB"/>
        </w:rPr>
      </w:pPr>
    </w:p>
    <w:p w:rsidR="00C133AE" w:rsidRDefault="00C133AE" w:rsidP="00077332">
      <w:pPr>
        <w:rPr>
          <w:lang w:val="en-GB"/>
        </w:rPr>
      </w:pPr>
    </w:p>
    <w:p w:rsidR="00C133AE" w:rsidRDefault="00C133AE" w:rsidP="00077332">
      <w:pPr>
        <w:rPr>
          <w:lang w:val="en-GB"/>
        </w:rPr>
      </w:pPr>
    </w:p>
    <w:p w:rsidR="00C133AE" w:rsidRDefault="00C133AE" w:rsidP="00077332">
      <w:pPr>
        <w:rPr>
          <w:lang w:val="en-GB"/>
        </w:rPr>
      </w:pPr>
    </w:p>
    <w:p w:rsidR="00C133AE" w:rsidRDefault="00C133AE" w:rsidP="00077332">
      <w:pPr>
        <w:rPr>
          <w:lang w:val="en-GB"/>
        </w:rPr>
      </w:pPr>
    </w:p>
    <w:p w:rsidR="00C133AE" w:rsidRDefault="00C133AE" w:rsidP="00077332">
      <w:pPr>
        <w:rPr>
          <w:lang w:val="en-GB"/>
        </w:rPr>
      </w:pPr>
    </w:p>
    <w:p w:rsidR="00C133AE" w:rsidRDefault="00C133AE" w:rsidP="00077332">
      <w:pPr>
        <w:rPr>
          <w:lang w:val="en-GB"/>
        </w:rPr>
      </w:pPr>
    </w:p>
    <w:p w:rsidR="00C133AE" w:rsidRDefault="00C133AE" w:rsidP="00077332">
      <w:pPr>
        <w:rPr>
          <w:lang w:val="en-GB"/>
        </w:rPr>
      </w:pPr>
    </w:p>
    <w:p w:rsidR="00C133AE" w:rsidRDefault="00C133AE" w:rsidP="00C133AE">
      <w:pPr>
        <w:jc w:val="both"/>
        <w:rPr>
          <w:lang w:val="en-US"/>
        </w:rPr>
      </w:pPr>
    </w:p>
    <w:p w:rsidR="00C133AE" w:rsidRDefault="00C133AE" w:rsidP="00C133AE">
      <w:pPr>
        <w:jc w:val="both"/>
        <w:rPr>
          <w:lang w:val="en-US"/>
        </w:rPr>
      </w:pPr>
    </w:p>
    <w:p w:rsidR="00C133AE" w:rsidRDefault="00C133AE" w:rsidP="00C133AE">
      <w:pPr>
        <w:jc w:val="both"/>
        <w:rPr>
          <w:lang w:val="en-US"/>
        </w:rPr>
      </w:pPr>
    </w:p>
    <w:p w:rsidR="00C133AE" w:rsidRDefault="00C133AE" w:rsidP="00C133AE">
      <w:pPr>
        <w:jc w:val="both"/>
        <w:rPr>
          <w:lang w:val="en-US"/>
        </w:rPr>
      </w:pPr>
    </w:p>
    <w:p w:rsidR="00C133AE" w:rsidRDefault="00C133AE" w:rsidP="00C133AE">
      <w:pPr>
        <w:jc w:val="both"/>
        <w:rPr>
          <w:lang w:val="en-US"/>
        </w:rPr>
      </w:pPr>
    </w:p>
    <w:p w:rsidR="00C133AE" w:rsidRDefault="00C133AE" w:rsidP="00C133AE">
      <w:pPr>
        <w:jc w:val="both"/>
        <w:rPr>
          <w:lang w:val="en-US"/>
        </w:rPr>
      </w:pPr>
    </w:p>
    <w:p w:rsidR="00C133AE" w:rsidRDefault="00C133AE" w:rsidP="00C133AE">
      <w:pPr>
        <w:jc w:val="both"/>
        <w:rPr>
          <w:lang w:val="en-US"/>
        </w:rPr>
      </w:pPr>
    </w:p>
    <w:p w:rsidR="00C133AE" w:rsidRDefault="00C133AE" w:rsidP="00C133AE">
      <w:pPr>
        <w:jc w:val="both"/>
        <w:rPr>
          <w:lang w:val="en-US"/>
        </w:rPr>
      </w:pPr>
    </w:p>
    <w:p w:rsidR="00C133AE" w:rsidRDefault="00C133AE" w:rsidP="00C133AE">
      <w:pPr>
        <w:jc w:val="both"/>
        <w:rPr>
          <w:lang w:val="en-US"/>
        </w:rPr>
      </w:pPr>
    </w:p>
    <w:p w:rsidR="00C133AE" w:rsidRDefault="00C133AE" w:rsidP="00C133AE">
      <w:pPr>
        <w:jc w:val="both"/>
        <w:rPr>
          <w:lang w:val="en-US"/>
        </w:rPr>
      </w:pPr>
    </w:p>
    <w:p w:rsidR="00C133AE" w:rsidRDefault="00C133AE" w:rsidP="00C133AE">
      <w:pPr>
        <w:jc w:val="both"/>
        <w:rPr>
          <w:lang w:val="en-US"/>
        </w:rPr>
      </w:pPr>
    </w:p>
    <w:p w:rsidR="00C133AE" w:rsidRDefault="00C133AE" w:rsidP="00C133AE">
      <w:pPr>
        <w:jc w:val="both"/>
        <w:rPr>
          <w:lang w:val="en-US"/>
        </w:rPr>
      </w:pPr>
    </w:p>
    <w:p w:rsidR="00C133AE" w:rsidRDefault="00C133AE" w:rsidP="00C133AE">
      <w:pPr>
        <w:jc w:val="both"/>
        <w:rPr>
          <w:lang w:val="en-US"/>
        </w:rPr>
      </w:pPr>
    </w:p>
    <w:p w:rsidR="00C133AE" w:rsidRDefault="00C133AE" w:rsidP="00C133AE">
      <w:pPr>
        <w:jc w:val="both"/>
        <w:rPr>
          <w:lang w:val="en-US"/>
        </w:rPr>
      </w:pPr>
      <w:r w:rsidRPr="00E6334D">
        <w:rPr>
          <w:noProof/>
          <w:lang w:val="en-GB" w:eastAsia="en-GB"/>
        </w:rPr>
        <w:drawing>
          <wp:inline distT="0" distB="0" distL="0" distR="0" wp14:anchorId="2605ABB2" wp14:editId="42989B17">
            <wp:extent cx="4597818" cy="3988340"/>
            <wp:effectExtent l="0" t="0" r="0" b="0"/>
            <wp:docPr id="18"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3"/>
                    <pic:cNvPicPr>
                      <a:picLocks noChangeAspect="1"/>
                    </pic:cNvPicPr>
                  </pic:nvPicPr>
                  <pic:blipFill>
                    <a:blip r:embed="rId9"/>
                    <a:stretch>
                      <a:fillRect/>
                    </a:stretch>
                  </pic:blipFill>
                  <pic:spPr>
                    <a:xfrm>
                      <a:off x="0" y="0"/>
                      <a:ext cx="4604572" cy="3994199"/>
                    </a:xfrm>
                    <a:prstGeom prst="rect">
                      <a:avLst/>
                    </a:prstGeom>
                  </pic:spPr>
                </pic:pic>
              </a:graphicData>
            </a:graphic>
          </wp:inline>
        </w:drawing>
      </w:r>
    </w:p>
    <w:p w:rsidR="00C133AE" w:rsidRPr="00E6334D" w:rsidRDefault="00C133AE" w:rsidP="00C133AE">
      <w:pPr>
        <w:jc w:val="both"/>
        <w:rPr>
          <w:b/>
          <w:sz w:val="20"/>
          <w:szCs w:val="20"/>
          <w:lang w:val="en-US"/>
        </w:rPr>
      </w:pPr>
      <w:r w:rsidRPr="00E6334D">
        <w:rPr>
          <w:b/>
          <w:sz w:val="20"/>
          <w:szCs w:val="20"/>
          <w:lang w:val="en-US"/>
        </w:rPr>
        <w:t xml:space="preserve">Suppl. Fig. 2: Characterization of recombinant </w:t>
      </w:r>
      <w:proofErr w:type="spellStart"/>
      <w:r w:rsidRPr="00E6334D">
        <w:rPr>
          <w:b/>
          <w:sz w:val="20"/>
          <w:szCs w:val="20"/>
          <w:lang w:val="en-US"/>
        </w:rPr>
        <w:t>wt</w:t>
      </w:r>
      <w:proofErr w:type="spellEnd"/>
      <w:r w:rsidRPr="00E6334D">
        <w:rPr>
          <w:b/>
          <w:sz w:val="20"/>
          <w:szCs w:val="20"/>
          <w:lang w:val="en-US"/>
        </w:rPr>
        <w:t xml:space="preserve"> and </w:t>
      </w:r>
      <w:proofErr w:type="spellStart"/>
      <w:r w:rsidRPr="00E6334D">
        <w:rPr>
          <w:b/>
          <w:sz w:val="20"/>
          <w:szCs w:val="20"/>
          <w:lang w:val="en-US"/>
        </w:rPr>
        <w:t>mPBM</w:t>
      </w:r>
      <w:proofErr w:type="spellEnd"/>
      <w:r w:rsidRPr="00E6334D">
        <w:rPr>
          <w:b/>
          <w:sz w:val="20"/>
          <w:szCs w:val="20"/>
          <w:lang w:val="en-US"/>
        </w:rPr>
        <w:t xml:space="preserve"> WNV </w:t>
      </w:r>
      <w:r w:rsidRPr="00E6334D">
        <w:rPr>
          <w:b/>
          <w:i/>
          <w:sz w:val="20"/>
          <w:szCs w:val="20"/>
          <w:lang w:val="en-US"/>
        </w:rPr>
        <w:t>in vitro</w:t>
      </w:r>
      <w:r w:rsidRPr="00E6334D">
        <w:rPr>
          <w:b/>
          <w:sz w:val="20"/>
          <w:szCs w:val="20"/>
          <w:lang w:val="en-US"/>
        </w:rPr>
        <w:t>.</w:t>
      </w:r>
    </w:p>
    <w:p w:rsidR="00C133AE" w:rsidRDefault="00C133AE" w:rsidP="00C133AE">
      <w:pPr>
        <w:rPr>
          <w:lang w:val="en-GB"/>
        </w:rPr>
      </w:pPr>
      <w:r w:rsidRPr="00E6334D">
        <w:rPr>
          <w:sz w:val="20"/>
          <w:szCs w:val="20"/>
          <w:lang w:val="en-GB"/>
        </w:rPr>
        <w:t xml:space="preserve">(A) Viral stocks of </w:t>
      </w:r>
      <w:proofErr w:type="spellStart"/>
      <w:r w:rsidRPr="00E6334D">
        <w:rPr>
          <w:sz w:val="20"/>
          <w:szCs w:val="20"/>
          <w:lang w:val="en-GB"/>
        </w:rPr>
        <w:t>wt</w:t>
      </w:r>
      <w:proofErr w:type="spellEnd"/>
      <w:r w:rsidRPr="00E6334D">
        <w:rPr>
          <w:sz w:val="20"/>
          <w:szCs w:val="20"/>
          <w:lang w:val="en-GB"/>
        </w:rPr>
        <w:t xml:space="preserve"> and </w:t>
      </w:r>
      <w:proofErr w:type="spellStart"/>
      <w:r w:rsidRPr="00E6334D">
        <w:rPr>
          <w:sz w:val="20"/>
          <w:szCs w:val="20"/>
          <w:lang w:val="en-GB"/>
        </w:rPr>
        <w:t>mPBM</w:t>
      </w:r>
      <w:proofErr w:type="spellEnd"/>
      <w:r w:rsidRPr="00E6334D">
        <w:rPr>
          <w:sz w:val="20"/>
          <w:szCs w:val="20"/>
          <w:lang w:val="en-GB"/>
        </w:rPr>
        <w:t xml:space="preserve"> </w:t>
      </w:r>
      <w:proofErr w:type="spellStart"/>
      <w:r w:rsidRPr="00E6334D">
        <w:rPr>
          <w:sz w:val="20"/>
          <w:szCs w:val="20"/>
          <w:lang w:val="en-GB"/>
        </w:rPr>
        <w:t>WNVwere</w:t>
      </w:r>
      <w:proofErr w:type="spellEnd"/>
      <w:r w:rsidRPr="00E6334D">
        <w:rPr>
          <w:sz w:val="20"/>
          <w:szCs w:val="20"/>
          <w:lang w:val="en-GB"/>
        </w:rPr>
        <w:t xml:space="preserve"> quantified by viral genome quantitation by </w:t>
      </w:r>
      <w:proofErr w:type="spellStart"/>
      <w:r w:rsidRPr="00E6334D">
        <w:rPr>
          <w:sz w:val="20"/>
          <w:szCs w:val="20"/>
          <w:lang w:val="en-GB"/>
        </w:rPr>
        <w:t>RTqPCR</w:t>
      </w:r>
      <w:proofErr w:type="spellEnd"/>
      <w:r w:rsidRPr="00E6334D">
        <w:rPr>
          <w:sz w:val="20"/>
          <w:szCs w:val="20"/>
          <w:lang w:val="en-GB"/>
        </w:rPr>
        <w:t xml:space="preserve"> and (B) by virus </w:t>
      </w:r>
      <w:proofErr w:type="spellStart"/>
      <w:r w:rsidRPr="00E6334D">
        <w:rPr>
          <w:sz w:val="20"/>
          <w:szCs w:val="20"/>
          <w:lang w:val="en-GB"/>
        </w:rPr>
        <w:t>titers</w:t>
      </w:r>
      <w:proofErr w:type="spellEnd"/>
      <w:r w:rsidRPr="00E6334D">
        <w:rPr>
          <w:sz w:val="20"/>
          <w:szCs w:val="20"/>
          <w:lang w:val="en-GB"/>
        </w:rPr>
        <w:t xml:space="preserve"> by FFU using Vero cells. Representative Sanger sequence chromatograms from </w:t>
      </w:r>
      <w:proofErr w:type="spellStart"/>
      <w:r w:rsidRPr="00E6334D">
        <w:rPr>
          <w:sz w:val="20"/>
          <w:szCs w:val="20"/>
          <w:lang w:val="en-GB"/>
        </w:rPr>
        <w:t>wt</w:t>
      </w:r>
      <w:proofErr w:type="spellEnd"/>
      <w:r w:rsidRPr="00E6334D">
        <w:rPr>
          <w:sz w:val="20"/>
          <w:szCs w:val="20"/>
          <w:lang w:val="en-GB"/>
        </w:rPr>
        <w:t xml:space="preserve"> WNV (C) and </w:t>
      </w:r>
      <w:proofErr w:type="spellStart"/>
      <w:r w:rsidRPr="00E6334D">
        <w:rPr>
          <w:sz w:val="20"/>
          <w:szCs w:val="20"/>
          <w:lang w:val="en-GB"/>
        </w:rPr>
        <w:t>mPBM</w:t>
      </w:r>
      <w:proofErr w:type="spellEnd"/>
      <w:r w:rsidRPr="00E6334D">
        <w:rPr>
          <w:sz w:val="20"/>
          <w:szCs w:val="20"/>
          <w:lang w:val="en-GB"/>
        </w:rPr>
        <w:t xml:space="preserve"> WNV (D) of both viral stocks showed that the mutation Met (ATG) reverted into a Leu (TTG); another codon for Leu than the one in </w:t>
      </w:r>
      <w:proofErr w:type="spellStart"/>
      <w:r w:rsidRPr="00E6334D">
        <w:rPr>
          <w:sz w:val="20"/>
          <w:szCs w:val="20"/>
          <w:lang w:val="en-GB"/>
        </w:rPr>
        <w:t>wt</w:t>
      </w:r>
      <w:proofErr w:type="spellEnd"/>
      <w:r w:rsidRPr="00E6334D">
        <w:rPr>
          <w:sz w:val="20"/>
          <w:szCs w:val="20"/>
          <w:lang w:val="en-GB"/>
        </w:rPr>
        <w:t xml:space="preserve"> WNV (CTG).</w:t>
      </w:r>
    </w:p>
    <w:p w:rsidR="00C133AE" w:rsidRDefault="00C133AE" w:rsidP="00077332">
      <w:pPr>
        <w:rPr>
          <w:lang w:val="en-GB"/>
        </w:rPr>
      </w:pPr>
    </w:p>
    <w:p w:rsidR="00C133AE" w:rsidRDefault="00C133AE" w:rsidP="00077332">
      <w:pPr>
        <w:rPr>
          <w:lang w:val="en-GB"/>
        </w:rPr>
      </w:pPr>
    </w:p>
    <w:p w:rsidR="00C133AE" w:rsidRDefault="00C133AE" w:rsidP="00077332">
      <w:pPr>
        <w:rPr>
          <w:lang w:val="en-GB"/>
        </w:rPr>
      </w:pPr>
    </w:p>
    <w:p w:rsidR="00C133AE" w:rsidRDefault="00C133AE" w:rsidP="00077332">
      <w:pPr>
        <w:rPr>
          <w:lang w:val="en-GB"/>
        </w:rPr>
      </w:pPr>
    </w:p>
    <w:p w:rsidR="00C133AE" w:rsidRDefault="00C133AE" w:rsidP="00077332">
      <w:pPr>
        <w:rPr>
          <w:lang w:val="en-GB"/>
        </w:rPr>
      </w:pPr>
    </w:p>
    <w:p w:rsidR="00C133AE" w:rsidRDefault="00C133AE" w:rsidP="00077332">
      <w:pPr>
        <w:rPr>
          <w:lang w:val="en-GB"/>
        </w:rPr>
      </w:pPr>
    </w:p>
    <w:p w:rsidR="00C133AE" w:rsidRDefault="00C133AE" w:rsidP="00077332">
      <w:pPr>
        <w:rPr>
          <w:lang w:val="en-GB"/>
        </w:rPr>
      </w:pPr>
    </w:p>
    <w:p w:rsidR="00C133AE" w:rsidRDefault="00C133AE" w:rsidP="00077332">
      <w:pPr>
        <w:rPr>
          <w:lang w:val="en-GB"/>
        </w:rPr>
      </w:pPr>
    </w:p>
    <w:p w:rsidR="00C133AE" w:rsidRDefault="00C133AE" w:rsidP="00077332">
      <w:pPr>
        <w:rPr>
          <w:lang w:val="en-GB"/>
        </w:rPr>
      </w:pPr>
    </w:p>
    <w:p w:rsidR="00C133AE" w:rsidRDefault="00C133AE" w:rsidP="00077332">
      <w:pPr>
        <w:rPr>
          <w:lang w:val="en-GB"/>
        </w:rPr>
      </w:pPr>
    </w:p>
    <w:p w:rsidR="00C133AE" w:rsidRDefault="00C133AE" w:rsidP="00077332">
      <w:pPr>
        <w:rPr>
          <w:lang w:val="en-GB"/>
        </w:rPr>
      </w:pPr>
    </w:p>
    <w:p w:rsidR="00C133AE" w:rsidRDefault="00C133AE" w:rsidP="00077332">
      <w:pPr>
        <w:rPr>
          <w:lang w:val="en-GB"/>
        </w:rPr>
      </w:pPr>
    </w:p>
    <w:p w:rsidR="00C133AE" w:rsidRDefault="00C133AE" w:rsidP="00077332">
      <w:pPr>
        <w:rPr>
          <w:lang w:val="en-GB"/>
        </w:rPr>
      </w:pPr>
    </w:p>
    <w:p w:rsidR="00C133AE" w:rsidRDefault="00C133AE" w:rsidP="00077332">
      <w:pPr>
        <w:rPr>
          <w:lang w:val="en-GB"/>
        </w:rPr>
      </w:pPr>
    </w:p>
    <w:p w:rsidR="00C133AE" w:rsidRDefault="00C133AE" w:rsidP="00077332">
      <w:pPr>
        <w:rPr>
          <w:lang w:val="en-GB"/>
        </w:rPr>
      </w:pPr>
    </w:p>
    <w:p w:rsidR="00C133AE" w:rsidRDefault="00C133AE" w:rsidP="00077332">
      <w:pPr>
        <w:rPr>
          <w:lang w:val="en-GB"/>
        </w:rPr>
      </w:pPr>
    </w:p>
    <w:p w:rsidR="00C133AE" w:rsidRDefault="00C133AE" w:rsidP="00077332">
      <w:pPr>
        <w:rPr>
          <w:lang w:val="en-GB"/>
        </w:rPr>
      </w:pPr>
    </w:p>
    <w:p w:rsidR="00C133AE" w:rsidRDefault="00C133AE" w:rsidP="00077332">
      <w:pPr>
        <w:rPr>
          <w:lang w:val="en-GB"/>
        </w:rPr>
      </w:pPr>
    </w:p>
    <w:p w:rsidR="00C133AE" w:rsidRDefault="00C133AE" w:rsidP="00077332">
      <w:pPr>
        <w:rPr>
          <w:lang w:val="en-GB"/>
        </w:rPr>
      </w:pPr>
    </w:p>
    <w:p w:rsidR="00C133AE" w:rsidRDefault="00C133AE" w:rsidP="00077332">
      <w:pPr>
        <w:rPr>
          <w:lang w:val="en-GB"/>
        </w:rPr>
      </w:pPr>
    </w:p>
    <w:p w:rsidR="00C133AE" w:rsidRDefault="00C133AE" w:rsidP="00077332">
      <w:pPr>
        <w:rPr>
          <w:lang w:val="en-GB"/>
        </w:rPr>
      </w:pPr>
    </w:p>
    <w:p w:rsidR="00C133AE" w:rsidRDefault="00C133AE" w:rsidP="00077332">
      <w:pPr>
        <w:rPr>
          <w:lang w:val="en-GB"/>
        </w:rPr>
      </w:pPr>
    </w:p>
    <w:p w:rsidR="00C133AE" w:rsidRDefault="00C133AE" w:rsidP="00077332">
      <w:pPr>
        <w:rPr>
          <w:lang w:val="en-GB"/>
        </w:rPr>
      </w:pPr>
    </w:p>
    <w:p w:rsidR="00C133AE" w:rsidRDefault="00C133AE" w:rsidP="00077332">
      <w:pPr>
        <w:rPr>
          <w:lang w:val="en-GB"/>
        </w:rPr>
      </w:pPr>
    </w:p>
    <w:p w:rsidR="00C133AE" w:rsidRDefault="00F22C0C" w:rsidP="00077332">
      <w:pPr>
        <w:rPr>
          <w:lang w:val="en-GB"/>
        </w:rPr>
      </w:pPr>
      <w:r>
        <w:rPr>
          <w:noProof/>
          <w:lang w:val="en-GB"/>
        </w:rPr>
        <w:drawing>
          <wp:inline distT="0" distB="0" distL="0" distR="0">
            <wp:extent cx="5759450" cy="3237230"/>
            <wp:effectExtent l="0" t="0" r="6350" b="127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 Fig3.tif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59450" cy="3237230"/>
                    </a:xfrm>
                    <a:prstGeom prst="rect">
                      <a:avLst/>
                    </a:prstGeom>
                  </pic:spPr>
                </pic:pic>
              </a:graphicData>
            </a:graphic>
          </wp:inline>
        </w:drawing>
      </w:r>
    </w:p>
    <w:p w:rsidR="00C133AE" w:rsidRDefault="00C133AE" w:rsidP="004A40AA">
      <w:pPr>
        <w:jc w:val="center"/>
        <w:rPr>
          <w:lang w:val="en-GB"/>
        </w:rPr>
      </w:pPr>
    </w:p>
    <w:p w:rsidR="00C133AE" w:rsidRDefault="00C133AE" w:rsidP="00077332">
      <w:pPr>
        <w:rPr>
          <w:lang w:val="en-GB"/>
        </w:rPr>
      </w:pPr>
    </w:p>
    <w:p w:rsidR="00C133AE" w:rsidRDefault="00C133AE" w:rsidP="00077332">
      <w:pPr>
        <w:rPr>
          <w:lang w:val="en-GB"/>
        </w:rPr>
      </w:pPr>
    </w:p>
    <w:p w:rsidR="00C133AE" w:rsidRPr="00AA6B61" w:rsidRDefault="00C133AE" w:rsidP="00C133AE">
      <w:pPr>
        <w:jc w:val="both"/>
        <w:rPr>
          <w:lang w:val="en-GB"/>
        </w:rPr>
      </w:pPr>
      <w:r>
        <w:rPr>
          <w:b/>
          <w:i/>
          <w:sz w:val="20"/>
          <w:szCs w:val="20"/>
          <w:lang w:val="en-US"/>
        </w:rPr>
        <w:t>Suppl. Fig. 3: Uncropped Western Blots</w:t>
      </w:r>
      <w:r w:rsidR="004A40AA">
        <w:rPr>
          <w:b/>
          <w:i/>
          <w:sz w:val="20"/>
          <w:szCs w:val="20"/>
          <w:lang w:val="en-US"/>
        </w:rPr>
        <w:t>4B and identification of band size</w:t>
      </w:r>
      <w:r>
        <w:rPr>
          <w:b/>
          <w:i/>
          <w:sz w:val="20"/>
          <w:szCs w:val="20"/>
          <w:lang w:val="en-US"/>
        </w:rPr>
        <w:t xml:space="preserve"> from Figure</w:t>
      </w:r>
      <w:r w:rsidR="004A40AA">
        <w:rPr>
          <w:b/>
          <w:i/>
          <w:sz w:val="20"/>
          <w:szCs w:val="20"/>
          <w:lang w:val="en-US"/>
        </w:rPr>
        <w:t xml:space="preserve"> 1 (A.) for NS5 and from Figure 4B</w:t>
      </w:r>
      <w:r>
        <w:rPr>
          <w:b/>
          <w:i/>
          <w:sz w:val="20"/>
          <w:szCs w:val="20"/>
          <w:lang w:val="en-US"/>
        </w:rPr>
        <w:t xml:space="preserve"> for the siRNA knocked down ARHGAP21, CNKSR3, DLG1, HTRA1, MAGI1, PARD3, RIMS2, SHANK2, SNX27 and TJP1 expression. </w:t>
      </w:r>
      <w:r>
        <w:rPr>
          <w:i/>
          <w:sz w:val="20"/>
          <w:szCs w:val="20"/>
          <w:lang w:val="en-US"/>
        </w:rPr>
        <w:t xml:space="preserve">For all Western Blots, membranes were </w:t>
      </w:r>
      <w:r w:rsidR="00894E16">
        <w:rPr>
          <w:i/>
          <w:sz w:val="20"/>
          <w:szCs w:val="20"/>
          <w:lang w:val="en-US"/>
        </w:rPr>
        <w:t xml:space="preserve">used for several samples and were all </w:t>
      </w:r>
      <w:r>
        <w:rPr>
          <w:i/>
          <w:sz w:val="20"/>
          <w:szCs w:val="20"/>
          <w:lang w:val="en-US"/>
        </w:rPr>
        <w:t>cut in several parts prior to hybridization with antibodies.</w:t>
      </w:r>
      <w:bookmarkStart w:id="0" w:name="_GoBack"/>
      <w:bookmarkEnd w:id="0"/>
    </w:p>
    <w:p w:rsidR="00C133AE" w:rsidRDefault="00C133AE" w:rsidP="00077332">
      <w:pPr>
        <w:rPr>
          <w:lang w:val="en-GB"/>
        </w:rPr>
      </w:pPr>
    </w:p>
    <w:p w:rsidR="00C133AE" w:rsidRDefault="00C133AE" w:rsidP="00077332">
      <w:pPr>
        <w:rPr>
          <w:lang w:val="en-GB"/>
        </w:rPr>
      </w:pPr>
    </w:p>
    <w:p w:rsidR="00C133AE" w:rsidRDefault="00C133AE" w:rsidP="00077332">
      <w:pPr>
        <w:rPr>
          <w:lang w:val="en-GB"/>
        </w:rPr>
      </w:pPr>
      <w:r>
        <w:rPr>
          <w:noProof/>
          <w:lang w:val="en-GB" w:eastAsia="en-GB"/>
        </w:rPr>
        <w:lastRenderedPageBreak/>
        <w:drawing>
          <wp:anchor distT="0" distB="0" distL="114300" distR="114300" simplePos="0" relativeHeight="251659264" behindDoc="0" locked="0" layoutInCell="1" allowOverlap="1" wp14:anchorId="287344FE" wp14:editId="692A7B45">
            <wp:simplePos x="0" y="0"/>
            <wp:positionH relativeFrom="margin">
              <wp:posOffset>-2743200</wp:posOffset>
            </wp:positionH>
            <wp:positionV relativeFrom="page">
              <wp:posOffset>3321050</wp:posOffset>
            </wp:positionV>
            <wp:extent cx="10394315" cy="3928110"/>
            <wp:effectExtent l="0" t="5398" r="2223" b="2222"/>
            <wp:wrapTopAndBottom/>
            <wp:docPr id="7" name="Image 6"/>
            <wp:cNvGraphicFramePr/>
            <a:graphic xmlns:a="http://schemas.openxmlformats.org/drawingml/2006/main">
              <a:graphicData uri="http://schemas.openxmlformats.org/drawingml/2006/picture">
                <pic:pic xmlns:pic="http://schemas.openxmlformats.org/drawingml/2006/picture">
                  <pic:nvPicPr>
                    <pic:cNvPr id="0" name="Image 6"/>
                    <pic:cNvPicPr/>
                  </pic:nvPicPr>
                  <pic:blipFill>
                    <a:blip r:embed="rId11"/>
                    <a:stretch/>
                  </pic:blipFill>
                  <pic:spPr>
                    <a:xfrm rot="16200000">
                      <a:off x="0" y="0"/>
                      <a:ext cx="10394315" cy="3928110"/>
                    </a:xfrm>
                    <a:prstGeom prst="rect">
                      <a:avLst/>
                    </a:prstGeom>
                    <a:ln>
                      <a:noFill/>
                    </a:ln>
                  </pic:spPr>
                </pic:pic>
              </a:graphicData>
            </a:graphic>
          </wp:anchor>
        </w:drawing>
      </w:r>
    </w:p>
    <w:p w:rsidR="00C133AE" w:rsidRDefault="00C133AE" w:rsidP="00C133AE">
      <w:pPr>
        <w:jc w:val="both"/>
        <w:rPr>
          <w:sz w:val="22"/>
          <w:lang w:val="en-US"/>
        </w:rPr>
      </w:pPr>
      <w:r w:rsidRPr="00C133AE">
        <w:rPr>
          <w:sz w:val="22"/>
          <w:lang w:val="en-US"/>
        </w:rPr>
        <w:lastRenderedPageBreak/>
        <w:t>Suppl. Table 1: The reference list contains all proteins in Homo sapiens. PANTHER overrepresentation test was performed on 41 proteins which were identified by the two high-throughput analysis by importing protein IDs into the GO enrichment analysis tool based on protein analysis through the evolutionary relationships (PANTHER) classification system. The statistical comparisons were made by Fisher’s exact test with Bonferroni correction.</w:t>
      </w:r>
    </w:p>
    <w:p w:rsidR="00C133AE" w:rsidRDefault="00C133AE" w:rsidP="00C133AE">
      <w:pPr>
        <w:jc w:val="both"/>
        <w:rPr>
          <w:sz w:val="22"/>
          <w:lang w:val="en-US"/>
        </w:rPr>
      </w:pPr>
    </w:p>
    <w:p w:rsidR="00C133AE" w:rsidRDefault="00C133AE" w:rsidP="00C133AE">
      <w:pPr>
        <w:jc w:val="both"/>
        <w:rPr>
          <w:sz w:val="22"/>
          <w:lang w:val="en-US"/>
        </w:rPr>
      </w:pPr>
    </w:p>
    <w:p w:rsidR="00C133AE" w:rsidRDefault="00C133AE" w:rsidP="00C133AE">
      <w:pPr>
        <w:jc w:val="both"/>
        <w:rPr>
          <w:sz w:val="22"/>
          <w:lang w:val="en-US"/>
        </w:rPr>
      </w:pPr>
    </w:p>
    <w:p w:rsidR="00C133AE" w:rsidRPr="00C133AE" w:rsidRDefault="00C133AE" w:rsidP="00C133AE">
      <w:pPr>
        <w:jc w:val="both"/>
        <w:rPr>
          <w:sz w:val="22"/>
          <w:lang w:val="en-US"/>
        </w:rPr>
        <w:sectPr w:rsidR="00C133AE" w:rsidRPr="00C133AE" w:rsidSect="00C133AE">
          <w:footerReference w:type="default" r:id="rId12"/>
          <w:pgSz w:w="11906" w:h="16838"/>
          <w:pgMar w:top="1418" w:right="1418" w:bottom="1418" w:left="1418" w:header="0" w:footer="709" w:gutter="0"/>
          <w:cols w:space="720"/>
          <w:formProt w:val="0"/>
          <w:docGrid w:linePitch="360"/>
        </w:sectPr>
      </w:pPr>
    </w:p>
    <w:p w:rsidR="00C133AE" w:rsidRDefault="00C133AE" w:rsidP="00C133AE">
      <w:pPr>
        <w:spacing w:line="480" w:lineRule="auto"/>
        <w:jc w:val="both"/>
        <w:rPr>
          <w:lang w:val="en-US"/>
        </w:rPr>
      </w:pPr>
      <w:r w:rsidRPr="007C4B9A">
        <w:rPr>
          <w:noProof/>
          <w:lang w:val="en-GB" w:eastAsia="en-GB"/>
        </w:rPr>
        <w:lastRenderedPageBreak/>
        <w:drawing>
          <wp:inline distT="0" distB="0" distL="0" distR="0" wp14:anchorId="3AAAF102" wp14:editId="4AECAD32">
            <wp:extent cx="5759450" cy="2430145"/>
            <wp:effectExtent l="0" t="0" r="0" b="8255"/>
            <wp:docPr id="1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pic:cNvPicPr>
                      <a:picLocks noChangeAspect="1"/>
                    </pic:cNvPicPr>
                  </pic:nvPicPr>
                  <pic:blipFill>
                    <a:blip r:embed="rId13"/>
                    <a:stretch>
                      <a:fillRect/>
                    </a:stretch>
                  </pic:blipFill>
                  <pic:spPr>
                    <a:xfrm>
                      <a:off x="0" y="0"/>
                      <a:ext cx="5759450" cy="2430145"/>
                    </a:xfrm>
                    <a:prstGeom prst="rect">
                      <a:avLst/>
                    </a:prstGeom>
                  </pic:spPr>
                </pic:pic>
              </a:graphicData>
            </a:graphic>
          </wp:inline>
        </w:drawing>
      </w:r>
    </w:p>
    <w:p w:rsidR="00C133AE" w:rsidRDefault="00C133AE" w:rsidP="00C133AE">
      <w:pPr>
        <w:jc w:val="both"/>
        <w:rPr>
          <w:lang w:val="en-US"/>
        </w:rPr>
      </w:pPr>
    </w:p>
    <w:p w:rsidR="00C133AE" w:rsidRDefault="00C133AE" w:rsidP="00C133AE">
      <w:pPr>
        <w:jc w:val="both"/>
        <w:rPr>
          <w:lang w:val="en-US"/>
        </w:rPr>
      </w:pPr>
      <w:r>
        <w:rPr>
          <w:lang w:val="en-US"/>
        </w:rPr>
        <w:t xml:space="preserve">Suppl. Table 2: supplementary </w:t>
      </w:r>
      <w:proofErr w:type="spellStart"/>
      <w:r>
        <w:rPr>
          <w:lang w:val="en-US"/>
        </w:rPr>
        <w:t>informations</w:t>
      </w:r>
      <w:proofErr w:type="spellEnd"/>
      <w:r>
        <w:rPr>
          <w:lang w:val="en-US"/>
        </w:rPr>
        <w:t xml:space="preserve"> for </w:t>
      </w:r>
      <w:proofErr w:type="spellStart"/>
      <w:r>
        <w:rPr>
          <w:lang w:val="en-US"/>
        </w:rPr>
        <w:t>i</w:t>
      </w:r>
      <w:proofErr w:type="spellEnd"/>
      <w:r>
        <w:rPr>
          <w:lang w:val="en-US"/>
        </w:rPr>
        <w:t xml:space="preserve">) siRNA, ii) </w:t>
      </w:r>
      <w:proofErr w:type="spellStart"/>
      <w:r>
        <w:rPr>
          <w:lang w:val="en-US"/>
        </w:rPr>
        <w:t>RTqPCR</w:t>
      </w:r>
      <w:proofErr w:type="spellEnd"/>
      <w:r>
        <w:rPr>
          <w:lang w:val="en-US"/>
        </w:rPr>
        <w:t xml:space="preserve"> and iii) Western blot.</w:t>
      </w:r>
    </w:p>
    <w:p w:rsidR="00C133AE" w:rsidRDefault="00C133AE" w:rsidP="00C133AE">
      <w:pPr>
        <w:spacing w:line="480" w:lineRule="auto"/>
        <w:jc w:val="both"/>
      </w:pPr>
      <w:proofErr w:type="spellStart"/>
      <w:r>
        <w:rPr>
          <w:lang w:val="en-US"/>
        </w:rPr>
        <w:t>RbM</w:t>
      </w:r>
      <w:proofErr w:type="spellEnd"/>
      <w:r>
        <w:rPr>
          <w:lang w:val="en-US"/>
        </w:rPr>
        <w:t xml:space="preserve">: rabbit monoclonal; MM: mouse monoclonal; </w:t>
      </w:r>
      <w:proofErr w:type="spellStart"/>
      <w:r>
        <w:rPr>
          <w:lang w:val="en-US"/>
        </w:rPr>
        <w:t>RbP</w:t>
      </w:r>
      <w:proofErr w:type="spellEnd"/>
      <w:r>
        <w:rPr>
          <w:lang w:val="en-US"/>
        </w:rPr>
        <w:t>: rabbit polyclonal.</w:t>
      </w:r>
    </w:p>
    <w:p w:rsidR="00C133AE" w:rsidRPr="00C133AE" w:rsidRDefault="00C133AE" w:rsidP="00077332">
      <w:pPr>
        <w:rPr>
          <w:lang w:val="en-US"/>
        </w:rPr>
      </w:pPr>
    </w:p>
    <w:p w:rsidR="00C133AE" w:rsidRDefault="00C133AE" w:rsidP="00077332">
      <w:pPr>
        <w:rPr>
          <w:lang w:val="en-GB"/>
        </w:rPr>
      </w:pPr>
    </w:p>
    <w:p w:rsidR="00C133AE" w:rsidRDefault="00C133AE" w:rsidP="00077332">
      <w:pPr>
        <w:rPr>
          <w:lang w:val="en-GB"/>
        </w:rPr>
      </w:pPr>
    </w:p>
    <w:p w:rsidR="00C133AE" w:rsidRDefault="00C133AE" w:rsidP="00077332">
      <w:pPr>
        <w:rPr>
          <w:lang w:val="en-GB"/>
        </w:rPr>
      </w:pPr>
    </w:p>
    <w:p w:rsidR="00C133AE" w:rsidRDefault="00C133AE" w:rsidP="00077332">
      <w:pPr>
        <w:rPr>
          <w:lang w:val="en-GB"/>
        </w:rPr>
      </w:pPr>
    </w:p>
    <w:p w:rsidR="00C133AE" w:rsidRDefault="00C133AE" w:rsidP="00077332">
      <w:pPr>
        <w:rPr>
          <w:lang w:val="en-GB"/>
        </w:rPr>
      </w:pPr>
    </w:p>
    <w:p w:rsidR="00C133AE" w:rsidRDefault="00C133AE" w:rsidP="00077332">
      <w:pPr>
        <w:rPr>
          <w:lang w:val="en-GB"/>
        </w:rPr>
      </w:pPr>
    </w:p>
    <w:p w:rsidR="00C133AE" w:rsidRDefault="00C133AE" w:rsidP="00077332">
      <w:pPr>
        <w:rPr>
          <w:lang w:val="en-GB"/>
        </w:rPr>
      </w:pPr>
    </w:p>
    <w:p w:rsidR="00C133AE" w:rsidRDefault="00C133AE" w:rsidP="00077332">
      <w:pPr>
        <w:rPr>
          <w:lang w:val="en-GB"/>
        </w:rPr>
      </w:pPr>
    </w:p>
    <w:p w:rsidR="00C133AE" w:rsidRPr="00077332" w:rsidRDefault="00C133AE" w:rsidP="00077332">
      <w:pPr>
        <w:rPr>
          <w:lang w:val="en-GB"/>
        </w:rPr>
      </w:pPr>
    </w:p>
    <w:sectPr w:rsidR="00C133AE" w:rsidRPr="00077332" w:rsidSect="00C133A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1A2A" w:rsidRDefault="00401A2A" w:rsidP="00077332">
      <w:r>
        <w:separator/>
      </w:r>
    </w:p>
  </w:endnote>
  <w:endnote w:type="continuationSeparator" w:id="0">
    <w:p w:rsidR="00401A2A" w:rsidRDefault="00401A2A" w:rsidP="00077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3314136"/>
      <w:docPartObj>
        <w:docPartGallery w:val="Page Numbers (Bottom of Page)"/>
        <w:docPartUnique/>
      </w:docPartObj>
    </w:sdtPr>
    <w:sdtEndPr/>
    <w:sdtContent>
      <w:p w:rsidR="000C5524" w:rsidRDefault="00077332">
        <w:pPr>
          <w:pStyle w:val="Pieddepage"/>
        </w:pPr>
        <w:r>
          <w:rPr>
            <w:rStyle w:val="Numrodepage"/>
          </w:rPr>
          <w:fldChar w:fldCharType="begin"/>
        </w:r>
        <w:r>
          <w:rPr>
            <w:rStyle w:val="Numrodepage"/>
          </w:rPr>
          <w:instrText>PAGE</w:instrText>
        </w:r>
        <w:r>
          <w:rPr>
            <w:rStyle w:val="Numrodepage"/>
          </w:rPr>
          <w:fldChar w:fldCharType="separate"/>
        </w:r>
        <w:r>
          <w:rPr>
            <w:rStyle w:val="Numrodepage"/>
            <w:noProof/>
          </w:rPr>
          <w:t>2</w:t>
        </w:r>
        <w:r>
          <w:rPr>
            <w:rStyle w:val="Numrodepage"/>
          </w:rPr>
          <w:fldChar w:fldCharType="end"/>
        </w:r>
      </w:p>
    </w:sdtContent>
  </w:sdt>
  <w:p w:rsidR="000C5524" w:rsidRDefault="00401A2A">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7434960"/>
      <w:docPartObj>
        <w:docPartGallery w:val="Page Numbers (Bottom of Page)"/>
        <w:docPartUnique/>
      </w:docPartObj>
    </w:sdtPr>
    <w:sdtEndPr/>
    <w:sdtContent>
      <w:p w:rsidR="00C133AE" w:rsidRDefault="00C133AE">
        <w:pPr>
          <w:pStyle w:val="Pieddepage"/>
        </w:pPr>
        <w:r>
          <w:rPr>
            <w:rStyle w:val="Numrodepage"/>
          </w:rPr>
          <w:fldChar w:fldCharType="begin"/>
        </w:r>
        <w:r>
          <w:rPr>
            <w:rStyle w:val="Numrodepage"/>
          </w:rPr>
          <w:instrText>PAGE</w:instrText>
        </w:r>
        <w:r>
          <w:rPr>
            <w:rStyle w:val="Numrodepage"/>
          </w:rPr>
          <w:fldChar w:fldCharType="separate"/>
        </w:r>
        <w:r>
          <w:rPr>
            <w:rStyle w:val="Numrodepage"/>
            <w:noProof/>
          </w:rPr>
          <w:t>37</w:t>
        </w:r>
        <w:r>
          <w:rPr>
            <w:rStyle w:val="Numrodepage"/>
          </w:rPr>
          <w:fldChar w:fldCharType="end"/>
        </w:r>
      </w:p>
    </w:sdtContent>
  </w:sdt>
  <w:p w:rsidR="00C133AE" w:rsidRDefault="00C133AE">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1A2A" w:rsidRDefault="00401A2A" w:rsidP="00077332">
      <w:r>
        <w:separator/>
      </w:r>
    </w:p>
  </w:footnote>
  <w:footnote w:type="continuationSeparator" w:id="0">
    <w:p w:rsidR="00401A2A" w:rsidRDefault="00401A2A" w:rsidP="000773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332"/>
    <w:rsid w:val="00077332"/>
    <w:rsid w:val="00177D59"/>
    <w:rsid w:val="00401A2A"/>
    <w:rsid w:val="004A40AA"/>
    <w:rsid w:val="005E469B"/>
    <w:rsid w:val="00686921"/>
    <w:rsid w:val="007256BB"/>
    <w:rsid w:val="00894E16"/>
    <w:rsid w:val="00C133AE"/>
    <w:rsid w:val="00F22C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36541"/>
  <w15:chartTrackingRefBased/>
  <w15:docId w15:val="{5A17C05A-D6C3-4B13-8B5B-E8D4EDA1A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7332"/>
    <w:pPr>
      <w:spacing w:after="0" w:line="240" w:lineRule="auto"/>
    </w:pPr>
    <w:rPr>
      <w:rFonts w:ascii="Times New Roman" w:eastAsia="Times New Roman" w:hAnsi="Times New Roman" w:cs="Times New Roman"/>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enInternet">
    <w:name w:val="Lien Internet"/>
    <w:basedOn w:val="Policepardfaut"/>
    <w:uiPriority w:val="99"/>
    <w:unhideWhenUsed/>
    <w:rsid w:val="00077332"/>
    <w:rPr>
      <w:color w:val="0000FF"/>
      <w:u w:val="single"/>
    </w:rPr>
  </w:style>
  <w:style w:type="character" w:customStyle="1" w:styleId="PieddepageCar">
    <w:name w:val="Pied de page Car"/>
    <w:basedOn w:val="Policepardfaut"/>
    <w:link w:val="Pieddepage"/>
    <w:uiPriority w:val="99"/>
    <w:qFormat/>
    <w:rsid w:val="00077332"/>
  </w:style>
  <w:style w:type="character" w:styleId="Numrodepage">
    <w:name w:val="page number"/>
    <w:basedOn w:val="Policepardfaut"/>
    <w:uiPriority w:val="99"/>
    <w:semiHidden/>
    <w:unhideWhenUsed/>
    <w:qFormat/>
    <w:rsid w:val="00077332"/>
  </w:style>
  <w:style w:type="paragraph" w:styleId="NormalWeb">
    <w:name w:val="Normal (Web)"/>
    <w:basedOn w:val="Normal"/>
    <w:uiPriority w:val="99"/>
    <w:unhideWhenUsed/>
    <w:qFormat/>
    <w:rsid w:val="00077332"/>
    <w:pPr>
      <w:spacing w:beforeAutospacing="1" w:afterAutospacing="1"/>
    </w:pPr>
    <w:rPr>
      <w:rFonts w:eastAsiaTheme="minorHAnsi"/>
      <w:lang w:val="en-GB" w:eastAsia="en-GB"/>
    </w:rPr>
  </w:style>
  <w:style w:type="paragraph" w:styleId="Pieddepage">
    <w:name w:val="footer"/>
    <w:basedOn w:val="Normal"/>
    <w:link w:val="PieddepageCar"/>
    <w:uiPriority w:val="99"/>
    <w:unhideWhenUsed/>
    <w:rsid w:val="00077332"/>
    <w:pPr>
      <w:tabs>
        <w:tab w:val="center" w:pos="4536"/>
        <w:tab w:val="right" w:pos="9072"/>
      </w:tabs>
    </w:pPr>
    <w:rPr>
      <w:rFonts w:asciiTheme="minorHAnsi" w:eastAsiaTheme="minorHAnsi" w:hAnsiTheme="minorHAnsi" w:cstheme="minorBidi"/>
      <w:sz w:val="22"/>
      <w:szCs w:val="22"/>
      <w:lang w:val="en-GB" w:eastAsia="en-US"/>
    </w:rPr>
  </w:style>
  <w:style w:type="character" w:customStyle="1" w:styleId="PieddepageCar1">
    <w:name w:val="Pied de page Car1"/>
    <w:basedOn w:val="Policepardfaut"/>
    <w:uiPriority w:val="99"/>
    <w:semiHidden/>
    <w:rsid w:val="00077332"/>
    <w:rPr>
      <w:rFonts w:ascii="Times New Roman" w:eastAsia="Times New Roman" w:hAnsi="Times New Roman" w:cs="Times New Roman"/>
      <w:sz w:val="24"/>
      <w:szCs w:val="24"/>
      <w:lang w:val="fr-FR" w:eastAsia="fr-FR"/>
    </w:rPr>
  </w:style>
  <w:style w:type="character" w:styleId="Numrodeligne">
    <w:name w:val="line number"/>
    <w:basedOn w:val="Policepardfaut"/>
    <w:uiPriority w:val="99"/>
    <w:semiHidden/>
    <w:unhideWhenUsed/>
    <w:rsid w:val="00077332"/>
  </w:style>
  <w:style w:type="paragraph" w:styleId="En-tte">
    <w:name w:val="header"/>
    <w:basedOn w:val="Normal"/>
    <w:link w:val="En-tteCar"/>
    <w:uiPriority w:val="99"/>
    <w:unhideWhenUsed/>
    <w:rsid w:val="00077332"/>
    <w:pPr>
      <w:tabs>
        <w:tab w:val="center" w:pos="4536"/>
        <w:tab w:val="right" w:pos="9072"/>
      </w:tabs>
    </w:pPr>
  </w:style>
  <w:style w:type="character" w:customStyle="1" w:styleId="En-tteCar">
    <w:name w:val="En-tête Car"/>
    <w:basedOn w:val="Policepardfaut"/>
    <w:link w:val="En-tte"/>
    <w:uiPriority w:val="99"/>
    <w:rsid w:val="00077332"/>
    <w:rPr>
      <w:rFonts w:ascii="Times New Roman" w:eastAsia="Times New Roman" w:hAnsi="Times New Roman"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milie.giraud@pasteur.fr" TargetMode="External"/><Relationship Id="rId11" Type="http://schemas.openxmlformats.org/officeDocument/2006/relationships/image" Target="media/image4.wmf"/><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3.tiff"/><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482</Words>
  <Characters>2651</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Microsoft Office User</cp:lastModifiedBy>
  <cp:revision>5</cp:revision>
  <dcterms:created xsi:type="dcterms:W3CDTF">2020-10-27T13:03:00Z</dcterms:created>
  <dcterms:modified xsi:type="dcterms:W3CDTF">2020-12-07T15:54:00Z</dcterms:modified>
</cp:coreProperties>
</file>