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208AA" w14:textId="77777777" w:rsidR="00467585" w:rsidRPr="00467585" w:rsidRDefault="00467585" w:rsidP="000D6177">
      <w:pPr>
        <w:rPr>
          <w:rFonts w:ascii="Times New Roman" w:hAnsi="Times New Roman" w:cs="Times New Roman"/>
          <w:sz w:val="22"/>
          <w:szCs w:val="22"/>
        </w:rPr>
      </w:pPr>
    </w:p>
    <w:p w14:paraId="0AF8B035" w14:textId="30F3BFAF" w:rsidR="005C4566" w:rsidRDefault="005C4566" w:rsidP="004675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Features mathematical formulas and descriptions</w:t>
      </w:r>
    </w:p>
    <w:p w14:paraId="080A88EE" w14:textId="77777777" w:rsidR="005C4566" w:rsidRDefault="005C4566" w:rsidP="004675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B4CB5D" w14:textId="167B159C" w:rsidR="00467585" w:rsidRPr="00467585" w:rsidRDefault="00467585" w:rsidP="00467585">
      <w:pPr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b/>
          <w:bCs/>
          <w:sz w:val="28"/>
          <w:szCs w:val="28"/>
        </w:rPr>
        <w:t>Volume density (axis-aligned bounding box)</w:t>
      </w:r>
      <w:r w:rsidRPr="00467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C6834" w14:textId="77777777" w:rsidR="00467585" w:rsidRPr="00467585" w:rsidRDefault="00467585" w:rsidP="00467585">
      <w:pPr>
        <w:rPr>
          <w:rFonts w:ascii="Times New Roman" w:hAnsi="Times New Roman" w:cs="Times New Roman"/>
          <w:sz w:val="28"/>
          <w:szCs w:val="28"/>
        </w:rPr>
      </w:pPr>
    </w:p>
    <w:p w14:paraId="3FE45BEC" w14:textId="54BB3B4C" w:rsidR="00467585" w:rsidRPr="00467585" w:rsidRDefault="00467585" w:rsidP="00467585">
      <w:pPr>
        <w:jc w:val="both"/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sz w:val="28"/>
          <w:szCs w:val="28"/>
        </w:rPr>
        <w:t xml:space="preserve">Volume density is the fraction of the ROI volume and a comparison volume. Here the comparison volume is that of the axis-aligned bounding box (AABB) of the ROI mesh vertex set </w:t>
      </w:r>
      <w:proofErr w:type="spellStart"/>
      <w:r w:rsidRPr="00467585">
        <w:rPr>
          <w:rFonts w:ascii="Times New Roman" w:hAnsi="Times New Roman" w:cs="Times New Roman"/>
          <w:sz w:val="28"/>
          <w:szCs w:val="28"/>
        </w:rPr>
        <w:t>X</w:t>
      </w:r>
      <w:r w:rsidRPr="00467585">
        <w:rPr>
          <w:rFonts w:ascii="Times New Roman" w:hAnsi="Times New Roman" w:cs="Times New Roman"/>
          <w:sz w:val="28"/>
          <w:szCs w:val="28"/>
          <w:vertAlign w:val="subscript"/>
        </w:rPr>
        <w:t>vx</w:t>
      </w:r>
      <w:proofErr w:type="spellEnd"/>
      <w:r w:rsidRPr="004675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67585">
        <w:rPr>
          <w:rFonts w:ascii="Times New Roman" w:hAnsi="Times New Roman" w:cs="Times New Roman"/>
          <w:sz w:val="28"/>
          <w:szCs w:val="28"/>
        </w:rPr>
        <w:t xml:space="preserve">or the ROI mesh convex hull vertex set </w:t>
      </w:r>
      <w:proofErr w:type="spellStart"/>
      <w:proofErr w:type="gramStart"/>
      <w:r w:rsidRPr="00467585">
        <w:rPr>
          <w:rFonts w:ascii="Times New Roman" w:hAnsi="Times New Roman" w:cs="Times New Roman"/>
          <w:sz w:val="28"/>
          <w:szCs w:val="28"/>
        </w:rPr>
        <w:t>X</w:t>
      </w:r>
      <w:r w:rsidRPr="00467585">
        <w:rPr>
          <w:rFonts w:ascii="Times New Roman" w:hAnsi="Times New Roman" w:cs="Times New Roman"/>
          <w:sz w:val="28"/>
          <w:szCs w:val="28"/>
          <w:vertAlign w:val="subscript"/>
        </w:rPr>
        <w:t>vx;convex</w:t>
      </w:r>
      <w:proofErr w:type="spellEnd"/>
      <w:proofErr w:type="gramEnd"/>
      <w:r w:rsidRPr="00467585">
        <w:rPr>
          <w:rFonts w:ascii="Times New Roman" w:hAnsi="Times New Roman" w:cs="Times New Roman"/>
          <w:sz w:val="28"/>
          <w:szCs w:val="28"/>
        </w:rPr>
        <w:t>. Both vertex sets generate an identical bounding box, which is the smallest box enclosing the vertex set, and aligned with the axes of the reference frame.</w:t>
      </w:r>
    </w:p>
    <w:p w14:paraId="2DDEBD62" w14:textId="55142C38" w:rsidR="00467585" w:rsidRPr="00467585" w:rsidRDefault="00467585" w:rsidP="004675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9B4DB" w14:textId="6A8C0096" w:rsidR="00467585" w:rsidRPr="00467585" w:rsidRDefault="00C17090" w:rsidP="00467585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morph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aabb</m:t>
                  </m:r>
                </m:sub>
              </m:sSub>
            </m:den>
          </m:f>
        </m:oMath>
      </m:oMathPara>
    </w:p>
    <w:p w14:paraId="66E87FBE" w14:textId="706A581B" w:rsidR="00467585" w:rsidRPr="00467585" w:rsidRDefault="00467585" w:rsidP="00467585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 xml:space="preserve">Where V is the ROI volume and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aabb</m:t>
            </m:r>
          </m:sub>
        </m:sSub>
      </m:oMath>
      <w:r>
        <w:rPr>
          <w:rFonts w:ascii="Times New Roman" w:hAnsi="Times New Roman" w:cs="Times New Roman"/>
          <w:b w:val="0"/>
          <w:bCs w:val="0"/>
        </w:rPr>
        <w:t xml:space="preserve"> is the volume of the </w:t>
      </w:r>
      <w:r w:rsidRPr="00467585">
        <w:rPr>
          <w:rFonts w:ascii="Times New Roman" w:hAnsi="Times New Roman" w:cs="Times New Roman"/>
          <w:b w:val="0"/>
          <w:bCs w:val="0"/>
        </w:rPr>
        <w:t>axis-aligned bounding box (AABB)</w:t>
      </w:r>
    </w:p>
    <w:p w14:paraId="50A55A32" w14:textId="62943623" w:rsidR="00467585" w:rsidRDefault="00467585" w:rsidP="00FB1FDE">
      <w:pPr>
        <w:pStyle w:val="Titolo3"/>
        <w:numPr>
          <w:ilvl w:val="0"/>
          <w:numId w:val="0"/>
        </w:numPr>
        <w:ind w:left="720" w:hanging="720"/>
        <w:rPr>
          <w:rFonts w:ascii="Times New Roman" w:hAnsi="Times New Roman" w:cs="Times New Roman"/>
        </w:rPr>
      </w:pPr>
    </w:p>
    <w:p w14:paraId="5EE1BAFC" w14:textId="4F8CBFB9" w:rsidR="00FB1FDE" w:rsidRPr="00FB1FDE" w:rsidRDefault="00FB1FDE" w:rsidP="00FB1F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1FDE">
        <w:rPr>
          <w:rFonts w:ascii="Times New Roman" w:hAnsi="Times New Roman" w:cs="Times New Roman"/>
          <w:b/>
          <w:bCs/>
          <w:sz w:val="28"/>
          <w:szCs w:val="28"/>
        </w:rPr>
        <w:t>Area density (axis-aligned bounding box)</w:t>
      </w:r>
    </w:p>
    <w:p w14:paraId="16875235" w14:textId="360C24A4" w:rsidR="00FB1FDE" w:rsidRPr="00FB1FDE" w:rsidRDefault="00FB1FDE" w:rsidP="00FB1FDE">
      <w:pPr>
        <w:jc w:val="both"/>
        <w:rPr>
          <w:rFonts w:ascii="Times New Roman" w:hAnsi="Times New Roman" w:cs="Times New Roman"/>
          <w:sz w:val="28"/>
          <w:szCs w:val="28"/>
        </w:rPr>
      </w:pPr>
      <w:r w:rsidRPr="00FB1FDE">
        <w:rPr>
          <w:rFonts w:ascii="Times New Roman" w:hAnsi="Times New Roman" w:cs="Times New Roman"/>
          <w:sz w:val="28"/>
          <w:szCs w:val="28"/>
        </w:rPr>
        <w:t xml:space="preserve">Conceptually </w:t>
      </w:r>
      <w:proofErr w:type="gramStart"/>
      <w:r w:rsidRPr="00FB1FDE">
        <w:rPr>
          <w:rFonts w:ascii="Times New Roman" w:hAnsi="Times New Roman" w:cs="Times New Roman"/>
          <w:sz w:val="28"/>
          <w:szCs w:val="28"/>
        </w:rPr>
        <w:t>similar to</w:t>
      </w:r>
      <w:proofErr w:type="gramEnd"/>
      <w:r w:rsidRPr="00FB1FDE">
        <w:rPr>
          <w:rFonts w:ascii="Times New Roman" w:hAnsi="Times New Roman" w:cs="Times New Roman"/>
          <w:sz w:val="28"/>
          <w:szCs w:val="28"/>
        </w:rPr>
        <w:t xml:space="preserve"> the volume density (AABB) feature, area density considers the ratio of the ROI surface area and the surface area </w:t>
      </w:r>
      <w:proofErr w:type="spellStart"/>
      <w:r w:rsidRPr="00FB1FDE">
        <w:rPr>
          <w:rFonts w:ascii="Times New Roman" w:hAnsi="Times New Roman" w:cs="Times New Roman"/>
          <w:sz w:val="28"/>
          <w:szCs w:val="28"/>
        </w:rPr>
        <w:t>Aaabb</w:t>
      </w:r>
      <w:proofErr w:type="spellEnd"/>
      <w:r w:rsidRPr="00FB1FDE">
        <w:rPr>
          <w:rFonts w:ascii="Times New Roman" w:hAnsi="Times New Roman" w:cs="Times New Roman"/>
          <w:sz w:val="28"/>
          <w:szCs w:val="28"/>
        </w:rPr>
        <w:t xml:space="preserve"> of the axis-aligned bounding box enclosing the ROI mesh vertex set </w:t>
      </w:r>
      <w:proofErr w:type="spellStart"/>
      <w:r w:rsidRPr="00FB1FDE">
        <w:rPr>
          <w:rFonts w:ascii="Times New Roman" w:hAnsi="Times New Roman" w:cs="Times New Roman"/>
          <w:sz w:val="28"/>
          <w:szCs w:val="28"/>
        </w:rPr>
        <w:t>X</w:t>
      </w:r>
      <w:r w:rsidRPr="00FB1FDE">
        <w:rPr>
          <w:rFonts w:ascii="Times New Roman" w:hAnsi="Times New Roman" w:cs="Times New Roman"/>
          <w:sz w:val="28"/>
          <w:szCs w:val="28"/>
          <w:vertAlign w:val="subscript"/>
        </w:rPr>
        <w:t>vx</w:t>
      </w:r>
      <w:proofErr w:type="spellEnd"/>
      <w:r w:rsidRPr="00FB1FDE">
        <w:rPr>
          <w:rFonts w:ascii="Times New Roman" w:hAnsi="Times New Roman" w:cs="Times New Roman"/>
          <w:sz w:val="28"/>
          <w:szCs w:val="28"/>
        </w:rPr>
        <w:t>. The bounding box is identical to the one used for computing the volume density (AABB) feature. Thus:</w:t>
      </w:r>
    </w:p>
    <w:p w14:paraId="55512D4D" w14:textId="77777777" w:rsidR="00FB1FDE" w:rsidRDefault="00FB1FDE" w:rsidP="00FB1FDE">
      <w:pPr>
        <w:jc w:val="center"/>
        <w:rPr>
          <w:rFonts w:ascii="CMR10" w:eastAsiaTheme="minorEastAsia" w:hAnsi="CMR10" w:cs="CMR10"/>
          <w:sz w:val="28"/>
          <w:szCs w:val="28"/>
        </w:rPr>
      </w:pPr>
    </w:p>
    <w:bookmarkStart w:id="0" w:name="_Hlk57029311"/>
    <w:p w14:paraId="2315EC1F" w14:textId="73F460FC" w:rsidR="00FB1FDE" w:rsidRPr="00467585" w:rsidRDefault="00C17090" w:rsidP="00FB1FDE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morph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aabb</m:t>
                  </m:r>
                </m:sub>
              </m:sSub>
            </m:den>
          </m:f>
        </m:oMath>
      </m:oMathPara>
    </w:p>
    <w:bookmarkEnd w:id="0"/>
    <w:p w14:paraId="32590527" w14:textId="0AE689F6" w:rsidR="00FB1FDE" w:rsidRDefault="00FB1FDE" w:rsidP="00FB1FDE">
      <w:pPr>
        <w:pStyle w:val="Titolo3"/>
        <w:numPr>
          <w:ilvl w:val="0"/>
          <w:numId w:val="0"/>
        </w:numPr>
        <w:ind w:left="720" w:hanging="720"/>
        <w:rPr>
          <w:rFonts w:ascii="Times New Roman" w:hAnsi="Times New Roman" w:cs="Times New Roman"/>
        </w:rPr>
      </w:pPr>
    </w:p>
    <w:p w14:paraId="494768CD" w14:textId="77777777" w:rsidR="00FB1FDE" w:rsidRPr="00467585" w:rsidRDefault="00FB1FDE" w:rsidP="00FB1FDE">
      <w:pPr>
        <w:pStyle w:val="Titolo3"/>
        <w:numPr>
          <w:ilvl w:val="0"/>
          <w:numId w:val="0"/>
        </w:numPr>
        <w:ind w:left="720" w:hanging="720"/>
        <w:rPr>
          <w:rFonts w:ascii="Times New Roman" w:hAnsi="Times New Roman" w:cs="Times New Roman"/>
        </w:rPr>
      </w:pPr>
    </w:p>
    <w:p w14:paraId="05D43052" w14:textId="30758FEF" w:rsidR="006740A4" w:rsidRPr="005E6B5B" w:rsidRDefault="006740A4" w:rsidP="006740A4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 w:rsidRPr="005E6B5B">
        <w:rPr>
          <w:rFonts w:ascii="Times New Roman" w:hAnsi="Times New Roman" w:cs="Times New Roman"/>
        </w:rPr>
        <w:t xml:space="preserve">Volume at intensity fraction </w:t>
      </w:r>
      <w:r w:rsidR="005E6B5B">
        <w:rPr>
          <w:rFonts w:ascii="Times New Roman" w:hAnsi="Times New Roman" w:cs="Times New Roman"/>
        </w:rPr>
        <w:t xml:space="preserve">and </w:t>
      </w:r>
      <w:r w:rsidR="005E6B5B" w:rsidRPr="005E6B5B">
        <w:rPr>
          <w:rFonts w:ascii="Times New Roman" w:hAnsi="Times New Roman" w:cs="Times New Roman"/>
        </w:rPr>
        <w:t>Volume fraction di</w:t>
      </w:r>
      <w:r w:rsidR="005E6B5B">
        <w:rPr>
          <w:rFonts w:ascii="Times New Roman" w:hAnsi="Times New Roman" w:cs="Times New Roman"/>
        </w:rPr>
        <w:t>ff</w:t>
      </w:r>
      <w:r w:rsidR="005E6B5B" w:rsidRPr="005E6B5B">
        <w:rPr>
          <w:rFonts w:ascii="Times New Roman" w:hAnsi="Times New Roman" w:cs="Times New Roman"/>
        </w:rPr>
        <w:t>erence between intensity fractions</w:t>
      </w:r>
    </w:p>
    <w:p w14:paraId="023F6012" w14:textId="06906721" w:rsidR="00467585" w:rsidRPr="005E6B5B" w:rsidRDefault="006740A4" w:rsidP="005E6B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E6B5B">
        <w:rPr>
          <w:rFonts w:ascii="Times New Roman" w:hAnsi="Times New Roman" w:cs="Times New Roman"/>
          <w:sz w:val="28"/>
          <w:szCs w:val="28"/>
        </w:rPr>
        <w:t xml:space="preserve">The volume at intensity fraction Vx is the largest volume fraction _ that has an intensity fraction of at least x%. This </w:t>
      </w:r>
      <w:r w:rsidR="005E6B5B" w:rsidRPr="005E6B5B">
        <w:rPr>
          <w:rFonts w:ascii="Times New Roman" w:hAnsi="Times New Roman" w:cs="Times New Roman"/>
          <w:sz w:val="28"/>
          <w:szCs w:val="28"/>
        </w:rPr>
        <w:t>differs</w:t>
      </w:r>
      <w:r w:rsidRPr="005E6B5B">
        <w:rPr>
          <w:rFonts w:ascii="Times New Roman" w:hAnsi="Times New Roman" w:cs="Times New Roman"/>
          <w:sz w:val="28"/>
          <w:szCs w:val="28"/>
        </w:rPr>
        <w:t xml:space="preserve"> from conceptually similar dose-volume histograms used in radiotherapy</w:t>
      </w:r>
      <w:r w:rsidR="005E6B5B">
        <w:rPr>
          <w:rFonts w:ascii="Times New Roman" w:hAnsi="Times New Roman" w:cs="Times New Roman"/>
          <w:b/>
          <w:bCs/>
        </w:rPr>
        <w:t xml:space="preserve"> </w:t>
      </w:r>
      <w:r w:rsidRPr="005E6B5B">
        <w:rPr>
          <w:rFonts w:ascii="Times New Roman" w:hAnsi="Times New Roman" w:cs="Times New Roman"/>
          <w:sz w:val="28"/>
          <w:szCs w:val="28"/>
        </w:rPr>
        <w:t>planning, where V</w:t>
      </w:r>
      <w:r w:rsidRPr="005E6B5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5E6B5B">
        <w:rPr>
          <w:rFonts w:ascii="Times New Roman" w:hAnsi="Times New Roman" w:cs="Times New Roman"/>
          <w:sz w:val="28"/>
          <w:szCs w:val="28"/>
        </w:rPr>
        <w:t xml:space="preserve"> would indicate the volume fraction receiving at least 10 </w:t>
      </w:r>
      <w:proofErr w:type="spellStart"/>
      <w:r w:rsidRPr="005E6B5B">
        <w:rPr>
          <w:rFonts w:ascii="Times New Roman" w:hAnsi="Times New Roman" w:cs="Times New Roman"/>
          <w:sz w:val="28"/>
          <w:szCs w:val="28"/>
        </w:rPr>
        <w:t>Gy</w:t>
      </w:r>
      <w:proofErr w:type="spellEnd"/>
      <w:r w:rsidRPr="005E6B5B">
        <w:rPr>
          <w:rFonts w:ascii="Times New Roman" w:hAnsi="Times New Roman" w:cs="Times New Roman"/>
          <w:sz w:val="28"/>
          <w:szCs w:val="28"/>
        </w:rPr>
        <w:t xml:space="preserve"> planned dose. El</w:t>
      </w:r>
      <w:r w:rsidR="005E6B5B" w:rsidRPr="005E6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B5B">
        <w:rPr>
          <w:rFonts w:ascii="Times New Roman" w:hAnsi="Times New Roman" w:cs="Times New Roman"/>
          <w:sz w:val="28"/>
          <w:szCs w:val="28"/>
        </w:rPr>
        <w:t>Naqa</w:t>
      </w:r>
      <w:proofErr w:type="spellEnd"/>
      <w:r w:rsidRPr="005E6B5B">
        <w:rPr>
          <w:rFonts w:ascii="Times New Roman" w:hAnsi="Times New Roman" w:cs="Times New Roman"/>
          <w:sz w:val="28"/>
          <w:szCs w:val="28"/>
        </w:rPr>
        <w:t xml:space="preserve"> et al.</w:t>
      </w:r>
      <w:r w:rsidR="005E6B5B" w:rsidRPr="005E6B5B">
        <w:rPr>
          <w:rFonts w:ascii="Times New Roman" w:hAnsi="Times New Roman" w:cs="Times New Roman"/>
          <w:sz w:val="28"/>
          <w:szCs w:val="28"/>
        </w:rPr>
        <w:t xml:space="preserve"> </w:t>
      </w:r>
      <w:r w:rsidR="005E6B5B" w:rsidRPr="005E6B5B">
        <w:rPr>
          <w:rFonts w:ascii="Times New Roman" w:hAnsi="Times New Roman" w:cs="Times New Roman"/>
          <w:sz w:val="28"/>
          <w:szCs w:val="28"/>
        </w:rPr>
        <w:fldChar w:fldCharType="begin" w:fldLock="1"/>
      </w:r>
      <w:r w:rsidR="005E6B5B" w:rsidRPr="005E6B5B">
        <w:rPr>
          <w:rFonts w:ascii="Times New Roman" w:hAnsi="Times New Roman" w:cs="Times New Roman"/>
          <w:sz w:val="28"/>
          <w:szCs w:val="28"/>
        </w:rPr>
        <w:instrText>ADDIN CSL_CITATION {"citationItems":[{"id":"ITEM-1","itemData":{"DOI":"10.1016/j.patcog.2008.08.011.Exploring","author":[{"dropping-particle":"","family":"Naqa","given":"I","non-dropping-particle":"El","parse-names":false,"suffix":""},{"dropping-particle":"","family":"Grigsby","given":"P","non-dropping-particle":"","parse-names":false,"suffix":""},{"dropping-particle":"","family":"Apte","given":"A","non-dropping-particle":"","parse-names":false,"suffix":""},{"dropping-particle":"","family":"Kidd","given":"E","non-dropping-particle":"","parse-names":false,"suffix":""}],"container-title":"Pattern Recognition","id":"ITEM-1","issue":"6","issued":{"date-parts":[["2009"]]},"page":"1162-1171","title":"Exploring feature-based approaches in PET images for predicting cancer treatment outcomes","type":"article-journal","volume":"42"},"uris":["http://www.mendeley.com/documents/?uuid=adaf21c4-d16c-4b7c-ac1c-84a26b4ee00a"]}],"mendeley":{"formattedCitation":"(1)","plainTextFormattedCitation":"(1)","previouslyFormattedCitation":"(1)"},"properties":{"noteIndex":0},"schema":"https://github.com/citation-style-language/schema/raw/master/csl-citation.json"}</w:instrText>
      </w:r>
      <w:r w:rsidR="005E6B5B" w:rsidRPr="005E6B5B">
        <w:rPr>
          <w:rFonts w:ascii="Times New Roman" w:hAnsi="Times New Roman" w:cs="Times New Roman"/>
          <w:sz w:val="28"/>
          <w:szCs w:val="28"/>
        </w:rPr>
        <w:fldChar w:fldCharType="separate"/>
      </w:r>
      <w:r w:rsidR="005E6B5B" w:rsidRPr="005E6B5B">
        <w:rPr>
          <w:rFonts w:ascii="Times New Roman" w:hAnsi="Times New Roman" w:cs="Times New Roman"/>
          <w:sz w:val="28"/>
          <w:szCs w:val="28"/>
        </w:rPr>
        <w:t>(1)</w:t>
      </w:r>
      <w:r w:rsidR="005E6B5B" w:rsidRPr="005E6B5B">
        <w:rPr>
          <w:rFonts w:ascii="Times New Roman" w:hAnsi="Times New Roman" w:cs="Times New Roman"/>
          <w:sz w:val="28"/>
          <w:szCs w:val="28"/>
        </w:rPr>
        <w:fldChar w:fldCharType="end"/>
      </w:r>
      <w:r w:rsidR="005E6B5B" w:rsidRPr="005E6B5B">
        <w:rPr>
          <w:rFonts w:ascii="Times New Roman" w:hAnsi="Times New Roman" w:cs="Times New Roman"/>
          <w:sz w:val="28"/>
          <w:szCs w:val="28"/>
        </w:rPr>
        <w:t xml:space="preserve"> </w:t>
      </w:r>
      <w:r w:rsidRPr="005E6B5B">
        <w:rPr>
          <w:rFonts w:ascii="Times New Roman" w:hAnsi="Times New Roman" w:cs="Times New Roman"/>
          <w:sz w:val="28"/>
          <w:szCs w:val="28"/>
        </w:rPr>
        <w:t>de</w:t>
      </w:r>
      <w:r w:rsidR="005E6B5B" w:rsidRPr="005E6B5B">
        <w:rPr>
          <w:rFonts w:ascii="Times New Roman" w:hAnsi="Times New Roman" w:cs="Times New Roman"/>
          <w:sz w:val="28"/>
          <w:szCs w:val="28"/>
        </w:rPr>
        <w:t>fi</w:t>
      </w:r>
      <w:r w:rsidRPr="005E6B5B">
        <w:rPr>
          <w:rFonts w:ascii="Times New Roman" w:hAnsi="Times New Roman" w:cs="Times New Roman"/>
          <w:sz w:val="28"/>
          <w:szCs w:val="28"/>
        </w:rPr>
        <w:t>ned both V</w:t>
      </w:r>
      <w:r w:rsidRPr="00D90643">
        <w:rPr>
          <w:rFonts w:ascii="Times New Roman" w:hAnsi="Times New Roman" w:cs="Times New Roman"/>
          <w:sz w:val="28"/>
          <w:szCs w:val="28"/>
          <w:vertAlign w:val="subscript"/>
        </w:rPr>
        <w:t xml:space="preserve">10 </w:t>
      </w:r>
      <w:r w:rsidRPr="005E6B5B">
        <w:rPr>
          <w:rFonts w:ascii="Times New Roman" w:hAnsi="Times New Roman" w:cs="Times New Roman"/>
          <w:sz w:val="28"/>
          <w:szCs w:val="28"/>
        </w:rPr>
        <w:t>and V</w:t>
      </w:r>
      <w:r w:rsidRPr="00D90643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 w:rsidRPr="005E6B5B">
        <w:rPr>
          <w:rFonts w:ascii="Times New Roman" w:hAnsi="Times New Roman" w:cs="Times New Roman"/>
          <w:sz w:val="28"/>
          <w:szCs w:val="28"/>
        </w:rPr>
        <w:t xml:space="preserve"> as features. </w:t>
      </w:r>
      <w:r w:rsidR="00DE3AC0" w:rsidRPr="00DE3AC0">
        <w:rPr>
          <w:rFonts w:ascii="Times New Roman" w:hAnsi="Times New Roman" w:cs="Times New Roman"/>
          <w:sz w:val="28"/>
          <w:szCs w:val="28"/>
        </w:rPr>
        <w:t>Volume fraction difference between intensity fractions</w:t>
      </w:r>
      <w:r w:rsidR="00DE3AC0">
        <w:rPr>
          <w:rFonts w:ascii="Times New Roman" w:hAnsi="Times New Roman" w:cs="Times New Roman"/>
          <w:sz w:val="28"/>
          <w:szCs w:val="28"/>
        </w:rPr>
        <w:t xml:space="preserve"> </w:t>
      </w:r>
      <w:r w:rsidR="005E6B5B" w:rsidRPr="005E6B5B">
        <w:rPr>
          <w:rFonts w:ascii="Times New Roman" w:hAnsi="Times New Roman" w:cs="Times New Roman"/>
          <w:sz w:val="28"/>
          <w:szCs w:val="28"/>
        </w:rPr>
        <w:t>is the di</w:t>
      </w:r>
      <w:r w:rsidR="005E6B5B">
        <w:rPr>
          <w:rFonts w:ascii="Times New Roman" w:hAnsi="Times New Roman" w:cs="Times New Roman"/>
          <w:sz w:val="28"/>
          <w:szCs w:val="28"/>
        </w:rPr>
        <w:t>f</w:t>
      </w:r>
      <w:r w:rsidR="00DE3AC0">
        <w:rPr>
          <w:rFonts w:ascii="Times New Roman" w:hAnsi="Times New Roman" w:cs="Times New Roman"/>
          <w:sz w:val="28"/>
          <w:szCs w:val="28"/>
        </w:rPr>
        <w:t>f</w:t>
      </w:r>
      <w:r w:rsidR="005E6B5B" w:rsidRPr="005E6B5B">
        <w:rPr>
          <w:rFonts w:ascii="Times New Roman" w:hAnsi="Times New Roman" w:cs="Times New Roman"/>
          <w:sz w:val="28"/>
          <w:szCs w:val="28"/>
        </w:rPr>
        <w:t>erence between the volume fractions at two di</w:t>
      </w:r>
      <w:r w:rsidR="00D90643">
        <w:rPr>
          <w:rFonts w:ascii="Times New Roman" w:hAnsi="Times New Roman" w:cs="Times New Roman"/>
          <w:sz w:val="28"/>
          <w:szCs w:val="28"/>
        </w:rPr>
        <w:t>ff</w:t>
      </w:r>
      <w:r w:rsidR="005E6B5B" w:rsidRPr="005E6B5B">
        <w:rPr>
          <w:rFonts w:ascii="Times New Roman" w:hAnsi="Times New Roman" w:cs="Times New Roman"/>
          <w:sz w:val="28"/>
          <w:szCs w:val="28"/>
        </w:rPr>
        <w:t>erent intensity fractions, e.g.V</w:t>
      </w:r>
      <w:r w:rsidR="005E6B5B" w:rsidRPr="005E6B5B">
        <w:rPr>
          <w:rFonts w:ascii="Times New Roman" w:hAnsi="Times New Roman" w:cs="Times New Roman"/>
          <w:sz w:val="28"/>
          <w:szCs w:val="28"/>
          <w:vertAlign w:val="subscript"/>
        </w:rPr>
        <w:t xml:space="preserve">10 </w:t>
      </w:r>
      <w:r w:rsidR="00D90643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6B5B" w:rsidRPr="005E6B5B">
        <w:rPr>
          <w:rFonts w:ascii="Times New Roman" w:hAnsi="Times New Roman" w:cs="Times New Roman"/>
          <w:sz w:val="28"/>
          <w:szCs w:val="28"/>
        </w:rPr>
        <w:t xml:space="preserve"> V</w:t>
      </w:r>
      <w:r w:rsidR="005E6B5B" w:rsidRPr="005E6B5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="00D90643">
        <w:rPr>
          <w:rFonts w:ascii="Times New Roman" w:hAnsi="Times New Roman" w:cs="Times New Roman"/>
          <w:sz w:val="28"/>
          <w:szCs w:val="28"/>
          <w:vertAlign w:val="subscript"/>
        </w:rPr>
        <w:t>0.</w:t>
      </w:r>
    </w:p>
    <w:p w14:paraId="67F88747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4A6C6DF5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2614F60C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049F9B67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3EC87DA1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0671698A" w14:textId="77777777" w:rsidR="00467585" w:rsidRPr="00467585" w:rsidRDefault="00467585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4218749A" w14:textId="2C885D56" w:rsidR="000D6177" w:rsidRPr="00467585" w:rsidRDefault="000D6177" w:rsidP="000D6177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 w:rsidRPr="00467585">
        <w:rPr>
          <w:rFonts w:ascii="Times New Roman" w:hAnsi="Times New Roman" w:cs="Times New Roman"/>
        </w:rPr>
        <w:t>Gray Level Size Zone Matrix (GLSZM) Features</w:t>
      </w:r>
    </w:p>
    <w:p w14:paraId="3F3E0725" w14:textId="77777777" w:rsidR="000D6177" w:rsidRPr="00467585" w:rsidRDefault="000D6177" w:rsidP="000D6177">
      <w:pPr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sz w:val="28"/>
          <w:szCs w:val="28"/>
        </w:rPr>
        <w:t>A Gray Level Size Zone (GLSZM) quantifies the gray level zones in an image. A gray level zone is defined as the number of connected voxels that share the same gray level intensity. A voxel is considered connected if the distance is 1 according to the infinity norm (26-connected region in a 3D, 8-connected region in 2D).</w:t>
      </w:r>
      <w:r w:rsidRPr="00467585">
        <w:rPr>
          <w:rFonts w:ascii="Times New Roman" w:hAnsi="Times New Roman" w:cs="Times New Roman"/>
          <w:sz w:val="28"/>
          <w:szCs w:val="28"/>
        </w:rPr>
        <w:br/>
      </w:r>
      <w:r w:rsidRPr="00467585">
        <w:rPr>
          <w:rFonts w:ascii="Times New Roman" w:hAnsi="Times New Roman" w:cs="Times New Roman"/>
          <w:sz w:val="28"/>
          <w:szCs w:val="28"/>
        </w:rPr>
        <w:br/>
        <w:t>In a gray level size zone matrix </w:t>
      </w:r>
      <w:r w:rsidRPr="00467585">
        <w:rPr>
          <w:rFonts w:ascii="Times New Roman" w:hAnsi="Times New Roman" w:cs="Times New Roman"/>
          <w:i/>
          <w:sz w:val="28"/>
          <w:szCs w:val="28"/>
        </w:rPr>
        <w:t>P(</w:t>
      </w:r>
      <w:proofErr w:type="spellStart"/>
      <w:r w:rsidRPr="00467585">
        <w:rPr>
          <w:rFonts w:ascii="Times New Roman" w:hAnsi="Times New Roman" w:cs="Times New Roman"/>
          <w:i/>
          <w:sz w:val="28"/>
          <w:szCs w:val="28"/>
        </w:rPr>
        <w:t>i,j</w:t>
      </w:r>
      <w:proofErr w:type="spellEnd"/>
      <w:r w:rsidRPr="00467585">
        <w:rPr>
          <w:rFonts w:ascii="Times New Roman" w:hAnsi="Times New Roman" w:cs="Times New Roman"/>
          <w:i/>
          <w:sz w:val="28"/>
          <w:szCs w:val="28"/>
        </w:rPr>
        <w:t>)</w:t>
      </w:r>
      <w:r w:rsidRPr="00467585">
        <w:rPr>
          <w:rFonts w:ascii="Times New Roman" w:hAnsi="Times New Roman" w:cs="Times New Roman"/>
          <w:sz w:val="28"/>
          <w:szCs w:val="28"/>
        </w:rPr>
        <w:t>, the </w:t>
      </w:r>
      <w:r w:rsidRPr="0046758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67585">
        <w:rPr>
          <w:rFonts w:ascii="Times New Roman" w:hAnsi="Times New Roman" w:cs="Times New Roman"/>
          <w:i/>
          <w:sz w:val="28"/>
          <w:szCs w:val="28"/>
        </w:rPr>
        <w:t>i,j</w:t>
      </w:r>
      <w:proofErr w:type="spellEnd"/>
      <w:r w:rsidRPr="00467585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 w:rsidRPr="0046758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proofErr w:type="spellEnd"/>
      <w:r w:rsidRPr="00467585">
        <w:rPr>
          <w:rFonts w:ascii="Times New Roman" w:hAnsi="Times New Roman" w:cs="Times New Roman"/>
          <w:sz w:val="28"/>
          <w:szCs w:val="28"/>
        </w:rPr>
        <w:t xml:space="preserve"> element equals to the number of zones with </w:t>
      </w:r>
      <w:proofErr w:type="spellStart"/>
      <w:r w:rsidRPr="00467585">
        <w:rPr>
          <w:rFonts w:ascii="Times New Roman" w:hAnsi="Times New Roman" w:cs="Times New Roman"/>
          <w:sz w:val="28"/>
          <w:szCs w:val="28"/>
        </w:rPr>
        <w:t>gray</w:t>
      </w:r>
      <w:proofErr w:type="spellEnd"/>
      <w:r w:rsidRPr="00467585">
        <w:rPr>
          <w:rFonts w:ascii="Times New Roman" w:hAnsi="Times New Roman" w:cs="Times New Roman"/>
          <w:sz w:val="28"/>
          <w:szCs w:val="28"/>
        </w:rPr>
        <w:t xml:space="preserve"> level </w:t>
      </w:r>
      <w:proofErr w:type="spellStart"/>
      <w:r w:rsidRPr="00467585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467585">
        <w:rPr>
          <w:rFonts w:ascii="Times New Roman" w:hAnsi="Times New Roman" w:cs="Times New Roman"/>
          <w:sz w:val="28"/>
          <w:szCs w:val="28"/>
        </w:rPr>
        <w:t> and size </w:t>
      </w:r>
      <w:r w:rsidRPr="00467585">
        <w:rPr>
          <w:rFonts w:ascii="Times New Roman" w:hAnsi="Times New Roman" w:cs="Times New Roman"/>
          <w:i/>
          <w:sz w:val="28"/>
          <w:szCs w:val="28"/>
        </w:rPr>
        <w:t>j</w:t>
      </w:r>
      <w:r w:rsidRPr="00467585">
        <w:rPr>
          <w:rFonts w:ascii="Times New Roman" w:hAnsi="Times New Roman" w:cs="Times New Roman"/>
          <w:sz w:val="28"/>
          <w:szCs w:val="28"/>
        </w:rPr>
        <w:t> appear in image. Contrary to GLCM and GLRLM, the GLSZM is rotation independent, with only one matrix calculated for all directions in the ROI.</w:t>
      </w:r>
    </w:p>
    <w:p w14:paraId="49A4F00E" w14:textId="77777777" w:rsidR="000D6177" w:rsidRPr="00467585" w:rsidRDefault="000D6177" w:rsidP="000D6177">
      <w:pPr>
        <w:rPr>
          <w:rFonts w:ascii="Times New Roman" w:hAnsi="Times New Roman" w:cs="Times New Roman"/>
          <w:sz w:val="28"/>
          <w:szCs w:val="28"/>
        </w:rPr>
      </w:pPr>
    </w:p>
    <w:p w14:paraId="579A2C37" w14:textId="77777777" w:rsidR="000D6177" w:rsidRPr="00467585" w:rsidRDefault="000D6177" w:rsidP="000D61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7585">
        <w:rPr>
          <w:rFonts w:ascii="Times New Roman" w:hAnsi="Times New Roman" w:cs="Times New Roman"/>
          <w:sz w:val="28"/>
          <w:szCs w:val="28"/>
          <w:lang w:val="en-US"/>
        </w:rPr>
        <w:t>Let:</w:t>
      </w:r>
    </w:p>
    <w:p w14:paraId="509F1FBB" w14:textId="580E25B8" w:rsidR="000D6177" w:rsidRPr="00467585" w:rsidRDefault="000D6177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D7AC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> be the number of discret</w:t>
      </w:r>
      <w:r w:rsidR="006D7AC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 xml:space="preserve"> intensity values in the image</w:t>
      </w:r>
    </w:p>
    <w:p w14:paraId="03913C67" w14:textId="0B0400CC" w:rsidR="000D6177" w:rsidRPr="00467585" w:rsidRDefault="000D6177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75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D7AC4" w:rsidRPr="006D7AC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6D7AC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 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>be the number of discret</w:t>
      </w:r>
      <w:r w:rsidR="006D7AC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 xml:space="preserve"> zone sizes in the image</w:t>
      </w:r>
    </w:p>
    <w:p w14:paraId="75C6EB5E" w14:textId="40C28A22" w:rsidR="000D6177" w:rsidRPr="00467585" w:rsidRDefault="000D6177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D7AC4" w:rsidRPr="006D7AC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v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> be the number of voxels in the image</w:t>
      </w:r>
    </w:p>
    <w:p w14:paraId="6B407EF0" w14:textId="05E992B9" w:rsidR="000D6177" w:rsidRPr="00467585" w:rsidRDefault="000D6177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758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D7AC4" w:rsidRPr="006D7AC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t xml:space="preserve"> be the number of zones in the ROI, which is equal to </w:t>
      </w:r>
      <w:r w:rsidRPr="00467585">
        <w:rPr>
          <w:rFonts w:ascii="Times New Roman" w:hAnsi="Times New Roman" w:cs="Times New Roman"/>
          <w:sz w:val="28"/>
          <w:szCs w:val="28"/>
          <w:lang w:val="en-US"/>
        </w:rPr>
        <w:br/>
      </w:r>
      <m:oMath>
        <m:nary>
          <m:naryPr>
            <m:chr m:val="∑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Ng</m:t>
            </m:r>
          </m:sup>
          <m:e>
            <m:nary>
              <m:naryPr>
                <m:chr m:val="∑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Ns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i,j</m:t>
                    </m:r>
                  </m:e>
                </m:d>
              </m:e>
            </m:nary>
          </m:e>
        </m:nary>
      </m:oMath>
      <w:r w:rsidRPr="0046758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8"/>
            <w:szCs w:val="28"/>
          </w:rPr>
          <m:t>1≤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sub>
        </m:sSub>
      </m:oMath>
    </w:p>
    <w:p w14:paraId="2452BEE4" w14:textId="7B9EC527" w:rsidR="000D6177" w:rsidRPr="00467585" w:rsidRDefault="006D7AC4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proofErr w:type="gramStart"/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i,j</w:t>
      </w:r>
      <w:proofErr w:type="spellEnd"/>
      <w:proofErr w:type="gramEnd"/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="000D6177" w:rsidRPr="00467585">
        <w:rPr>
          <w:rFonts w:ascii="Times New Roman" w:hAnsi="Times New Roman" w:cs="Times New Roman"/>
          <w:sz w:val="28"/>
          <w:szCs w:val="28"/>
          <w:lang w:val="en-US"/>
        </w:rPr>
        <w:t> be the size zone matrix</w:t>
      </w:r>
    </w:p>
    <w:p w14:paraId="1571F47E" w14:textId="4FF9AC0C" w:rsidR="000D6177" w:rsidRPr="00467585" w:rsidRDefault="006D7AC4" w:rsidP="000D617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proofErr w:type="gramStart"/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i,j</w:t>
      </w:r>
      <w:proofErr w:type="spellEnd"/>
      <w:proofErr w:type="gramEnd"/>
      <w:r w:rsidR="000D6177" w:rsidRPr="00467585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="000D6177" w:rsidRPr="00467585">
        <w:rPr>
          <w:rFonts w:ascii="Times New Roman" w:hAnsi="Times New Roman" w:cs="Times New Roman"/>
          <w:sz w:val="28"/>
          <w:szCs w:val="28"/>
          <w:lang w:val="en-US"/>
        </w:rPr>
        <w:t> be the normalized size zone matrix, defined as </w:t>
      </w:r>
      <m:oMath>
        <m:r>
          <w:rPr>
            <w:rFonts w:ascii="Cambria Math" w:hAnsi="Cambria Math" w:cs="Times New Roman"/>
            <w:sz w:val="28"/>
            <w:szCs w:val="28"/>
          </w:rPr>
          <m:t>s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i,j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i,j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sub>
            </m:sSub>
          </m:den>
        </m:f>
      </m:oMath>
    </w:p>
    <w:p w14:paraId="6CC20D01" w14:textId="040BF741" w:rsidR="00252171" w:rsidRDefault="00252171"/>
    <w:p w14:paraId="5A191875" w14:textId="0FCC21EA" w:rsidR="003121E1" w:rsidRDefault="003121E1"/>
    <w:p w14:paraId="253DC695" w14:textId="292D9858" w:rsidR="003121E1" w:rsidRDefault="003121E1" w:rsidP="003121E1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 w:rsidRPr="003121E1">
        <w:rPr>
          <w:rFonts w:ascii="Times New Roman" w:hAnsi="Times New Roman" w:cs="Times New Roman"/>
        </w:rPr>
        <w:t>small zone low grey level emphasis (SZLGLE)</w:t>
      </w:r>
    </w:p>
    <w:p w14:paraId="553A1F7D" w14:textId="77777777" w:rsidR="003121E1" w:rsidRPr="003121E1" w:rsidRDefault="003121E1" w:rsidP="003121E1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</w:p>
    <w:p w14:paraId="7E787FE1" w14:textId="318DDE88" w:rsidR="006D7AC4" w:rsidRDefault="006D7AC4" w:rsidP="006D7AC4">
      <w:pPr>
        <w:rPr>
          <w:rFonts w:ascii="Times New Roman" w:hAnsi="Times New Roman" w:cs="Times New Roman"/>
          <w:sz w:val="28"/>
          <w:szCs w:val="28"/>
        </w:rPr>
      </w:pPr>
      <w:r w:rsidRPr="006D7AC4">
        <w:rPr>
          <w:rFonts w:ascii="Times New Roman" w:hAnsi="Times New Roman" w:cs="Times New Roman"/>
          <w:sz w:val="28"/>
          <w:szCs w:val="28"/>
        </w:rPr>
        <w:t>This feature emphasises zone counts within the upper left quadrant of the GLSZM, where small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AC4">
        <w:rPr>
          <w:rFonts w:ascii="Times New Roman" w:hAnsi="Times New Roman" w:cs="Times New Roman"/>
          <w:sz w:val="28"/>
          <w:szCs w:val="28"/>
        </w:rPr>
        <w:t>zone sizes and low grey levels are located. It is defined as:</w:t>
      </w:r>
    </w:p>
    <w:p w14:paraId="2A9ED256" w14:textId="29F7F94C" w:rsidR="006D7AC4" w:rsidRDefault="006D7AC4" w:rsidP="006D7AC4">
      <w:pPr>
        <w:rPr>
          <w:rFonts w:ascii="Times New Roman" w:hAnsi="Times New Roman" w:cs="Times New Roman"/>
          <w:sz w:val="28"/>
          <w:szCs w:val="28"/>
        </w:rPr>
      </w:pPr>
    </w:p>
    <w:p w14:paraId="29239A19" w14:textId="77AFEE0C" w:rsidR="006D7AC4" w:rsidRPr="006D7AC4" w:rsidRDefault="00C17090" w:rsidP="006D7AC4">
      <w:pPr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szm.szgle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S(i,j)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</m:e>
          </m:nary>
        </m:oMath>
      </m:oMathPara>
    </w:p>
    <w:p w14:paraId="6EF6F29B" w14:textId="12C61ED2" w:rsidR="006D7AC4" w:rsidRDefault="006D7AC4"/>
    <w:p w14:paraId="5599112A" w14:textId="6C345EE8" w:rsidR="006D7AC4" w:rsidRDefault="006D7AC4"/>
    <w:p w14:paraId="3029E4A4" w14:textId="77777777" w:rsidR="006D7AC4" w:rsidRDefault="006D7AC4"/>
    <w:p w14:paraId="57D27824" w14:textId="4057E454" w:rsidR="005E6B5B" w:rsidRDefault="005E6B5B"/>
    <w:p w14:paraId="06DF4FE6" w14:textId="4008D4D1" w:rsidR="005E6B5B" w:rsidRDefault="005E6B5B"/>
    <w:p w14:paraId="6D4F57D0" w14:textId="0374AF53" w:rsidR="005E6B5B" w:rsidRPr="005E6B5B" w:rsidRDefault="005E6B5B" w:rsidP="005E6B5B">
      <w:pPr>
        <w:widowControl w:val="0"/>
        <w:autoSpaceDE w:val="0"/>
        <w:autoSpaceDN w:val="0"/>
        <w:adjustRightInd w:val="0"/>
        <w:rPr>
          <w:rFonts w:cs="Liberation Serif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5E6B5B">
        <w:rPr>
          <w:rFonts w:cs="Liberation Serif"/>
          <w:noProof/>
        </w:rPr>
        <w:t xml:space="preserve">1. El Naqa I, Grigsby P, Apte A, Kidd E: Exploring feature-based approaches in PET images for predicting cancer treatment outcomes. </w:t>
      </w:r>
      <w:r w:rsidRPr="005E6B5B">
        <w:rPr>
          <w:rFonts w:cs="Liberation Serif"/>
          <w:i/>
          <w:iCs/>
          <w:noProof/>
        </w:rPr>
        <w:t>Pattern Recognit</w:t>
      </w:r>
      <w:r w:rsidRPr="005E6B5B">
        <w:rPr>
          <w:rFonts w:cs="Liberation Serif"/>
          <w:noProof/>
        </w:rPr>
        <w:t xml:space="preserve"> 2009; 42:1162–1171.</w:t>
      </w:r>
    </w:p>
    <w:p w14:paraId="2DD91A7D" w14:textId="0139A2C7" w:rsidR="005E6B5B" w:rsidRDefault="005E6B5B">
      <w:r>
        <w:fldChar w:fldCharType="end"/>
      </w:r>
    </w:p>
    <w:p w14:paraId="0F8A4816" w14:textId="5C344792" w:rsidR="00FB1FDE" w:rsidRPr="00FB1FDE" w:rsidRDefault="00FB1FDE" w:rsidP="00AB54B1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 w:rsidRPr="00FB1FDE">
        <w:rPr>
          <w:rFonts w:ascii="Times New Roman" w:hAnsi="Times New Roman" w:cs="Times New Roman"/>
        </w:rPr>
        <w:t>Intensity-based statistical features</w:t>
      </w:r>
    </w:p>
    <w:p w14:paraId="50C5D869" w14:textId="047A371D" w:rsidR="00FB1FDE" w:rsidRPr="00FB1FDE" w:rsidRDefault="00FB1FDE" w:rsidP="003F18B3">
      <w:pPr>
        <w:rPr>
          <w:rFonts w:ascii="Times New Roman" w:hAnsi="Times New Roman" w:cs="Times New Roman"/>
          <w:sz w:val="28"/>
          <w:szCs w:val="28"/>
        </w:rPr>
      </w:pPr>
      <w:r w:rsidRPr="00FB1FDE">
        <w:rPr>
          <w:rFonts w:ascii="Times New Roman" w:hAnsi="Times New Roman" w:cs="Times New Roman"/>
          <w:sz w:val="28"/>
          <w:szCs w:val="28"/>
        </w:rPr>
        <w:t>The intensity-based statistical features describe how intensities within the region of interest (ROI)</w:t>
      </w:r>
      <w:r w:rsidR="00AB54B1" w:rsidRPr="003F18B3">
        <w:rPr>
          <w:rFonts w:ascii="Times New Roman" w:hAnsi="Times New Roman" w:cs="Times New Roman"/>
          <w:sz w:val="28"/>
          <w:szCs w:val="28"/>
        </w:rPr>
        <w:t xml:space="preserve"> </w:t>
      </w:r>
      <w:r w:rsidRPr="00FB1FDE">
        <w:rPr>
          <w:rFonts w:ascii="Times New Roman" w:hAnsi="Times New Roman" w:cs="Times New Roman"/>
          <w:sz w:val="28"/>
          <w:szCs w:val="28"/>
        </w:rPr>
        <w:t xml:space="preserve">are distributed. The features in this set do not require </w:t>
      </w:r>
      <w:proofErr w:type="gramStart"/>
      <w:r w:rsidRPr="00FB1FDE">
        <w:rPr>
          <w:rFonts w:ascii="Times New Roman" w:hAnsi="Times New Roman" w:cs="Times New Roman"/>
          <w:sz w:val="28"/>
          <w:szCs w:val="28"/>
        </w:rPr>
        <w:t>discretisation,</w:t>
      </w:r>
      <w:r w:rsidR="003F18B3">
        <w:rPr>
          <w:rFonts w:ascii="Times New Roman" w:hAnsi="Times New Roman" w:cs="Times New Roman"/>
          <w:sz w:val="28"/>
          <w:szCs w:val="28"/>
        </w:rPr>
        <w:t xml:space="preserve"> </w:t>
      </w:r>
      <w:r w:rsidRPr="00FB1FDE">
        <w:rPr>
          <w:rFonts w:ascii="Times New Roman" w:hAnsi="Times New Roman" w:cs="Times New Roman"/>
          <w:sz w:val="28"/>
          <w:szCs w:val="28"/>
        </w:rPr>
        <w:t>and</w:t>
      </w:r>
      <w:proofErr w:type="gramEnd"/>
      <w:r w:rsidRPr="00FB1FDE">
        <w:rPr>
          <w:rFonts w:ascii="Times New Roman" w:hAnsi="Times New Roman" w:cs="Times New Roman"/>
          <w:sz w:val="28"/>
          <w:szCs w:val="28"/>
        </w:rPr>
        <w:t xml:space="preserve"> may be used to describe</w:t>
      </w:r>
      <w:r w:rsidR="00AB54B1" w:rsidRPr="003F18B3">
        <w:rPr>
          <w:rFonts w:ascii="Times New Roman" w:hAnsi="Times New Roman" w:cs="Times New Roman"/>
          <w:sz w:val="28"/>
          <w:szCs w:val="28"/>
        </w:rPr>
        <w:t xml:space="preserve"> </w:t>
      </w:r>
      <w:r w:rsidRPr="00FB1FDE">
        <w:rPr>
          <w:rFonts w:ascii="Times New Roman" w:hAnsi="Times New Roman" w:cs="Times New Roman"/>
          <w:sz w:val="28"/>
          <w:szCs w:val="28"/>
        </w:rPr>
        <w:t>a continuous intensity distribution. Intensity-based statistical features are not meaningful if the</w:t>
      </w:r>
      <w:r w:rsidR="003F18B3">
        <w:rPr>
          <w:rFonts w:ascii="Times New Roman" w:hAnsi="Times New Roman" w:cs="Times New Roman"/>
          <w:sz w:val="28"/>
          <w:szCs w:val="28"/>
        </w:rPr>
        <w:t xml:space="preserve"> </w:t>
      </w:r>
      <w:r w:rsidRPr="00FB1FDE">
        <w:rPr>
          <w:rFonts w:ascii="Times New Roman" w:hAnsi="Times New Roman" w:cs="Times New Roman"/>
          <w:sz w:val="28"/>
          <w:szCs w:val="28"/>
        </w:rPr>
        <w:t>intensity scale is arbitrary.</w:t>
      </w:r>
    </w:p>
    <w:p w14:paraId="622371F6" w14:textId="77777777" w:rsidR="003F18B3" w:rsidRDefault="00FB1FDE" w:rsidP="003F18B3">
      <w:pPr>
        <w:rPr>
          <w:rFonts w:ascii="Times New Roman" w:hAnsi="Times New Roman" w:cs="Times New Roman"/>
          <w:sz w:val="28"/>
          <w:szCs w:val="28"/>
        </w:rPr>
      </w:pPr>
      <w:r w:rsidRPr="00FB1FDE">
        <w:rPr>
          <w:rFonts w:ascii="Times New Roman" w:hAnsi="Times New Roman" w:cs="Times New Roman"/>
          <w:sz w:val="28"/>
          <w:szCs w:val="28"/>
        </w:rPr>
        <w:t>The set of intensities of the Nv voxels included in the ROI intensity mask is denoted as</w:t>
      </w:r>
      <w:r w:rsidR="003F18B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1A7F8C" w14:textId="31D6EF1A" w:rsidR="00AB54B1" w:rsidRPr="003121E1" w:rsidRDefault="00C17090" w:rsidP="00FB1FDE">
      <w:pPr>
        <w:autoSpaceDE w:val="0"/>
        <w:autoSpaceDN w:val="0"/>
        <w:adjustRightInd w:val="0"/>
        <w:rPr>
          <w:rFonts w:ascii="CMR10" w:eastAsiaTheme="minorEastAsia" w:hAnsi="CMR10" w:cs="CMR10"/>
          <w:color w:val="auto"/>
          <w:sz w:val="28"/>
          <w:szCs w:val="28"/>
          <w:lang w:val="it-IT" w:eastAsia="en-US" w:bidi="ar-SA"/>
        </w:rPr>
      </w:pPr>
      <m:oMathPara>
        <m:oMath>
          <m:sSub>
            <m:sSubPr>
              <m:ctrlPr>
                <w:rPr>
                  <w:rFonts w:ascii="Cambria Math" w:eastAsiaTheme="minorHAnsi" w:hAnsi="Cambria Math" w:cs="CMR10"/>
                  <w:i/>
                  <w:color w:val="auto"/>
                  <w:sz w:val="28"/>
                  <w:szCs w:val="28"/>
                  <w:lang w:val="it-IT" w:eastAsia="en-US" w:bidi="ar-SA"/>
                </w:rPr>
              </m:ctrlPr>
            </m:sSubPr>
            <m:e>
              <m:r>
                <w:rPr>
                  <w:rFonts w:ascii="Cambria Math" w:eastAsiaTheme="minorHAnsi" w:hAnsi="Cambria Math" w:cs="CMR10"/>
                  <w:color w:val="auto"/>
                  <w:sz w:val="28"/>
                  <w:szCs w:val="28"/>
                  <w:lang w:val="it-IT" w:eastAsia="en-US" w:bidi="ar-SA"/>
                </w:rPr>
                <m:t>X</m:t>
              </m:r>
            </m:e>
            <m:sub>
              <m:r>
                <w:rPr>
                  <w:rFonts w:ascii="Cambria Math" w:eastAsiaTheme="minorHAnsi" w:hAnsi="Cambria Math" w:cs="CMR10"/>
                  <w:color w:val="auto"/>
                  <w:sz w:val="28"/>
                  <w:szCs w:val="28"/>
                  <w:lang w:val="it-IT" w:eastAsia="en-US" w:bidi="ar-SA"/>
                </w:rPr>
                <m:t>gl</m:t>
              </m:r>
            </m:sub>
          </m:sSub>
          <m:r>
            <w:rPr>
              <w:rFonts w:ascii="Cambria Math" w:eastAsiaTheme="minorHAnsi" w:hAnsi="Cambria Math" w:cs="CMR10"/>
              <w:color w:val="auto"/>
              <w:sz w:val="28"/>
              <w:szCs w:val="28"/>
              <w:lang w:val="it-IT" w:eastAsia="en-US" w:bidi="ar-SA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Theme="minorHAnsi" w:hAnsi="Cambria Math" w:cs="CMR10"/>
                  <w:i/>
                  <w:color w:val="auto"/>
                  <w:sz w:val="28"/>
                  <w:szCs w:val="28"/>
                  <w:lang w:val="it-IT" w:eastAsia="en-US" w:bidi="ar-SA"/>
                </w:rPr>
              </m:ctrlPr>
            </m:dPr>
            <m:e>
              <m:sSub>
                <m:sSubPr>
                  <m:ctrlPr>
                    <w:rPr>
                      <w:rFonts w:ascii="Cambria Math" w:eastAsiaTheme="minorHAnsi" w:hAnsi="Cambria Math" w:cs="CMR10"/>
                      <w:i/>
                      <w:color w:val="auto"/>
                      <w:sz w:val="28"/>
                      <w:szCs w:val="28"/>
                      <w:lang w:val="it-IT" w:eastAsia="en-US" w:bidi="ar-SA"/>
                    </w:rPr>
                  </m:ctrlPr>
                </m:sSubPr>
                <m:e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gl,1</m:t>
                  </m:r>
                </m:sub>
              </m:sSub>
              <m:r>
                <w:rPr>
                  <w:rFonts w:ascii="Cambria Math" w:eastAsiaTheme="minorHAnsi" w:hAnsi="Cambria Math" w:cs="CMR10"/>
                  <w:color w:val="auto"/>
                  <w:sz w:val="28"/>
                  <w:szCs w:val="28"/>
                  <w:lang w:val="it-IT" w:eastAsia="en-US" w:bidi="ar-SA"/>
                </w:rPr>
                <m:t>,</m:t>
              </m:r>
              <m:sSub>
                <m:sSubPr>
                  <m:ctrlPr>
                    <w:rPr>
                      <w:rFonts w:ascii="Cambria Math" w:eastAsiaTheme="minorHAnsi" w:hAnsi="Cambria Math" w:cs="CMR10"/>
                      <w:i/>
                      <w:color w:val="auto"/>
                      <w:sz w:val="28"/>
                      <w:szCs w:val="28"/>
                      <w:lang w:val="it-IT" w:eastAsia="en-US" w:bidi="ar-SA"/>
                    </w:rPr>
                  </m:ctrlPr>
                </m:sSubPr>
                <m:e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gl,2</m:t>
                  </m:r>
                </m:sub>
              </m:sSub>
              <m:r>
                <w:rPr>
                  <w:rFonts w:ascii="Cambria Math" w:eastAsiaTheme="minorHAnsi" w:hAnsi="Cambria Math" w:cs="CMR10"/>
                  <w:color w:val="auto"/>
                  <w:sz w:val="28"/>
                  <w:szCs w:val="28"/>
                  <w:lang w:val="it-IT" w:eastAsia="en-US" w:bidi="ar-SA"/>
                </w:rPr>
                <m:t>....</m:t>
              </m:r>
              <m:sSub>
                <m:sSubPr>
                  <m:ctrlPr>
                    <w:rPr>
                      <w:rFonts w:ascii="Cambria Math" w:eastAsiaTheme="minorHAnsi" w:hAnsi="Cambria Math" w:cs="CMR10"/>
                      <w:i/>
                      <w:color w:val="auto"/>
                      <w:sz w:val="28"/>
                      <w:szCs w:val="28"/>
                      <w:lang w:val="it-IT" w:eastAsia="en-US" w:bidi="ar-SA"/>
                    </w:rPr>
                  </m:ctrlPr>
                </m:sSubPr>
                <m:e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CMR10"/>
                      <w:color w:val="auto"/>
                      <w:sz w:val="28"/>
                      <w:szCs w:val="28"/>
                      <w:lang w:val="it-IT" w:eastAsia="en-US" w:bidi="ar-SA"/>
                    </w:rPr>
                    <m:t>gl,N</m:t>
                  </m:r>
                </m:sub>
              </m:sSub>
            </m:e>
          </m:d>
        </m:oMath>
      </m:oMathPara>
    </w:p>
    <w:p w14:paraId="1D9F997B" w14:textId="77777777" w:rsidR="003121E1" w:rsidRPr="00481231" w:rsidRDefault="003121E1" w:rsidP="00FB1FDE">
      <w:pPr>
        <w:autoSpaceDE w:val="0"/>
        <w:autoSpaceDN w:val="0"/>
        <w:adjustRightInd w:val="0"/>
        <w:rPr>
          <w:rFonts w:ascii="CMR10" w:eastAsiaTheme="minorHAnsi" w:hAnsi="CMR10" w:cs="CMR10"/>
          <w:color w:val="auto"/>
          <w:sz w:val="28"/>
          <w:szCs w:val="28"/>
          <w:lang w:val="it-IT" w:eastAsia="en-US" w:bidi="ar-SA"/>
        </w:rPr>
      </w:pPr>
    </w:p>
    <w:p w14:paraId="7D10C1BB" w14:textId="34DA05BA" w:rsidR="00FB1FDE" w:rsidRPr="00FB1FDE" w:rsidRDefault="00FB1FDE" w:rsidP="00AB54B1">
      <w:pPr>
        <w:pStyle w:val="Titolo3"/>
        <w:numPr>
          <w:ilvl w:val="2"/>
          <w:numId w:val="2"/>
        </w:numPr>
        <w:ind w:left="0" w:firstLine="0"/>
        <w:rPr>
          <w:rFonts w:ascii="Times New Roman" w:hAnsi="Times New Roman" w:cs="Times New Roman"/>
        </w:rPr>
      </w:pPr>
      <w:r w:rsidRPr="00FB1FDE">
        <w:rPr>
          <w:rFonts w:ascii="Times New Roman" w:hAnsi="Times New Roman" w:cs="Times New Roman"/>
        </w:rPr>
        <w:t xml:space="preserve">Intensity-based quartile </w:t>
      </w:r>
      <w:proofErr w:type="spellStart"/>
      <w:r w:rsidRPr="00FB1FDE">
        <w:rPr>
          <w:rFonts w:ascii="Times New Roman" w:hAnsi="Times New Roman" w:cs="Times New Roman"/>
        </w:rPr>
        <w:t>coeffcient</w:t>
      </w:r>
      <w:proofErr w:type="spellEnd"/>
      <w:r w:rsidRPr="00FB1FDE">
        <w:rPr>
          <w:rFonts w:ascii="Times New Roman" w:hAnsi="Times New Roman" w:cs="Times New Roman"/>
        </w:rPr>
        <w:t xml:space="preserve"> of dispersion </w:t>
      </w:r>
    </w:p>
    <w:p w14:paraId="1D0963EA" w14:textId="28CEC802" w:rsidR="00FB1FDE" w:rsidRDefault="00FB1FDE" w:rsidP="00FB1FDE">
      <w:pPr>
        <w:rPr>
          <w:rFonts w:ascii="Times New Roman" w:hAnsi="Times New Roman" w:cs="Times New Roman"/>
          <w:sz w:val="28"/>
          <w:szCs w:val="28"/>
        </w:rPr>
      </w:pPr>
      <w:r w:rsidRPr="00FB1FDE">
        <w:rPr>
          <w:rFonts w:ascii="Times New Roman" w:hAnsi="Times New Roman" w:cs="Times New Roman"/>
          <w:sz w:val="28"/>
          <w:szCs w:val="28"/>
        </w:rPr>
        <w:t>The quartile coe</w:t>
      </w:r>
      <w:r>
        <w:rPr>
          <w:rFonts w:ascii="Times New Roman" w:hAnsi="Times New Roman" w:cs="Times New Roman"/>
          <w:sz w:val="28"/>
          <w:szCs w:val="28"/>
        </w:rPr>
        <w:t>ffi</w:t>
      </w:r>
      <w:r w:rsidRPr="00FB1FDE">
        <w:rPr>
          <w:rFonts w:ascii="Times New Roman" w:hAnsi="Times New Roman" w:cs="Times New Roman"/>
          <w:sz w:val="28"/>
          <w:szCs w:val="28"/>
        </w:rPr>
        <w:t>cient of dispersion is defined as:</w:t>
      </w:r>
    </w:p>
    <w:p w14:paraId="1FDBB039" w14:textId="4A0436B9" w:rsidR="00FB1FDE" w:rsidRDefault="00FB1FDE" w:rsidP="00FB1FDE">
      <w:pPr>
        <w:rPr>
          <w:rFonts w:ascii="Times New Roman" w:hAnsi="Times New Roman" w:cs="Times New Roman"/>
          <w:sz w:val="28"/>
          <w:szCs w:val="28"/>
        </w:rPr>
      </w:pPr>
    </w:p>
    <w:p w14:paraId="663FDDD9" w14:textId="38AFF4A7" w:rsidR="00FB1FDE" w:rsidRPr="00467585" w:rsidRDefault="00C17090" w:rsidP="00FB1FDE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stat.qcod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75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75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sub>
              </m:sSub>
            </m:den>
          </m:f>
        </m:oMath>
      </m:oMathPara>
    </w:p>
    <w:p w14:paraId="1EB44401" w14:textId="04A1AA51" w:rsidR="00FB1FDE" w:rsidRDefault="00FB1FDE" w:rsidP="00FB1FDE">
      <w:pPr>
        <w:rPr>
          <w:rFonts w:ascii="Times New Roman" w:hAnsi="Times New Roman" w:cs="Times New Roman"/>
          <w:sz w:val="28"/>
          <w:szCs w:val="28"/>
        </w:rPr>
      </w:pPr>
    </w:p>
    <w:p w14:paraId="1B267041" w14:textId="25ADC019" w:rsidR="00FB1FDE" w:rsidRDefault="00FB1FDE" w:rsidP="00FB1FDE">
      <w:pPr>
        <w:rPr>
          <w:rFonts w:ascii="Times New Roman" w:hAnsi="Times New Roman" w:cs="Times New Roman"/>
          <w:sz w:val="28"/>
          <w:szCs w:val="28"/>
        </w:rPr>
      </w:pPr>
      <w:r w:rsidRPr="00FB1FDE">
        <w:rPr>
          <w:rFonts w:ascii="Times New Roman" w:hAnsi="Times New Roman" w:cs="Times New Roman"/>
          <w:sz w:val="28"/>
          <w:szCs w:val="28"/>
        </w:rPr>
        <w:t>P</w:t>
      </w:r>
      <w:r w:rsidRPr="00FB1FDE">
        <w:rPr>
          <w:rFonts w:ascii="Times New Roman" w:hAnsi="Times New Roman" w:cs="Times New Roman"/>
          <w:sz w:val="28"/>
          <w:szCs w:val="28"/>
          <w:vertAlign w:val="subscript"/>
        </w:rPr>
        <w:t>25</w:t>
      </w:r>
      <w:r w:rsidRPr="00FB1FDE">
        <w:rPr>
          <w:rFonts w:ascii="Times New Roman" w:hAnsi="Times New Roman" w:cs="Times New Roman"/>
          <w:sz w:val="28"/>
          <w:szCs w:val="28"/>
        </w:rPr>
        <w:t xml:space="preserve"> and P</w:t>
      </w:r>
      <w:r w:rsidRPr="00FB1FDE">
        <w:rPr>
          <w:rFonts w:ascii="Times New Roman" w:hAnsi="Times New Roman" w:cs="Times New Roman"/>
          <w:sz w:val="28"/>
          <w:szCs w:val="28"/>
          <w:vertAlign w:val="subscript"/>
        </w:rPr>
        <w:t>75</w:t>
      </w:r>
      <w:r w:rsidRPr="00FB1FDE">
        <w:rPr>
          <w:rFonts w:ascii="Times New Roman" w:hAnsi="Times New Roman" w:cs="Times New Roman"/>
          <w:sz w:val="28"/>
          <w:szCs w:val="28"/>
        </w:rPr>
        <w:t xml:space="preserve"> are the 25th and 75th percentile of </w:t>
      </w:r>
      <w:proofErr w:type="spellStart"/>
      <w:r w:rsidRPr="00FB1FDE">
        <w:rPr>
          <w:rFonts w:ascii="Times New Roman" w:hAnsi="Times New Roman" w:cs="Times New Roman"/>
          <w:sz w:val="28"/>
          <w:szCs w:val="28"/>
        </w:rPr>
        <w:t>X</w:t>
      </w:r>
      <w:r w:rsidRPr="00FB1FDE">
        <w:rPr>
          <w:rFonts w:ascii="Times New Roman" w:hAnsi="Times New Roman" w:cs="Times New Roman"/>
          <w:sz w:val="28"/>
          <w:szCs w:val="28"/>
          <w:vertAlign w:val="subscript"/>
        </w:rPr>
        <w:t>gl</w:t>
      </w:r>
      <w:proofErr w:type="spellEnd"/>
      <w:r w:rsidRPr="00FB1FDE">
        <w:rPr>
          <w:rFonts w:ascii="Times New Roman" w:hAnsi="Times New Roman" w:cs="Times New Roman"/>
          <w:sz w:val="28"/>
          <w:szCs w:val="28"/>
        </w:rPr>
        <w:t>, respectively.</w:t>
      </w:r>
    </w:p>
    <w:p w14:paraId="15AF37CE" w14:textId="7DFCA091" w:rsidR="00481231" w:rsidRDefault="00481231" w:rsidP="00FB1FDE">
      <w:pPr>
        <w:rPr>
          <w:rFonts w:ascii="Times New Roman" w:hAnsi="Times New Roman" w:cs="Times New Roman"/>
          <w:sz w:val="28"/>
          <w:szCs w:val="28"/>
        </w:rPr>
      </w:pPr>
    </w:p>
    <w:p w14:paraId="0469F33D" w14:textId="08701CD4" w:rsidR="00481231" w:rsidRDefault="00481231" w:rsidP="00481231">
      <w:pPr>
        <w:autoSpaceDE w:val="0"/>
        <w:autoSpaceDN w:val="0"/>
        <w:adjustRightInd w:val="0"/>
        <w:rPr>
          <w:rFonts w:ascii="CMBX12" w:eastAsiaTheme="minorHAnsi" w:hAnsi="CMBX12" w:cs="CMBX12"/>
          <w:color w:val="auto"/>
          <w:lang w:val="it-IT" w:eastAsia="en-US" w:bidi="ar-SA"/>
        </w:rPr>
      </w:pPr>
      <w:r w:rsidRPr="00481231">
        <w:rPr>
          <w:rFonts w:ascii="Times New Roman" w:hAnsi="Times New Roman" w:cs="Times New Roman"/>
          <w:b/>
          <w:bCs/>
          <w:sz w:val="28"/>
          <w:szCs w:val="28"/>
        </w:rPr>
        <w:t>Intensity-based energy</w:t>
      </w:r>
      <w:r>
        <w:rPr>
          <w:rFonts w:ascii="CMBX12" w:eastAsiaTheme="minorHAnsi" w:hAnsi="CMBX12" w:cs="CMBX12"/>
          <w:color w:val="auto"/>
          <w:lang w:val="it-IT" w:eastAsia="en-US" w:bidi="ar-SA"/>
        </w:rPr>
        <w:t xml:space="preserve"> </w:t>
      </w:r>
    </w:p>
    <w:p w14:paraId="500EAD55" w14:textId="77777777" w:rsidR="00481231" w:rsidRDefault="00481231" w:rsidP="00481231">
      <w:pPr>
        <w:autoSpaceDE w:val="0"/>
        <w:autoSpaceDN w:val="0"/>
        <w:adjustRightInd w:val="0"/>
        <w:rPr>
          <w:rFonts w:ascii="CMTT10" w:eastAsiaTheme="minorHAnsi" w:hAnsi="CMTT10" w:cs="CMTT10"/>
          <w:color w:val="auto"/>
          <w:sz w:val="20"/>
          <w:szCs w:val="20"/>
          <w:lang w:val="it-IT" w:eastAsia="en-US" w:bidi="ar-SA"/>
        </w:rPr>
      </w:pPr>
    </w:p>
    <w:p w14:paraId="6FA520CE" w14:textId="18910FFB" w:rsidR="00481231" w:rsidRPr="00481231" w:rsidRDefault="00481231" w:rsidP="00481231">
      <w:pPr>
        <w:rPr>
          <w:rFonts w:ascii="Times New Roman" w:hAnsi="Times New Roman" w:cs="Times New Roman"/>
          <w:sz w:val="28"/>
          <w:szCs w:val="28"/>
        </w:rPr>
      </w:pPr>
      <w:r w:rsidRPr="00481231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Pr="00481231">
        <w:rPr>
          <w:rFonts w:ascii="Times New Roman" w:hAnsi="Times New Roman" w:cs="Times New Roman"/>
          <w:sz w:val="28"/>
          <w:szCs w:val="28"/>
        </w:rPr>
        <w:t>energy  of</w:t>
      </w:r>
      <w:proofErr w:type="gramEnd"/>
      <w:r w:rsidRPr="00481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231">
        <w:rPr>
          <w:rFonts w:ascii="Times New Roman" w:hAnsi="Times New Roman" w:cs="Times New Roman"/>
          <w:sz w:val="28"/>
          <w:szCs w:val="28"/>
        </w:rPr>
        <w:t>X</w:t>
      </w:r>
      <w:r w:rsidRPr="00481231">
        <w:rPr>
          <w:rFonts w:ascii="Times New Roman" w:hAnsi="Times New Roman" w:cs="Times New Roman"/>
          <w:sz w:val="28"/>
          <w:szCs w:val="28"/>
          <w:vertAlign w:val="subscript"/>
        </w:rPr>
        <w:t>gl</w:t>
      </w:r>
      <w:proofErr w:type="spellEnd"/>
      <w:r w:rsidRPr="00481231">
        <w:rPr>
          <w:rFonts w:ascii="Times New Roman" w:hAnsi="Times New Roman" w:cs="Times New Roman"/>
          <w:sz w:val="28"/>
          <w:szCs w:val="28"/>
        </w:rPr>
        <w:t xml:space="preserve"> is defined as:</w:t>
      </w:r>
    </w:p>
    <w:p w14:paraId="59F5AD67" w14:textId="7F555A24" w:rsidR="00481231" w:rsidRPr="006D7AC4" w:rsidRDefault="00C17090" w:rsidP="00481231">
      <w:pPr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stat.energy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gl,k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nary>
        </m:oMath>
      </m:oMathPara>
    </w:p>
    <w:p w14:paraId="5FA8C67F" w14:textId="101EC66F" w:rsidR="00481231" w:rsidRPr="00FB1FDE" w:rsidRDefault="00481231" w:rsidP="00481231">
      <w:pPr>
        <w:rPr>
          <w:rFonts w:ascii="Times New Roman" w:hAnsi="Times New Roman" w:cs="Times New Roman"/>
          <w:sz w:val="28"/>
          <w:szCs w:val="28"/>
        </w:rPr>
      </w:pPr>
    </w:p>
    <w:sectPr w:rsidR="00481231" w:rsidRPr="00FB1FDE" w:rsidSect="00252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T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A233A"/>
    <w:multiLevelType w:val="multilevel"/>
    <w:tmpl w:val="48CE8A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92E5CCD"/>
    <w:multiLevelType w:val="multilevel"/>
    <w:tmpl w:val="E92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7A7A004E"/>
    <w:multiLevelType w:val="multilevel"/>
    <w:tmpl w:val="4C385432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77"/>
    <w:rsid w:val="0007561D"/>
    <w:rsid w:val="000D6177"/>
    <w:rsid w:val="001D6B85"/>
    <w:rsid w:val="00252171"/>
    <w:rsid w:val="003121E1"/>
    <w:rsid w:val="003F18B3"/>
    <w:rsid w:val="00467585"/>
    <w:rsid w:val="00481231"/>
    <w:rsid w:val="004D0A4A"/>
    <w:rsid w:val="005C4566"/>
    <w:rsid w:val="005E6B5B"/>
    <w:rsid w:val="006740A4"/>
    <w:rsid w:val="006D7AC4"/>
    <w:rsid w:val="007C7BED"/>
    <w:rsid w:val="00AB54B1"/>
    <w:rsid w:val="00C17090"/>
    <w:rsid w:val="00D90643"/>
    <w:rsid w:val="00DE3AC0"/>
    <w:rsid w:val="00E2377F"/>
    <w:rsid w:val="00F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5E145"/>
  <w15:docId w15:val="{3011AAEB-3BC5-4B24-B8E5-16E44A4A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6177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IN" w:eastAsia="zh-CN" w:bidi="hi-IN"/>
    </w:rPr>
  </w:style>
  <w:style w:type="paragraph" w:styleId="Titolo1">
    <w:name w:val="heading 1"/>
    <w:basedOn w:val="Normale"/>
    <w:link w:val="Titolo1Carattere"/>
    <w:qFormat/>
    <w:rsid w:val="000D6177"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b/>
      <w:bCs/>
      <w:sz w:val="36"/>
      <w:szCs w:val="36"/>
    </w:rPr>
  </w:style>
  <w:style w:type="paragraph" w:styleId="Titolo2">
    <w:name w:val="heading 2"/>
    <w:basedOn w:val="Normale"/>
    <w:link w:val="Titolo2Carattere"/>
    <w:qFormat/>
    <w:rsid w:val="000D6177"/>
    <w:pPr>
      <w:keepNext/>
      <w:numPr>
        <w:ilvl w:val="1"/>
        <w:numId w:val="1"/>
      </w:numPr>
      <w:spacing w:before="200" w:after="120"/>
      <w:outlineLvl w:val="1"/>
    </w:pPr>
    <w:rPr>
      <w:rFonts w:ascii="Liberation Sans" w:hAnsi="Liberation Sans"/>
      <w:b/>
      <w:bCs/>
      <w:sz w:val="32"/>
      <w:szCs w:val="32"/>
    </w:rPr>
  </w:style>
  <w:style w:type="paragraph" w:styleId="Titolo3">
    <w:name w:val="heading 3"/>
    <w:basedOn w:val="Normale"/>
    <w:link w:val="Titolo3Carattere"/>
    <w:qFormat/>
    <w:rsid w:val="000D6177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D6177"/>
    <w:rPr>
      <w:rFonts w:ascii="Liberation Sans" w:eastAsia="Noto Sans CJK SC Regular" w:hAnsi="Liberation Sans" w:cs="FreeSans"/>
      <w:b/>
      <w:bCs/>
      <w:color w:val="00000A"/>
      <w:sz w:val="36"/>
      <w:szCs w:val="36"/>
      <w:lang w:val="en-IN"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D6177"/>
    <w:rPr>
      <w:rFonts w:ascii="Liberation Sans" w:eastAsia="Noto Sans CJK SC Regular" w:hAnsi="Liberation Sans" w:cs="FreeSans"/>
      <w:b/>
      <w:bCs/>
      <w:color w:val="00000A"/>
      <w:sz w:val="32"/>
      <w:szCs w:val="32"/>
      <w:lang w:val="en-IN"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0D6177"/>
    <w:rPr>
      <w:rFonts w:ascii="Liberation Sans" w:eastAsia="Noto Sans CJK SC Regular" w:hAnsi="Liberation Sans" w:cs="FreeSans"/>
      <w:b/>
      <w:bCs/>
      <w:color w:val="00000A"/>
      <w:sz w:val="28"/>
      <w:szCs w:val="28"/>
      <w:lang w:val="en-IN"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77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77"/>
    <w:rPr>
      <w:rFonts w:ascii="Tahoma" w:eastAsia="Noto Sans CJK SC Regular" w:hAnsi="Tahoma" w:cs="Mangal"/>
      <w:color w:val="00000A"/>
      <w:sz w:val="16"/>
      <w:szCs w:val="14"/>
      <w:lang w:val="en-IN" w:eastAsia="zh-CN" w:bidi="hi-IN"/>
    </w:rPr>
  </w:style>
  <w:style w:type="character" w:styleId="Testosegnaposto">
    <w:name w:val="Placeholder Text"/>
    <w:basedOn w:val="Carpredefinitoparagrafo"/>
    <w:uiPriority w:val="99"/>
    <w:semiHidden/>
    <w:rsid w:val="004675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8F0A-C16D-47D6-BCD7-354084F2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giacomo.feliciani</dc:creator>
  <cp:lastModifiedBy>Giacomo Feliciani</cp:lastModifiedBy>
  <cp:revision>2</cp:revision>
  <dcterms:created xsi:type="dcterms:W3CDTF">2020-11-26T14:11:00Z</dcterms:created>
  <dcterms:modified xsi:type="dcterms:W3CDTF">2020-11-26T14:11:00Z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http://www.zotero.org/styles/journal-of-magnetic-resonance-imaging</vt:lpwstr>
  </property>
  <property fmtid="{D5CDD505-2E9C-101B-9397-08002B2CF9AE}" pid="17" name="Mendeley Recent Style Name 7_1">
    <vt:lpwstr>Journal Of Magnetic Resonance Imaging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http://www.zotero.org/styles/radiology</vt:lpwstr>
  </property>
  <property fmtid="{D5CDD505-2E9C-101B-9397-08002B2CF9AE}" pid="21" name="Mendeley Recent Style Name 9_1">
    <vt:lpwstr>Radiology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eea75890-6791-3cbf-807e-cba7f03e665f</vt:lpwstr>
  </property>
  <property fmtid="{D5CDD505-2E9C-101B-9397-08002B2CF9AE}" pid="24" name="Mendeley Citation Style_1">
    <vt:lpwstr>http://www.zotero.org/styles/journal-of-magnetic-resonance-imaging</vt:lpwstr>
  </property>
</Properties>
</file>