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0C4B5" w14:textId="79C9A1CC" w:rsidR="005E7E2A" w:rsidRPr="000A59F9" w:rsidRDefault="005E7E2A" w:rsidP="00EA0BF5">
      <w:pPr>
        <w:pStyle w:val="NoSpacing"/>
        <w:rPr>
          <w:b/>
          <w:bCs/>
          <w:sz w:val="36"/>
          <w:szCs w:val="36"/>
        </w:rPr>
      </w:pPr>
      <w:r w:rsidRPr="000A59F9">
        <w:rPr>
          <w:b/>
          <w:bCs/>
          <w:sz w:val="36"/>
          <w:szCs w:val="36"/>
        </w:rPr>
        <w:t>Supplementa</w:t>
      </w:r>
      <w:r w:rsidR="004A757D" w:rsidRPr="000A59F9">
        <w:rPr>
          <w:b/>
          <w:bCs/>
          <w:sz w:val="36"/>
          <w:szCs w:val="36"/>
        </w:rPr>
        <w:t>ry</w:t>
      </w:r>
      <w:r w:rsidR="00230620" w:rsidRPr="000A59F9">
        <w:rPr>
          <w:b/>
          <w:bCs/>
          <w:sz w:val="36"/>
          <w:szCs w:val="36"/>
        </w:rPr>
        <w:t xml:space="preserve"> Material</w:t>
      </w:r>
      <w:r w:rsidR="00FE4C5A" w:rsidRPr="000A59F9">
        <w:rPr>
          <w:b/>
          <w:bCs/>
          <w:sz w:val="36"/>
          <w:szCs w:val="36"/>
        </w:rPr>
        <w:t xml:space="preserve"> 1</w:t>
      </w:r>
    </w:p>
    <w:p w14:paraId="6CF72EF0" w14:textId="77777777" w:rsidR="005E7E2A" w:rsidRPr="000A59F9" w:rsidRDefault="005E7E2A" w:rsidP="005E7E2A"/>
    <w:p w14:paraId="3478BB76" w14:textId="282CA55F" w:rsidR="008C0942" w:rsidRPr="000A59F9" w:rsidRDefault="008C0942" w:rsidP="008C0942">
      <w:pPr>
        <w:pStyle w:val="NoSpacing"/>
        <w:rPr>
          <w:sz w:val="24"/>
        </w:rPr>
      </w:pPr>
      <w:r w:rsidRPr="000A59F9">
        <w:rPr>
          <w:sz w:val="24"/>
        </w:rPr>
        <w:t>For the manuscript:</w:t>
      </w:r>
    </w:p>
    <w:p w14:paraId="322A818D" w14:textId="1265E4FC" w:rsidR="008C0942" w:rsidRPr="000A59F9" w:rsidRDefault="008C0942" w:rsidP="008C0942">
      <w:pPr>
        <w:pStyle w:val="NoSpacing"/>
        <w:rPr>
          <w:b/>
          <w:bCs/>
          <w:sz w:val="28"/>
          <w:szCs w:val="24"/>
        </w:rPr>
      </w:pPr>
      <w:r w:rsidRPr="000A59F9">
        <w:rPr>
          <w:b/>
          <w:bCs/>
          <w:sz w:val="28"/>
          <w:szCs w:val="24"/>
        </w:rPr>
        <w:t>Quantitative Dual Contrast Photon-Counting Computed Tomography for Assessment of Articular Cartilage Health</w:t>
      </w:r>
    </w:p>
    <w:p w14:paraId="6A0E46F9" w14:textId="77777777" w:rsidR="008C0942" w:rsidRPr="000A59F9" w:rsidRDefault="008C0942" w:rsidP="008C0942">
      <w:pPr>
        <w:pStyle w:val="NoSpacing"/>
        <w:rPr>
          <w:b/>
          <w:bCs/>
          <w:sz w:val="24"/>
        </w:rPr>
      </w:pPr>
    </w:p>
    <w:p w14:paraId="480505AE" w14:textId="305C65C3" w:rsidR="008C0942" w:rsidRPr="000A59F9" w:rsidRDefault="008C0942" w:rsidP="008C0942">
      <w:pPr>
        <w:pStyle w:val="NoSpacing"/>
        <w:rPr>
          <w:sz w:val="24"/>
          <w:lang w:val="fi-FI"/>
        </w:rPr>
      </w:pPr>
      <w:r w:rsidRPr="000A59F9">
        <w:rPr>
          <w:sz w:val="24"/>
          <w:lang w:val="fi-FI"/>
        </w:rPr>
        <w:t>Petri Paakkari, Satu I. Inkinen, Miitu K. M. Honkanen, Mithilesh Prakash, Rubina Shaikh, Miika T. Nieminen, Mark W. Grinstaff, Janne T. A. Mäkelä, Juha Töyräs, and Juuso T. J. Honkanen</w:t>
      </w:r>
    </w:p>
    <w:p w14:paraId="79C6383A" w14:textId="1C3E2782" w:rsidR="008C0942" w:rsidRPr="000A59F9" w:rsidRDefault="008C0942" w:rsidP="008C0942">
      <w:pPr>
        <w:pStyle w:val="NoSpacing"/>
        <w:rPr>
          <w:sz w:val="24"/>
          <w:lang w:val="fi-FI"/>
        </w:rPr>
      </w:pPr>
    </w:p>
    <w:p w14:paraId="177E7654" w14:textId="77777777" w:rsidR="00770660" w:rsidRPr="000A59F9" w:rsidRDefault="00770660" w:rsidP="008C0942">
      <w:pPr>
        <w:pStyle w:val="NoSpacing"/>
        <w:rPr>
          <w:sz w:val="24"/>
          <w:lang w:val="fi-FI"/>
        </w:rPr>
      </w:pPr>
    </w:p>
    <w:p w14:paraId="610D256A" w14:textId="5C29EBB9" w:rsidR="008C0942" w:rsidRPr="000A59F9" w:rsidRDefault="00770660" w:rsidP="00E00D64">
      <w:pPr>
        <w:pStyle w:val="NoSpacing"/>
        <w:spacing w:after="120"/>
        <w:rPr>
          <w:rStyle w:val="Strong"/>
          <w:caps/>
          <w:sz w:val="24"/>
        </w:rPr>
      </w:pPr>
      <w:r w:rsidRPr="000A59F9">
        <w:rPr>
          <w:rStyle w:val="Strong"/>
          <w:caps/>
          <w:sz w:val="24"/>
        </w:rPr>
        <w:t>Materials and Methods</w:t>
      </w:r>
    </w:p>
    <w:p w14:paraId="4F44F57E" w14:textId="2D5E11A3" w:rsidR="00E571F7" w:rsidRPr="000A59F9" w:rsidRDefault="00E571F7" w:rsidP="00E00D64">
      <w:pPr>
        <w:pStyle w:val="NoSpacing"/>
        <w:rPr>
          <w:rStyle w:val="Strong"/>
          <w:b w:val="0"/>
          <w:bCs w:val="0"/>
          <w:i/>
          <w:iCs/>
          <w:sz w:val="24"/>
        </w:rPr>
      </w:pPr>
      <w:r w:rsidRPr="000A59F9">
        <w:rPr>
          <w:i/>
          <w:iCs/>
          <w:sz w:val="24"/>
        </w:rPr>
        <w:t>Biomechanical Indentation</w:t>
      </w:r>
    </w:p>
    <w:p w14:paraId="07FAED09" w14:textId="788441FE" w:rsidR="00E571F7" w:rsidRPr="000A59F9" w:rsidRDefault="00E571F7" w:rsidP="00B6214C">
      <w:pPr>
        <w:pStyle w:val="NoSpacing"/>
        <w:ind w:firstLine="284"/>
        <w:jc w:val="both"/>
        <w:rPr>
          <w:sz w:val="24"/>
        </w:rPr>
      </w:pPr>
      <w:r w:rsidRPr="000A59F9">
        <w:rPr>
          <w:sz w:val="24"/>
        </w:rPr>
        <w:t xml:space="preserve">Equilibrium and instantaneous moduli were determined for the samples. First, the samples were thawed at room temperature. The thickness of cartilage was estimated using a digital caliper. The exact thicknesses were later confirmed by segmenting the surface of the cartilage and the cartilage-bone interphase from the PCD-CT images and calculating the distance in the mid part of the plug (caliper thickness error &lt; 14%). This was then applied to the moduli calculations. The average thickness of the cartilage was 2.86 mm with </w:t>
      </w:r>
      <w:r w:rsidR="00E034A0" w:rsidRPr="000A59F9">
        <w:rPr>
          <w:sz w:val="24"/>
        </w:rPr>
        <w:t xml:space="preserve">a </w:t>
      </w:r>
      <w:r w:rsidRPr="000A59F9">
        <w:rPr>
          <w:sz w:val="24"/>
        </w:rPr>
        <w:t>standard deviation of 0.62 mm. The osteochondral samples were glued to the bottom of a measuring chamber, which was then filled with PBS.</w:t>
      </w:r>
    </w:p>
    <w:p w14:paraId="4064151D" w14:textId="3F2DB204" w:rsidR="00E571F7" w:rsidRPr="000A59F9" w:rsidRDefault="00E571F7" w:rsidP="00E571F7">
      <w:pPr>
        <w:pStyle w:val="NoSpacing"/>
        <w:ind w:firstLine="284"/>
        <w:jc w:val="both"/>
        <w:rPr>
          <w:sz w:val="24"/>
        </w:rPr>
      </w:pPr>
      <w:r w:rsidRPr="000A59F9">
        <w:rPr>
          <w:sz w:val="24"/>
        </w:rPr>
        <w:t>An indenter with a plane-ended head was driven into contact with the surface of the sample with a pre-stress of 12.5 kPa</w:t>
      </w:r>
      <w:r w:rsidRPr="000A59F9">
        <w:rPr>
          <w:sz w:val="24"/>
          <w:lang w:val="fi-FI"/>
        </w:rPr>
        <w:fldChar w:fldCharType="begin" w:fldLock="1"/>
      </w:r>
      <w:r w:rsidR="009A2F89" w:rsidRPr="000A59F9">
        <w:rPr>
          <w:sz w:val="24"/>
        </w:rPr>
        <w:instrText>ADDIN CSL_CITATION {"citationItems":[{"id":"ITEM-1","itemData":{"DOI":"10.1016/S0021-9290(03)00069-1","ISSN":"0021-9290 (Print)","PMID":"12893046","abstract":"Degradation of collagen network and proteoglycan (PG) macromolecules are signs of articular cartilage degeneration. These changes impair cartilage mechanical function. Effects of collagen degradation and PG depletion on the time-dependent mechanical behavior of cartilage are different. In this study, numerical analyses, which take the compression-tension nonlinearity of the tissue into account, were carried out using a fibril reinforced poroelastic finite element model. The study aimed at improving our understanding of the stress-relaxation behavior of normal and degenerated cartilage in unconfined compression. PG and collagen degradations were simulated by decreasing the Young's modulus of the drained porous (nonfibrillar) matrix and the fibril network, respectively. Numerical analyses were compared to results from experimental tests with chondroitinase ABC (PG depletion) or collagenase (collagen degradation) digested samples. Fibril reinforced poroelastic model predicted the experimental behavior of cartilage after chondroitinase ABC digestion by a major decrease of the drained porous matrix modulus (-64+/-28%) and a minor decrease of the fibril network modulus (-11+/-9%). After collagenase digestion, in contrast, the numerical analyses predicted the experimental behavior of cartilage by a major decrease of the fibril network modulus (-69+/-5%) and a decrease of the drained porous matrix modulus (-44+/-18%). The reduction of the drained porous matrix modulus after collagenase digestion was consistent with the microscopically observed secondary PG loss from the tissue. The present results indicate that the fibril reinforced poroelastic model is able to predict specifically characteristic alterations in the stress-relaxation behavior of cartilage after enzymatic modifications of the tissue. We conclude that the compression-tension nonlinearity of the tissue is needed to capture realistically the mechanical behavior of normal and degenerated articular cartilage.","author":[{"dropping-particle":"","family":"Korhonen","given":"Rami K","non-dropping-particle":"","parse-names":false,"suffix":""},{"dropping-particle":"","family":"Laasanen","given":"Mikko S","non-dropping-particle":"","parse-names":false,"suffix":""},{"dropping-particle":"","family":"Toyras","given":"Juha","non-dropping-particle":"","parse-names":false,"suffix":""},{"dropping-particle":"","family":"Lappalainen","given":"Reijo","non-dropping-particle":"","parse-names":false,"suffix":""},{"dropping-particle":"","family":"Helminen","given":"Heikki J","non-dropping-particle":"","parse-names":false,"suffix":""},{"dropping-particle":"","family":"Jurvelin","given":"Jukka S","non-dropping-particle":"","parse-names":false,"suffix":""},{"dropping-particle":"","family":"Press","given":"Article I N","non-dropping-particle":"","parse-names":false,"suffix":""}],"container-title":"Journal of biomechanics","id":"ITEM-1","issue":"9","issued":{"date-parts":[["2003","9"]]},"language":"eng","page":"1373-1379","publisher-place":"United States","title":"Fibril reinforced poroelastic model predicts specifically mechanical behavior of normal, proteoglycan depleted and collagen degraded articular cartilage.","type":"article-journal","volume":"36"},"uris":["http://www.mendeley.com/documents/?uuid=0344b8cf-ebf4-4ef2-ba3c-8b49ae25a2e7"]}],"mendeley":{"formattedCitation":"&lt;sup&gt;1&lt;/sup&gt;","plainTextFormattedCitation":"1","previouslyFormattedCitation":"&lt;sup&gt;1&lt;/sup&gt;"},"properties":{"noteIndex":0},"schema":"https://github.com/citation-style-language/schema/raw/master/csl-citation.json"}</w:instrText>
      </w:r>
      <w:r w:rsidRPr="000A59F9">
        <w:rPr>
          <w:sz w:val="24"/>
          <w:lang w:val="fi-FI"/>
        </w:rPr>
        <w:fldChar w:fldCharType="separate"/>
      </w:r>
      <w:bookmarkStart w:id="0" w:name="__Fieldmark__542_3324262586"/>
      <w:bookmarkStart w:id="1" w:name="__Fieldmark__470_283366306"/>
      <w:bookmarkStart w:id="2" w:name="__Fieldmark__1037_1076999677"/>
      <w:r w:rsidR="009A2F89" w:rsidRPr="000A59F9">
        <w:rPr>
          <w:noProof/>
          <w:sz w:val="24"/>
          <w:vertAlign w:val="superscript"/>
        </w:rPr>
        <w:t>1</w:t>
      </w:r>
      <w:r w:rsidRPr="000A59F9">
        <w:rPr>
          <w:sz w:val="24"/>
        </w:rPr>
        <w:fldChar w:fldCharType="end"/>
      </w:r>
      <w:bookmarkEnd w:id="0"/>
      <w:bookmarkEnd w:id="1"/>
      <w:bookmarkEnd w:id="2"/>
      <w:r w:rsidRPr="000A59F9">
        <w:rPr>
          <w:sz w:val="24"/>
        </w:rPr>
        <w:t>. Contact was ensured with preconditioning by indenting the specimen five separate times, 2% of its thickness each time. The diameter of the indenter was 728 µm for one cadaver and 667 µm for the other due to a breakage of the first indenter. The change in indenter size was considered in the moduli calculations. A stress-relaxation protocol was implemented using a ramp strain rate of 100% per second with three compressive steps. Each step was 5% of the remaining uncompressed cartilage thickness with a relaxation period of 15 minutes after each step</w:t>
      </w:r>
      <w:r w:rsidRPr="000A59F9">
        <w:rPr>
          <w:sz w:val="24"/>
        </w:rPr>
        <w:fldChar w:fldCharType="begin" w:fldLock="1"/>
      </w:r>
      <w:r w:rsidR="001D11B6" w:rsidRPr="000A59F9">
        <w:rPr>
          <w:sz w:val="24"/>
        </w:rPr>
        <w:instrText>ADDIN CSL_CITATION {"citationItems":[{"id":"ITEM-1","itemData":{"DOI":"10.1016/j.joca.2019.04.008","ISSN":"1522-9653 (Electronic)","PMID":"31026649","abstract":"OBJECTIVE: To investigate the feasibility of near-infrared (NIR) spectroscopy (NIRS) for evaluation of human articular cartilage biomechanical properties during arthroscopy. DESIGN: A novel arthroscopic NIRS probe designed in our research group was utilized by an experienced orthopedic surgeon to measure NIR spectra from articular cartilage of human cadaver knee joints (ex vivo, n = 18) at several measurement locations during an arthroscopic surgery. Osteochondral samples (n = 265) were extracted from the measurement sites for reference analysis. NIR spectra were remeasured in a controlled laboratory environment (in vitro), after which the corresponding cartilage thickness and biomechanical properties were determined. Hybrid multivariate regression models based on principal component analysis and linear mixed effects modeling (PCA-LME) were utilized to relate cartilage in vitro spectra and biomechanical properties, as well as to account for the spatial dependency. Additionally, a k-nearest neighbors (kNN) classifier was employed to reject outlying ex vivo NIR spectra resulting from a non-optimal probe-cartilage contact. Model performance was evaluated for both in vitro and ex vivo NIR spectra via Spearman's rank correlation (rho) and the ratio of performance to interquartile range (RPIQ). RESULTS: Regression models accurately predicted cartilage thickness and biomechanical properties from in vitro NIR spectra (Model: 0.77 &lt;/= rho &lt;/= 0.87, 2.03 &lt;/= RPIQ &lt;/= 3.0; Validation: 0.74 &lt;/= rho &lt;/= 0.84, 1.87 &lt;/= RPIQ &lt;/= 2.90). When predicting cartilage properties from ex vivo NIR spectra (0.33 &lt;/= rho &lt;/= 0.57 and 1.02 &lt;/= RPIQ &lt;/= 2.14), a kNN classifier enhanced the accuracy of predictions (0.52 &lt;/= rho &lt;/= 0.87 and 1.06 &lt;/= RPIQ &lt;/= 1.88). CONCLUSION: Arthroscopic NIRS could substantially enhance identification of damaged cartilage by enabling quantitative evaluation of cartilage biomechanical properties. The results demonstrate the capacity of NIRS in clinical applications.","author":[{"dropping-particle":"","family":"Prakash","given":"M","non-dropping-particle":"","parse-names":false,"suffix":""},{"dropping-particle":"","family":"Joukainen","given":"A","non-dropping-particle":"","parse-names":false,"suffix":""},{"dropping-particle":"","family":"Torniainen","given":"J","non-dropping-particle":"","parse-names":false,"suffix":""},{"dropping-particle":"","family":"Honkanen","given":"M K M","non-dropping-particle":"","parse-names":false,"suffix":""},{"dropping-particle":"","family":"Rieppo","given":"L","non-dropping-particle":"","parse-names":false,"suffix":""},{"dropping-particle":"","family":"Afara","given":"I O","non-dropping-particle":"","parse-names":false,"suffix":""},{"dropping-particle":"","family":"Kroger","given":"H","non-dropping-particle":"","parse-names":false,"suffix":""},{"dropping-particle":"","family":"Toyras","given":"J","non-dropping-particle":"","parse-names":false,"suffix":""},{"dropping-particle":"","family":"Sarin","given":"J K","non-dropping-particle":"","parse-names":false,"suffix":""},{"dropping-particle":"","family":"Kröger","given":"H","non-dropping-particle":"","parse-names":false,"suffix":""},{"dropping-particle":"","family":"Töyräs","given":"J","non-dropping-particle":"","parse-names":false,"suffix":""},{"dropping-particle":"","family":"Sarin","given":"J K","non-dropping-particle":"","parse-names":false,"suffix":""}],"container-title":"Osteoarthritis and cartilage","id":"ITEM-1","issue":"8","issued":{"date-parts":[["2019","4","23"]]},"language":"eng","page":"1235-1243","publisher-place":"England","title":"Near-infrared spectroscopy enables quantitative evaluation of human cartilage biomechanical properties during arthroscopy.","type":"article-journal","volume":"27"},"uris":["http://www.mendeley.com/documents/?uuid=1f2d9f0d-d813-4906-985c-6edaf22d5376"]}],"mendeley":{"formattedCitation":"&lt;sup&gt;2&lt;/sup&gt;","plainTextFormattedCitation":"2","previouslyFormattedCitation":"&lt;sup&gt;2&lt;/sup&gt;"},"properties":{"noteIndex":0},"schema":"https://github.com/citation-style-language/schema/raw/master/csl-citation.json"}</w:instrText>
      </w:r>
      <w:r w:rsidRPr="000A59F9">
        <w:rPr>
          <w:sz w:val="24"/>
        </w:rPr>
        <w:fldChar w:fldCharType="separate"/>
      </w:r>
      <w:r w:rsidR="009A2F89" w:rsidRPr="000A59F9">
        <w:rPr>
          <w:noProof/>
          <w:sz w:val="24"/>
          <w:vertAlign w:val="superscript"/>
        </w:rPr>
        <w:t>2</w:t>
      </w:r>
      <w:r w:rsidRPr="000A59F9">
        <w:rPr>
          <w:sz w:val="24"/>
        </w:rPr>
        <w:fldChar w:fldCharType="end"/>
      </w:r>
      <w:r w:rsidRPr="000A59F9">
        <w:rPr>
          <w:sz w:val="24"/>
        </w:rPr>
        <w:t>.</w:t>
      </w:r>
    </w:p>
    <w:p w14:paraId="5A8AD5C3" w14:textId="6EC500BA" w:rsidR="00E571F7" w:rsidRPr="000A59F9" w:rsidRDefault="00E571F7" w:rsidP="00E571F7">
      <w:pPr>
        <w:pStyle w:val="NoSpacing"/>
        <w:ind w:firstLine="284"/>
        <w:jc w:val="both"/>
        <w:rPr>
          <w:sz w:val="24"/>
        </w:rPr>
      </w:pPr>
      <w:r w:rsidRPr="000A59F9">
        <w:rPr>
          <w:sz w:val="24"/>
        </w:rPr>
        <w:t xml:space="preserve">The measurements were done with a custom-made testing system equipped with a high-precision load cell (resolution of 0.005 N, </w:t>
      </w:r>
      <w:proofErr w:type="spellStart"/>
      <w:r w:rsidRPr="000A59F9">
        <w:rPr>
          <w:sz w:val="24"/>
        </w:rPr>
        <w:t>Sensotec</w:t>
      </w:r>
      <w:proofErr w:type="spellEnd"/>
      <w:r w:rsidRPr="000A59F9">
        <w:rPr>
          <w:sz w:val="24"/>
        </w:rPr>
        <w:t>, Columbus, OH, USA) and an actuator (resolution of 0.1 µm, PM500-1 A, Newport, Irvine, CA, USA). Equilibrium modulus was calculated as a linear fit of the stress-strain ratio at equilibrium</w:t>
      </w:r>
      <w:bookmarkStart w:id="3" w:name="__UnoMark__6981_283366306"/>
      <w:bookmarkEnd w:id="3"/>
      <w:r w:rsidRPr="000A59F9">
        <w:rPr>
          <w:sz w:val="24"/>
        </w:rPr>
        <w:t xml:space="preserve"> points. Instantaneous modulus was calculated from the ramp phase of the third step. The moduli were calculated using the solution derived by Hayes </w:t>
      </w:r>
      <w:r w:rsidRPr="000A59F9">
        <w:rPr>
          <w:i/>
          <w:iCs/>
          <w:sz w:val="24"/>
        </w:rPr>
        <w:t>et al.</w:t>
      </w:r>
      <w:r w:rsidRPr="000A59F9">
        <w:rPr>
          <w:sz w:val="24"/>
          <w:lang w:val="fi-FI"/>
        </w:rPr>
        <w:fldChar w:fldCharType="begin" w:fldLock="1"/>
      </w:r>
      <w:r w:rsidR="009A2F89" w:rsidRPr="000A59F9">
        <w:rPr>
          <w:sz w:val="24"/>
        </w:rPr>
        <w:instrText>ADDIN CSL_CITATION {"citationItems":[{"id":"ITEM-1","itemData":{"ISSN":"0021-9290 (Print)","PMID":"4667277","author":[{"dropping-particle":"","family":"Hayes","given":"W C","non-dropping-particle":"","parse-names":false,"suffix":""},{"dropping-particle":"","family":"Keer","given":"L M","non-dropping-particle":"","parse-names":false,"suffix":""},{"dropping-particle":"","family":"Herrmann","given":"G","non-dropping-particle":"","parse-names":false,"suffix":""},{"dropping-particle":"","family":"Mockros","given":"L F","non-dropping-particle":"","parse-names":false,"suffix":""}],"container-title":"Journal of biomechanics","id":"ITEM-1","issue":"5","issued":{"date-parts":[["1972","9"]]},"language":"eng","page":"541-551","publisher-place":"United States","title":"A mathematical analysis for indentation tests of articular cartilage.","type":"article-journal","volume":"5"},"uris":["http://www.mendeley.com/documents/?uuid=21b26db6-c600-447d-8ddd-ae0adc7f3953"]}],"mendeley":{"formattedCitation":"&lt;sup&gt;3&lt;/sup&gt;","plainTextFormattedCitation":"3","previouslyFormattedCitation":"&lt;sup&gt;3&lt;/sup&gt;"},"properties":{"noteIndex":0},"schema":"https://github.com/citation-style-language/schema/raw/master/csl-citation.json"}</w:instrText>
      </w:r>
      <w:r w:rsidRPr="000A59F9">
        <w:rPr>
          <w:sz w:val="24"/>
          <w:lang w:val="fi-FI"/>
        </w:rPr>
        <w:fldChar w:fldCharType="separate"/>
      </w:r>
      <w:bookmarkStart w:id="4" w:name="__Fieldmark__600_3324262586"/>
      <w:bookmarkStart w:id="5" w:name="__Fieldmark__486_283366306"/>
      <w:bookmarkStart w:id="6" w:name="__Fieldmark__1062_1076999677"/>
      <w:r w:rsidR="009A2F89" w:rsidRPr="000A59F9">
        <w:rPr>
          <w:noProof/>
          <w:sz w:val="24"/>
          <w:vertAlign w:val="superscript"/>
        </w:rPr>
        <w:t>3</w:t>
      </w:r>
      <w:r w:rsidRPr="000A59F9">
        <w:rPr>
          <w:sz w:val="24"/>
        </w:rPr>
        <w:fldChar w:fldCharType="end"/>
      </w:r>
      <w:bookmarkEnd w:id="4"/>
      <w:bookmarkEnd w:id="5"/>
      <w:bookmarkEnd w:id="6"/>
      <w:r w:rsidRPr="000A59F9">
        <w:rPr>
          <w:sz w:val="24"/>
        </w:rPr>
        <w:t xml:space="preserve"> and the Poisson’s ratios used in the calculations were 0.2 and 0.5 for the equilibrium and instantaneous modulus, respectively</w:t>
      </w:r>
      <w:r w:rsidRPr="000A59F9">
        <w:rPr>
          <w:sz w:val="24"/>
          <w:lang w:val="fi-FI"/>
        </w:rPr>
        <w:fldChar w:fldCharType="begin" w:fldLock="1"/>
      </w:r>
      <w:r w:rsidR="009A2F89" w:rsidRPr="000A59F9">
        <w:rPr>
          <w:sz w:val="24"/>
        </w:rPr>
        <w:instrText>ADDIN CSL_CITATION {"citationItems":[{"id":"ITEM-1","itemData":{"DOI":"10.1002/jor.20107","ISSN":"0736-0266","abstract":"Abstract The equilibrium Young's modulus of articular cartilage is known to be primarily determined by proteoglycans (PGs). However, the relation between the Poisson's ratio and the composition and structure of articular cartilage is more unclear. In this study, we determined Young's modulus and Poisson's ratio of bovine articular cartilage in unconfined compression. Subsequently, the same samples, taken from bovine knee (femoral, patellar and tibial cartilage) and shoulder (humeral cartilage) joints, were processed for quantitative microscopic analysis of PGs, collagen content, and collagen architecture. The Young's modulus, Poisson's ratio, PG content (estimated with optical density measurements), collagen content, and birefringence showed significant topographical variation (p?&lt;?0.05) among the test sites. Experimentally the Young's modulus was strongly determined by the tissue PG content (r?=?0.86, p?&lt;?0.05). Poisson's ratio revealed a significant negative linear correlation (r?=??0.59, p?&lt;?0.05) with the collagen content, as assessed by the Fourier transform infrared imaging. Finite element analyses, conducted using a fibril reinforced biphasic model, indicated that the mechanical properties of the collagen network strongly affected the Poisson's ratio. We conclude that Poisson's ratio of articular cartilage is primarily controlled by the content and organization of the collagen network. ? 2006 Orthopaedic Research Society. Published by Wiley Periodicals, Inc. J Orthop Res","author":[{"dropping-particle":"","family":"Kiviranta","given":"Panu","non-dropping-particle":"","parse-names":false,"suffix":""},{"dropping-particle":"","family":"Rieppo","given":"Jarno","non-dropping-particle":"","parse-names":false,"suffix":""},{"dropping-particle":"","family":"Korhonen","given":"Rami K","non-dropping-particle":"","parse-names":false,"suffix":""},{"dropping-particle":"","family":"Julkunen","given":"Petro","non-dropping-particle":"","parse-names":false,"suffix":""},{"dropping-particle":"","family":"Töyräs","given":"Juha","non-dropping-particle":"","parse-names":false,"suffix":""},{"dropping-particle":"","family":"Jurvelin","given":"Jukka S","non-dropping-particle":"","parse-names":false,"suffix":""}],"container-title":"Journal of Orthopaedic Research","id":"ITEM-1","issue":"4","issued":{"date-parts":[["2006","4","1"]]},"note":"From Duplicate 1 (Collagen network primarily controls Poisson's ratio of bovine articular cartilage in compression - Kiviranta, Panu; Rieppo, Jarno; Korhonen, Rami K; Julkunen, Petro; Töyräs, Juha; Jurvelin, Jukka S)\n\ndoi: 10.1002/jor.20107","page":"690-699","publisher":"John Wiley &amp; Sons, Ltd","title":"Collagen network primarily controls Poisson's ratio of bovine articular cartilage in compression","type":"article-journal","volume":"24"},"uris":["http://www.mendeley.com/documents/?uuid=c65f34ad-9fa7-4986-89ef-2aa37c4724c3"]}],"mendeley":{"formattedCitation":"&lt;sup&gt;4&lt;/sup&gt;","plainTextFormattedCitation":"4","previouslyFormattedCitation":"&lt;sup&gt;4&lt;/sup&gt;"},"properties":{"noteIndex":0},"schema":"https://github.com/citation-style-language/schema/raw/master/csl-citation.json"}</w:instrText>
      </w:r>
      <w:r w:rsidRPr="000A59F9">
        <w:rPr>
          <w:sz w:val="24"/>
          <w:lang w:val="fi-FI"/>
        </w:rPr>
        <w:fldChar w:fldCharType="separate"/>
      </w:r>
      <w:bookmarkStart w:id="7" w:name="__Fieldmark__585_3324262586"/>
      <w:bookmarkStart w:id="8" w:name="__Fieldmark__479_283366306"/>
      <w:bookmarkStart w:id="9" w:name="__Fieldmark__1057_1076999677"/>
      <w:r w:rsidR="009A2F89" w:rsidRPr="000A59F9">
        <w:rPr>
          <w:noProof/>
          <w:sz w:val="24"/>
          <w:vertAlign w:val="superscript"/>
        </w:rPr>
        <w:t>4</w:t>
      </w:r>
      <w:r w:rsidRPr="000A59F9">
        <w:rPr>
          <w:sz w:val="24"/>
        </w:rPr>
        <w:fldChar w:fldCharType="end"/>
      </w:r>
      <w:bookmarkEnd w:id="7"/>
      <w:bookmarkEnd w:id="8"/>
      <w:bookmarkEnd w:id="9"/>
      <w:r w:rsidRPr="000A59F9">
        <w:rPr>
          <w:sz w:val="24"/>
        </w:rPr>
        <w:t>.</w:t>
      </w:r>
    </w:p>
    <w:p w14:paraId="43A65DCB" w14:textId="77777777" w:rsidR="00E571F7" w:rsidRPr="000A59F9" w:rsidRDefault="00E571F7" w:rsidP="00770660">
      <w:pPr>
        <w:pStyle w:val="NoSpacing"/>
        <w:spacing w:after="120"/>
        <w:jc w:val="center"/>
        <w:rPr>
          <w:b/>
          <w:bCs/>
          <w:caps/>
          <w:sz w:val="24"/>
        </w:rPr>
      </w:pPr>
    </w:p>
    <w:p w14:paraId="1DEC0340" w14:textId="70F2EAE7" w:rsidR="00F87873" w:rsidRPr="000A59F9" w:rsidRDefault="00F87873" w:rsidP="009D1A2E">
      <w:pPr>
        <w:pStyle w:val="NoSpacing"/>
        <w:rPr>
          <w:i/>
          <w:iCs/>
          <w:sz w:val="24"/>
        </w:rPr>
      </w:pPr>
      <w:r w:rsidRPr="000A59F9">
        <w:rPr>
          <w:i/>
          <w:iCs/>
          <w:sz w:val="24"/>
        </w:rPr>
        <w:t>Preprocessing and Reconstruction</w:t>
      </w:r>
    </w:p>
    <w:p w14:paraId="02458339" w14:textId="089A900C" w:rsidR="00F87873" w:rsidRPr="000A59F9" w:rsidRDefault="005F3B44" w:rsidP="00B6214C">
      <w:pPr>
        <w:pStyle w:val="NoSpacing"/>
        <w:ind w:firstLine="284"/>
        <w:jc w:val="both"/>
        <w:rPr>
          <w:sz w:val="24"/>
        </w:rPr>
      </w:pPr>
      <w:r w:rsidRPr="000A59F9">
        <w:rPr>
          <w:sz w:val="24"/>
        </w:rPr>
        <w:t>T</w:t>
      </w:r>
      <w:r w:rsidR="00F87873" w:rsidRPr="000A59F9">
        <w:rPr>
          <w:sz w:val="24"/>
        </w:rPr>
        <w:t>he</w:t>
      </w:r>
      <w:r w:rsidR="00EA7C3C" w:rsidRPr="000A59F9">
        <w:rPr>
          <w:sz w:val="24"/>
        </w:rPr>
        <w:t xml:space="preserve"> </w:t>
      </w:r>
      <w:r w:rsidR="00F87873" w:rsidRPr="000A59F9">
        <w:rPr>
          <w:sz w:val="24"/>
        </w:rPr>
        <w:t>PCD consist</w:t>
      </w:r>
      <w:r w:rsidR="00AA20F9" w:rsidRPr="000A59F9">
        <w:rPr>
          <w:sz w:val="24"/>
        </w:rPr>
        <w:t>ed</w:t>
      </w:r>
      <w:r w:rsidR="00F87873" w:rsidRPr="000A59F9">
        <w:rPr>
          <w:sz w:val="24"/>
        </w:rPr>
        <w:t xml:space="preserve"> of 24 smaller tiles</w:t>
      </w:r>
      <w:r w:rsidRPr="000A59F9">
        <w:rPr>
          <w:sz w:val="24"/>
        </w:rPr>
        <w:t xml:space="preserve"> with </w:t>
      </w:r>
      <w:r w:rsidR="003C2B58" w:rsidRPr="000A59F9">
        <w:rPr>
          <w:sz w:val="24"/>
        </w:rPr>
        <w:t xml:space="preserve">a </w:t>
      </w:r>
      <w:r w:rsidR="00725056" w:rsidRPr="000A59F9">
        <w:rPr>
          <w:sz w:val="24"/>
        </w:rPr>
        <w:t>one-pixel</w:t>
      </w:r>
      <w:r w:rsidRPr="000A59F9">
        <w:rPr>
          <w:sz w:val="24"/>
        </w:rPr>
        <w:t xml:space="preserve"> (100 µm) gap between the tiles.</w:t>
      </w:r>
      <w:r w:rsidR="00FE1B7F" w:rsidRPr="000A59F9">
        <w:rPr>
          <w:sz w:val="24"/>
        </w:rPr>
        <w:t xml:space="preserve"> </w:t>
      </w:r>
      <w:r w:rsidRPr="000A59F9">
        <w:rPr>
          <w:sz w:val="24"/>
        </w:rPr>
        <w:t xml:space="preserve">Tile gap interpolation utilizing mean filtering in </w:t>
      </w:r>
      <w:r w:rsidR="00E034A0" w:rsidRPr="000A59F9">
        <w:rPr>
          <w:sz w:val="24"/>
        </w:rPr>
        <w:t xml:space="preserve">the </w:t>
      </w:r>
      <w:r w:rsidRPr="000A59F9">
        <w:rPr>
          <w:sz w:val="24"/>
        </w:rPr>
        <w:t xml:space="preserve">horizontal and vertical direction </w:t>
      </w:r>
      <w:r w:rsidR="00FE1B7F" w:rsidRPr="000A59F9">
        <w:rPr>
          <w:sz w:val="24"/>
        </w:rPr>
        <w:t xml:space="preserve">was </w:t>
      </w:r>
      <w:r w:rsidRPr="000A59F9">
        <w:rPr>
          <w:sz w:val="24"/>
        </w:rPr>
        <w:t>applied</w:t>
      </w:r>
      <w:r w:rsidR="00FE1B7F" w:rsidRPr="000A59F9">
        <w:rPr>
          <w:sz w:val="24"/>
        </w:rPr>
        <w:t xml:space="preserve"> to smooth out the tile edges</w:t>
      </w:r>
      <w:r w:rsidR="002B68ED" w:rsidRPr="000A59F9">
        <w:rPr>
          <w:sz w:val="24"/>
        </w:rPr>
        <w:t xml:space="preserve"> for each </w:t>
      </w:r>
      <w:r w:rsidR="00EA0BF5" w:rsidRPr="000A59F9">
        <w:rPr>
          <w:sz w:val="24"/>
        </w:rPr>
        <w:t xml:space="preserve">LE, TE and HE </w:t>
      </w:r>
      <w:r w:rsidR="002B68ED" w:rsidRPr="000A59F9">
        <w:rPr>
          <w:sz w:val="24"/>
        </w:rPr>
        <w:t>bin images</w:t>
      </w:r>
      <w:r w:rsidR="00F87873" w:rsidRPr="000A59F9">
        <w:rPr>
          <w:sz w:val="24"/>
        </w:rPr>
        <w:t>.</w:t>
      </w:r>
      <w:r w:rsidR="002B68ED" w:rsidRPr="000A59F9">
        <w:rPr>
          <w:sz w:val="24"/>
        </w:rPr>
        <w:t xml:space="preserve"> </w:t>
      </w:r>
      <w:r w:rsidR="00286BBE" w:rsidRPr="000A59F9">
        <w:rPr>
          <w:sz w:val="24"/>
        </w:rPr>
        <w:t xml:space="preserve">Subsequently, </w:t>
      </w:r>
      <w:r w:rsidR="00F87873" w:rsidRPr="000A59F9">
        <w:rPr>
          <w:sz w:val="24"/>
        </w:rPr>
        <w:t>images of all the energy bins</w:t>
      </w:r>
      <w:r w:rsidR="00EA7C3C" w:rsidRPr="000A59F9">
        <w:rPr>
          <w:sz w:val="24"/>
        </w:rPr>
        <w:t xml:space="preserve"> </w:t>
      </w:r>
      <w:r w:rsidR="00F87873" w:rsidRPr="000A59F9">
        <w:rPr>
          <w:sz w:val="24"/>
        </w:rPr>
        <w:t>were preprocessed using the</w:t>
      </w:r>
      <w:r w:rsidR="00ED365A" w:rsidRPr="000A59F9">
        <w:rPr>
          <w:sz w:val="24"/>
        </w:rPr>
        <w:t xml:space="preserve"> signal-to-equivalent thickness correction</w:t>
      </w:r>
      <w:r w:rsidR="00F87873" w:rsidRPr="000A59F9">
        <w:rPr>
          <w:sz w:val="24"/>
          <w:lang w:val="fi-FI"/>
        </w:rPr>
        <w:fldChar w:fldCharType="begin" w:fldLock="1"/>
      </w:r>
      <w:r w:rsidR="009A2F89" w:rsidRPr="000A59F9">
        <w:rPr>
          <w:sz w:val="24"/>
        </w:rPr>
        <w:instrText>ADDIN CSL_CITATION {"citationItems":[{"id":"ITEM-1","itemData":{"DOI":"10.1016/j.nima.2005.03.045","ISSN":"01689002","abstract":"This work investigates the optimization of digital X-ray transmission radiography for the observation of time-dependent processes using a single X-ray photon counting pixel device. The maximization of frame rate of acquired roentgenograms is crucial for this purpose. The influence of the X-ray tube voltage on the exposure time needed to acquire images of sufficient quality was investigated. Image distortions due to non-uniform pixel detection efficiency across the X-ray detector can be successfully eliminated by a \"Direct thickness calibration method\" proposed here, in spite of X-ray beam hardening due to the variation of inspected body absorption. © 2005 Elsevier B.V. All rights reserved.","author":[{"dropping-particle":"","family":"Jakubek","given":"Jan","non-dropping-particle":"","parse-names":false,"suffix":""},{"dropping-particle":"","family":"Vavrik","given":"Daniel","non-dropping-particle":"","parse-names":false,"suffix":""},{"dropping-particle":"","family":"Pospisil","given":"Stanislav","non-dropping-particle":"","parse-names":false,"suffix":""},{"dropping-particle":"","family":"Uher","given":"Josef","non-dropping-particle":"","parse-names":false,"suffix":""}],"container-title":"Nuclear Instruments and Methods in Physics Research, Section A: Accelerators, Spectrometers, Detectors and Associated Equipment","id":"ITEM-1","issue":"1-2","issued":{"date-parts":[["2005","7"]]},"page":"113-117","title":"Quality of X-ray transmission radiography based on single photon counting pixel device","type":"article-journal","volume":"546"},"uris":["http://www.mendeley.com/documents/?uuid=738abd20-99df-4c8f-b678-92b714153318"]}],"mendeley":{"formattedCitation":"&lt;sup&gt;5&lt;/sup&gt;","plainTextFormattedCitation":"5","previouslyFormattedCitation":"&lt;sup&gt;5&lt;/sup&gt;"},"properties":{"noteIndex":0},"schema":"https://github.com/citation-style-language/schema/raw/master/csl-citation.json"}</w:instrText>
      </w:r>
      <w:r w:rsidR="00F87873" w:rsidRPr="000A59F9">
        <w:rPr>
          <w:sz w:val="24"/>
          <w:lang w:val="fi-FI"/>
        </w:rPr>
        <w:fldChar w:fldCharType="separate"/>
      </w:r>
      <w:r w:rsidR="009A2F89" w:rsidRPr="000A59F9">
        <w:rPr>
          <w:noProof/>
          <w:sz w:val="24"/>
          <w:vertAlign w:val="superscript"/>
        </w:rPr>
        <w:t>5</w:t>
      </w:r>
      <w:r w:rsidR="00F87873" w:rsidRPr="000A59F9">
        <w:rPr>
          <w:sz w:val="24"/>
        </w:rPr>
        <w:fldChar w:fldCharType="end"/>
      </w:r>
      <w:r w:rsidR="00ED365A" w:rsidRPr="000A59F9">
        <w:rPr>
          <w:sz w:val="24"/>
        </w:rPr>
        <w:t xml:space="preserve"> (STC)</w:t>
      </w:r>
      <w:r w:rsidR="00F87873" w:rsidRPr="000A59F9">
        <w:rPr>
          <w:sz w:val="24"/>
        </w:rPr>
        <w:t xml:space="preserve"> and a ring artifact removal algorithm</w:t>
      </w:r>
      <w:r w:rsidR="00F87873" w:rsidRPr="000A59F9">
        <w:rPr>
          <w:sz w:val="24"/>
          <w:lang w:val="fi-FI"/>
        </w:rPr>
        <w:fldChar w:fldCharType="begin" w:fldLock="1"/>
      </w:r>
      <w:r w:rsidR="009A2F89" w:rsidRPr="000A59F9">
        <w:rPr>
          <w:sz w:val="24"/>
        </w:rPr>
        <w:instrText>ADDIN CSL_CITATION {"citationItems":[{"id":"ITEM-1","itemData":{"ISBN":"9780124666061","author":[{"dropping-particle":"","family":"Münch","given":"Beat","non-dropping-particle":"","parse-names":false,"suffix":""},{"dropping-particle":"","family":"Trtik","given":"Pavel","non-dropping-particle":"","parse-names":false,"suffix":""},{"dropping-particle":"","family":"Marone","given":"Federica","non-dropping-particle":"","parse-names":false,"suffix":""},{"dropping-particle":"","family":"Stampanoni","given":"Marco","non-dropping-particle":"","parse-names":false,"suffix":""}],"container-title":"Opt. Express","id":"ITEM-1","issue":"10","issued":{"date-parts":[["2009","5"]]},"page":"1844-1856","title":"Stripe and ring artifact removal with combined wavelet — Fourier filtering","type":"article-journal","volume":"17"},"uris":["http://www.mendeley.com/documents/?uuid=defad52f-5fae-47c9-b7c8-81778698f7d2"]}],"mendeley":{"formattedCitation":"&lt;sup&gt;6&lt;/sup&gt;","plainTextFormattedCitation":"6","previouslyFormattedCitation":"&lt;sup&gt;6&lt;/sup&gt;"},"properties":{"noteIndex":0},"schema":"https://github.com/citation-style-language/schema/raw/master/csl-citation.json"}</w:instrText>
      </w:r>
      <w:r w:rsidR="00F87873" w:rsidRPr="000A59F9">
        <w:rPr>
          <w:sz w:val="24"/>
          <w:lang w:val="fi-FI"/>
        </w:rPr>
        <w:fldChar w:fldCharType="separate"/>
      </w:r>
      <w:bookmarkStart w:id="10" w:name="__Fieldmark__789_3324262586"/>
      <w:bookmarkStart w:id="11" w:name="__Fieldmark__307_283366306"/>
      <w:bookmarkStart w:id="12" w:name="__Fieldmark__678_1076999677"/>
      <w:r w:rsidR="009A2F89" w:rsidRPr="000A59F9">
        <w:rPr>
          <w:noProof/>
          <w:sz w:val="24"/>
          <w:vertAlign w:val="superscript"/>
        </w:rPr>
        <w:t>6</w:t>
      </w:r>
      <w:r w:rsidR="00F87873" w:rsidRPr="000A59F9">
        <w:rPr>
          <w:sz w:val="24"/>
        </w:rPr>
        <w:fldChar w:fldCharType="end"/>
      </w:r>
      <w:bookmarkEnd w:id="10"/>
      <w:bookmarkEnd w:id="11"/>
      <w:bookmarkEnd w:id="12"/>
      <w:r w:rsidR="00F87873" w:rsidRPr="000A59F9">
        <w:rPr>
          <w:sz w:val="24"/>
        </w:rPr>
        <w:t xml:space="preserve">. The former was used to correct beam hardening and the </w:t>
      </w:r>
      <w:proofErr w:type="spellStart"/>
      <w:r w:rsidR="00F87873" w:rsidRPr="000A59F9">
        <w:rPr>
          <w:sz w:val="24"/>
        </w:rPr>
        <w:t>tilewise</w:t>
      </w:r>
      <w:proofErr w:type="spellEnd"/>
      <w:r w:rsidR="00F87873" w:rsidRPr="000A59F9">
        <w:rPr>
          <w:sz w:val="24"/>
        </w:rPr>
        <w:t xml:space="preserve"> variations (</w:t>
      </w:r>
      <w:r w:rsidR="0015513C" w:rsidRPr="000A59F9">
        <w:rPr>
          <w:sz w:val="24"/>
        </w:rPr>
        <w:t xml:space="preserve">Manuscript </w:t>
      </w:r>
      <w:r w:rsidR="00F87873" w:rsidRPr="000A59F9">
        <w:rPr>
          <w:sz w:val="24"/>
        </w:rPr>
        <w:t>Fig</w:t>
      </w:r>
      <w:r w:rsidR="006C0F99">
        <w:rPr>
          <w:sz w:val="24"/>
        </w:rPr>
        <w:t>s</w:t>
      </w:r>
      <w:r w:rsidR="00F87873" w:rsidRPr="000A59F9">
        <w:rPr>
          <w:sz w:val="24"/>
        </w:rPr>
        <w:t>.</w:t>
      </w:r>
      <w:r w:rsidR="006C0F99">
        <w:rPr>
          <w:sz w:val="24"/>
        </w:rPr>
        <w:t xml:space="preserve"> 4a and</w:t>
      </w:r>
      <w:r w:rsidR="00F87873" w:rsidRPr="000A59F9">
        <w:rPr>
          <w:sz w:val="24"/>
        </w:rPr>
        <w:t xml:space="preserve"> </w:t>
      </w:r>
      <w:r w:rsidR="00752990" w:rsidRPr="000A59F9">
        <w:rPr>
          <w:sz w:val="24"/>
        </w:rPr>
        <w:t>4</w:t>
      </w:r>
      <w:r w:rsidR="00286BBE" w:rsidRPr="000A59F9">
        <w:rPr>
          <w:sz w:val="24"/>
        </w:rPr>
        <w:t>b</w:t>
      </w:r>
      <w:r w:rsidR="00F87873" w:rsidRPr="000A59F9">
        <w:rPr>
          <w:sz w:val="24"/>
        </w:rPr>
        <w:t>)</w:t>
      </w:r>
      <w:r w:rsidR="00F87873" w:rsidRPr="000A59F9">
        <w:rPr>
          <w:sz w:val="24"/>
          <w:lang w:val="fi-FI"/>
        </w:rPr>
        <w:fldChar w:fldCharType="begin" w:fldLock="1"/>
      </w:r>
      <w:r w:rsidR="009A2F89" w:rsidRPr="000A59F9">
        <w:rPr>
          <w:sz w:val="24"/>
        </w:rPr>
        <w:instrText>ADDIN CSL_CITATION {"citationItems":[{"id":"ITEM-1","itemData":{"DOI":"10.1016/j.nima.2005.03.045","ISSN":"01689002","abstract":"This work investigates the optimization of digital X-ray transmission radiography for the observation of time-dependent processes using a single X-ray photon counting pixel device. The maximization of frame rate of acquired roentgenograms is crucial for this purpose. The influence of the X-ray tube voltage on the exposure time needed to acquire images of sufficient quality was investigated. Image distortions due to non-uniform pixel detection efficiency across the X-ray detector can be successfully eliminated by a \"Direct thickness calibration method\" proposed here, in spite of X-ray beam hardening due to the variation of inspected body absorption. © 2005 Elsevier B.V. All rights reserved.","author":[{"dropping-particle":"","family":"Jakubek","given":"Jan","non-dropping-particle":"","parse-names":false,"suffix":""},{"dropping-particle":"","family":"Vavrik","given":"Daniel","non-dropping-particle":"","parse-names":false,"suffix":""},{"dropping-particle":"","family":"Pospisil","given":"Stanislav","non-dropping-particle":"","parse-names":false,"suffix":""},{"dropping-particle":"","family":"Uher","given":"Josef","non-dropping-particle":"","parse-names":false,"suffix":""}],"container-title":"Nuclear Instruments and Methods in Physics Research, Section A: Accelerators, Spectrometers, Detectors and Associated Equipment","id":"ITEM-1","issue":"1-2","issued":{"date-parts":[["2005","7"]]},"page":"113-117","title":"Quality of X-ray transmission radiography based on single photon counting pixel device","type":"article-journal","volume":"546"},"uris":["http://www.mendeley.com/documents/?uuid=738abd20-99df-4c8f-b678-92b714153318"]}],"mendeley":{"formattedCitation":"&lt;sup&gt;5&lt;/sup&gt;","plainTextFormattedCitation":"5","previouslyFormattedCitation":"&lt;sup&gt;5&lt;/sup&gt;"},"properties":{"noteIndex":0},"schema":"https://github.com/citation-style-language/schema/raw/master/csl-citation.json"}</w:instrText>
      </w:r>
      <w:r w:rsidR="00F87873" w:rsidRPr="000A59F9">
        <w:rPr>
          <w:sz w:val="24"/>
          <w:lang w:val="fi-FI"/>
        </w:rPr>
        <w:fldChar w:fldCharType="separate"/>
      </w:r>
      <w:bookmarkStart w:id="13" w:name="__Fieldmark__800_3324262586"/>
      <w:bookmarkStart w:id="14" w:name="__Fieldmark__314_283366306"/>
      <w:bookmarkStart w:id="15" w:name="__Fieldmark__698_1076999677"/>
      <w:r w:rsidR="009A2F89" w:rsidRPr="000A59F9">
        <w:rPr>
          <w:noProof/>
          <w:sz w:val="24"/>
          <w:vertAlign w:val="superscript"/>
        </w:rPr>
        <w:t>5</w:t>
      </w:r>
      <w:r w:rsidR="00F87873" w:rsidRPr="000A59F9">
        <w:rPr>
          <w:sz w:val="24"/>
        </w:rPr>
        <w:fldChar w:fldCharType="end"/>
      </w:r>
      <w:bookmarkEnd w:id="13"/>
      <w:bookmarkEnd w:id="14"/>
      <w:bookmarkEnd w:id="15"/>
      <w:r w:rsidR="00F87873" w:rsidRPr="000A59F9">
        <w:rPr>
          <w:sz w:val="24"/>
        </w:rPr>
        <w:t xml:space="preserve">. For STC correction, aluminum slabs with thicknesses of 0, 0.5, 0.95, 2.1, and 3.1 cm were </w:t>
      </w:r>
      <w:r w:rsidR="008350BD" w:rsidRPr="000A59F9">
        <w:rPr>
          <w:sz w:val="24"/>
        </w:rPr>
        <w:t xml:space="preserve">imaged </w:t>
      </w:r>
      <w:r w:rsidR="00F87873" w:rsidRPr="000A59F9">
        <w:rPr>
          <w:sz w:val="24"/>
        </w:rPr>
        <w:t>and the pixelwise fitting for all energy ranges was performed independently using the equation:</w:t>
      </w:r>
    </w:p>
    <w:p w14:paraId="3FC7D46F" w14:textId="3C624F9E" w:rsidR="00F87873" w:rsidRPr="000A59F9" w:rsidRDefault="00F87873" w:rsidP="00115B66">
      <w:pPr>
        <w:pStyle w:val="NoSpacing"/>
        <w:ind w:firstLine="284"/>
        <w:jc w:val="both"/>
        <w:rPr>
          <w:sz w:val="24"/>
        </w:rPr>
      </w:pPr>
    </w:p>
    <w:tbl>
      <w:tblPr>
        <w:tblW w:w="5020" w:type="pct"/>
        <w:tblLook w:val="04A0" w:firstRow="1" w:lastRow="0" w:firstColumn="1" w:lastColumn="0" w:noHBand="0" w:noVBand="1"/>
      </w:tblPr>
      <w:tblGrid>
        <w:gridCol w:w="8932"/>
        <w:gridCol w:w="745"/>
      </w:tblGrid>
      <w:tr w:rsidR="00F87873" w:rsidRPr="000A59F9" w14:paraId="7FD573EF" w14:textId="53998485" w:rsidTr="003B5D37">
        <w:tc>
          <w:tcPr>
            <w:tcW w:w="8931" w:type="dxa"/>
            <w:vAlign w:val="center"/>
          </w:tcPr>
          <w:p w14:paraId="702D7F0A" w14:textId="10B5F356" w:rsidR="00F87873" w:rsidRPr="000A59F9" w:rsidRDefault="00900BA6" w:rsidP="00115B66">
            <w:pPr>
              <w:pStyle w:val="NoSpacing"/>
              <w:ind w:firstLine="284"/>
              <w:jc w:val="both"/>
              <w:rPr>
                <w:bCs/>
              </w:rPr>
            </w:pPr>
            <m:oMathPara>
              <m:oMathParaPr>
                <m:jc m:val="center"/>
              </m:oMathParaPr>
              <m:oMath>
                <m:sSub>
                  <m:sSubPr>
                    <m:ctrlPr>
                      <w:rPr>
                        <w:rFonts w:ascii="Cambria Math" w:hAnsi="Cambria Math"/>
                      </w:rPr>
                    </m:ctrlPr>
                  </m:sSubPr>
                  <m:e>
                    <m:r>
                      <w:rPr>
                        <w:rFonts w:ascii="Cambria Math" w:hAnsi="Cambria Math"/>
                      </w:rPr>
                      <m:t>y</m:t>
                    </m:r>
                  </m:e>
                  <m:sub>
                    <m:r>
                      <w:rPr>
                        <w:rFonts w:ascii="Cambria Math" w:hAnsi="Cambria Math"/>
                      </w:rPr>
                      <m:t>i</m:t>
                    </m:r>
                  </m:sub>
                </m:sSub>
                <m:d>
                  <m:dPr>
                    <m:ctrlPr>
                      <w:rPr>
                        <w:rFonts w:ascii="Cambria Math" w:hAnsi="Cambria Math"/>
                      </w:rPr>
                    </m:ctrlPr>
                  </m:dPr>
                  <m:e>
                    <m:sSub>
                      <m:sSubPr>
                        <m:ctrlPr>
                          <w:rPr>
                            <w:rFonts w:ascii="Cambria Math" w:hAnsi="Cambria Math"/>
                          </w:rPr>
                        </m:ctrlPr>
                      </m:sSubPr>
                      <m:e>
                        <m:r>
                          <w:rPr>
                            <w:rFonts w:ascii="Cambria Math" w:hAnsi="Cambria Math"/>
                          </w:rPr>
                          <m:t>t</m:t>
                        </m:r>
                      </m:e>
                      <m:sub>
                        <m:r>
                          <w:rPr>
                            <w:rFonts w:ascii="Cambria Math" w:hAnsi="Cambria Math"/>
                          </w:rPr>
                          <m:t>i</m:t>
                        </m:r>
                      </m:sub>
                    </m:sSub>
                  </m:e>
                </m:d>
                <m:r>
                  <w:rPr>
                    <w:rFonts w:ascii="Cambria Math" w:hAnsi="Cambria Math"/>
                  </w:rPr>
                  <m:t>=</m:t>
                </m:r>
                <m:sSub>
                  <m:sSubPr>
                    <m:ctrlPr>
                      <w:rPr>
                        <w:rFonts w:ascii="Cambria Math" w:hAnsi="Cambria Math"/>
                      </w:rPr>
                    </m:ctrlPr>
                  </m:sSubPr>
                  <m:e>
                    <m:r>
                      <w:rPr>
                        <w:rFonts w:ascii="Cambria Math" w:hAnsi="Cambria Math"/>
                      </w:rPr>
                      <m:t>O</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sSup>
                  <m:sSupPr>
                    <m:ctrlPr>
                      <w:rPr>
                        <w:rFonts w:ascii="Cambria Math" w:hAnsi="Cambria Math"/>
                      </w:rPr>
                    </m:ctrlPr>
                  </m:sSupPr>
                  <m:e>
                    <m:r>
                      <w:rPr>
                        <w:rFonts w:ascii="Cambria Math" w:hAnsi="Cambria Math"/>
                      </w:rPr>
                      <m:t>e</m:t>
                    </m:r>
                  </m:e>
                  <m:sup>
                    <m:sSub>
                      <m:sSubPr>
                        <m:ctrlPr>
                          <w:rPr>
                            <w:rFonts w:ascii="Cambria Math" w:hAnsi="Cambria Math"/>
                          </w:rPr>
                        </m:ctrlPr>
                      </m:sSubPr>
                      <m:e>
                        <m:r>
                          <w:rPr>
                            <w:rFonts w:ascii="Cambria Math" w:hAnsi="Cambria Math"/>
                          </w:rPr>
                          <m:t>a</m:t>
                        </m:r>
                      </m:e>
                      <m:sub>
                        <m: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t</m:t>
                        </m:r>
                      </m:e>
                      <m:sub>
                        <m:r>
                          <w:rPr>
                            <w:rFonts w:ascii="Cambria Math" w:hAnsi="Cambria Math"/>
                          </w:rPr>
                          <m:t>i</m:t>
                        </m:r>
                      </m:sub>
                    </m:sSub>
                  </m:sup>
                </m:sSup>
                <m:r>
                  <w:rPr>
                    <w:rFonts w:ascii="Cambria Math" w:hAnsi="Cambria Math"/>
                  </w:rPr>
                  <m:t>,</m:t>
                </m:r>
              </m:oMath>
            </m:oMathPara>
          </w:p>
        </w:tc>
        <w:tc>
          <w:tcPr>
            <w:tcW w:w="745" w:type="dxa"/>
            <w:vAlign w:val="bottom"/>
          </w:tcPr>
          <w:p w14:paraId="1C6F95E0" w14:textId="20AE23A0" w:rsidR="00F87873" w:rsidRPr="000A59F9" w:rsidRDefault="00F87873" w:rsidP="00115B66">
            <w:pPr>
              <w:pStyle w:val="NoSpacing"/>
              <w:ind w:firstLine="284"/>
              <w:jc w:val="right"/>
              <w:rPr>
                <w:bCs/>
                <w:iCs/>
              </w:rPr>
            </w:pPr>
            <w:r w:rsidRPr="000A59F9">
              <w:rPr>
                <w:bCs/>
                <w:iCs/>
              </w:rPr>
              <w:t>(</w:t>
            </w:r>
            <w:r w:rsidRPr="000A59F9">
              <w:rPr>
                <w:bCs/>
                <w:iCs/>
                <w:lang w:val="fi-FI"/>
              </w:rPr>
              <w:fldChar w:fldCharType="begin"/>
            </w:r>
            <w:r w:rsidRPr="000A59F9">
              <w:rPr>
                <w:bCs/>
                <w:iCs/>
              </w:rPr>
              <w:instrText>SEQ Equation \* ARABIC</w:instrText>
            </w:r>
            <w:r w:rsidRPr="000A59F9">
              <w:rPr>
                <w:bCs/>
                <w:iCs/>
                <w:lang w:val="fi-FI"/>
              </w:rPr>
              <w:fldChar w:fldCharType="separate"/>
            </w:r>
            <w:r w:rsidRPr="000A59F9">
              <w:rPr>
                <w:bCs/>
                <w:iCs/>
                <w:noProof/>
              </w:rPr>
              <w:t>1</w:t>
            </w:r>
            <w:r w:rsidRPr="000A59F9">
              <w:fldChar w:fldCharType="end"/>
            </w:r>
            <w:r w:rsidRPr="000A59F9">
              <w:rPr>
                <w:bCs/>
                <w:iCs/>
              </w:rPr>
              <w:t>)</w:t>
            </w:r>
          </w:p>
        </w:tc>
      </w:tr>
    </w:tbl>
    <w:p w14:paraId="3ACD958E" w14:textId="437DC286" w:rsidR="00F87873" w:rsidRPr="000A59F9" w:rsidRDefault="00F87873" w:rsidP="00115B66">
      <w:pPr>
        <w:pStyle w:val="NoSpacing"/>
        <w:ind w:firstLine="284"/>
        <w:jc w:val="both"/>
        <w:rPr>
          <w:sz w:val="24"/>
        </w:rPr>
      </w:pPr>
    </w:p>
    <w:p w14:paraId="7BEF3AA1" w14:textId="467B55B2" w:rsidR="00F87873" w:rsidRPr="000A59F9" w:rsidRDefault="00F87873" w:rsidP="009C3CF2">
      <w:pPr>
        <w:pStyle w:val="NoSpacing"/>
        <w:jc w:val="both"/>
        <w:rPr>
          <w:sz w:val="24"/>
        </w:rPr>
      </w:pPr>
      <w:r w:rsidRPr="000A59F9">
        <w:rPr>
          <w:sz w:val="24"/>
        </w:rPr>
        <w:t xml:space="preserve">where </w:t>
      </w:r>
      <w:proofErr w:type="spellStart"/>
      <w:r w:rsidRPr="000A59F9">
        <w:rPr>
          <w:i/>
          <w:sz w:val="24"/>
        </w:rPr>
        <w:t>y</w:t>
      </w:r>
      <w:r w:rsidRPr="000A59F9">
        <w:rPr>
          <w:i/>
          <w:sz w:val="24"/>
          <w:vertAlign w:val="subscript"/>
        </w:rPr>
        <w:t>i</w:t>
      </w:r>
      <w:proofErr w:type="spellEnd"/>
      <w:r w:rsidRPr="000A59F9">
        <w:rPr>
          <w:sz w:val="24"/>
        </w:rPr>
        <w:t xml:space="preserve"> is the observed counts for pixel </w:t>
      </w:r>
      <w:proofErr w:type="spellStart"/>
      <w:r w:rsidRPr="000A59F9">
        <w:rPr>
          <w:i/>
          <w:sz w:val="24"/>
        </w:rPr>
        <w:t>i</w:t>
      </w:r>
      <w:proofErr w:type="spellEnd"/>
      <w:r w:rsidRPr="000A59F9">
        <w:rPr>
          <w:sz w:val="24"/>
        </w:rPr>
        <w:t xml:space="preserve">, </w:t>
      </w:r>
      <w:r w:rsidRPr="000A59F9">
        <w:rPr>
          <w:i/>
          <w:sz w:val="24"/>
        </w:rPr>
        <w:t>O</w:t>
      </w:r>
      <w:r w:rsidRPr="000A59F9">
        <w:rPr>
          <w:i/>
          <w:sz w:val="24"/>
          <w:vertAlign w:val="subscript"/>
        </w:rPr>
        <w:t>i</w:t>
      </w:r>
      <w:r w:rsidRPr="000A59F9">
        <w:rPr>
          <w:sz w:val="24"/>
        </w:rPr>
        <w:t xml:space="preserve">, </w:t>
      </w:r>
      <w:r w:rsidRPr="000A59F9">
        <w:rPr>
          <w:i/>
          <w:sz w:val="24"/>
        </w:rPr>
        <w:t>A</w:t>
      </w:r>
      <w:r w:rsidRPr="000A59F9">
        <w:rPr>
          <w:i/>
          <w:sz w:val="24"/>
          <w:vertAlign w:val="subscript"/>
        </w:rPr>
        <w:t>i</w:t>
      </w:r>
      <w:r w:rsidRPr="000A59F9">
        <w:rPr>
          <w:sz w:val="24"/>
        </w:rPr>
        <w:t xml:space="preserve">, and </w:t>
      </w:r>
      <w:r w:rsidRPr="000A59F9">
        <w:rPr>
          <w:i/>
          <w:sz w:val="24"/>
        </w:rPr>
        <w:t>a</w:t>
      </w:r>
      <w:r w:rsidRPr="000A59F9">
        <w:rPr>
          <w:i/>
          <w:sz w:val="24"/>
          <w:vertAlign w:val="subscript"/>
        </w:rPr>
        <w:t>i</w:t>
      </w:r>
      <w:r w:rsidRPr="000A59F9">
        <w:rPr>
          <w:sz w:val="24"/>
        </w:rPr>
        <w:t xml:space="preserve"> are the pixelwise fitting parameters, and </w:t>
      </w:r>
      <w:proofErr w:type="spellStart"/>
      <w:r w:rsidRPr="000A59F9">
        <w:rPr>
          <w:i/>
          <w:sz w:val="24"/>
        </w:rPr>
        <w:t>t</w:t>
      </w:r>
      <w:r w:rsidRPr="000A59F9">
        <w:rPr>
          <w:i/>
          <w:sz w:val="24"/>
          <w:vertAlign w:val="subscript"/>
        </w:rPr>
        <w:t>i</w:t>
      </w:r>
      <w:proofErr w:type="spellEnd"/>
      <w:r w:rsidRPr="000A59F9">
        <w:rPr>
          <w:sz w:val="24"/>
        </w:rPr>
        <w:t xml:space="preserve"> is the aluminum thickness. Subsequently, the measured counts were transformed pixelwise to an equivalent aluminum thickness of the reference aluminum calibration material. This was performed separately for all the </w:t>
      </w:r>
      <w:r w:rsidR="00CF3F43" w:rsidRPr="000A59F9">
        <w:rPr>
          <w:sz w:val="24"/>
        </w:rPr>
        <w:t>energy bin images</w:t>
      </w:r>
      <w:r w:rsidRPr="000A59F9">
        <w:rPr>
          <w:sz w:val="24"/>
        </w:rPr>
        <w:t>.</w:t>
      </w:r>
    </w:p>
    <w:p w14:paraId="23A92EB9" w14:textId="4086D5C0" w:rsidR="00F87873" w:rsidRPr="000A59F9" w:rsidRDefault="0065357A" w:rsidP="00F87873">
      <w:pPr>
        <w:pStyle w:val="NoSpacing"/>
        <w:ind w:firstLine="284"/>
        <w:jc w:val="both"/>
        <w:rPr>
          <w:sz w:val="24"/>
        </w:rPr>
      </w:pPr>
      <w:r w:rsidRPr="000A59F9">
        <w:rPr>
          <w:sz w:val="24"/>
        </w:rPr>
        <w:t>To improve the signal-to-noise ratio</w:t>
      </w:r>
      <w:r w:rsidR="00565D66" w:rsidRPr="000A59F9">
        <w:rPr>
          <w:sz w:val="24"/>
        </w:rPr>
        <w:t xml:space="preserve">, and to save memory on the reconstruction computer, </w:t>
      </w:r>
      <w:r w:rsidRPr="000A59F9">
        <w:rPr>
          <w:sz w:val="24"/>
        </w:rPr>
        <w:t>two consecutive frames of the projection data were averaged yielding one projection per 0.5°.</w:t>
      </w:r>
      <w:r w:rsidR="00F87873" w:rsidRPr="000A59F9">
        <w:rPr>
          <w:sz w:val="24"/>
        </w:rPr>
        <w:t xml:space="preserve"> 3D reconstruction of each energy bin was calculated with the ASTRA Toolbox (toolbox for MATLAB, ver. 1.8) using the FDK method</w:t>
      </w:r>
      <w:r w:rsidR="00F87873" w:rsidRPr="000A59F9">
        <w:rPr>
          <w:sz w:val="24"/>
          <w:lang w:val="fi-FI"/>
        </w:rPr>
        <w:fldChar w:fldCharType="begin" w:fldLock="1"/>
      </w:r>
      <w:r w:rsidR="009A2F89" w:rsidRPr="000A59F9">
        <w:rPr>
          <w:sz w:val="24"/>
        </w:rPr>
        <w:instrText>ADDIN CSL_CITATION {"citationItems":[{"id":"ITEM-1","itemData":{"DOI":"10.1016/j.ultramic.2015.05.002","ISSN":"03043991","abstract":"We present the ASTRA Toolbox as an open platform for 3D image reconstruction in tomography. Most of the software tools that are currently used in electron tomography offer limited flexibility with respect to the geometrical parameters of the acquisition model and the algorithms used for reconstruction. The ASTRA Toolbox provides an extensive set of fast and flexible building blocks that can be used to develop advanced reconstruction algorithms, effectively removing these limitations. We demonstrate this flexibility, the resulting reconstruction quality, and the computational efficiency of this toolbox by a series of experiments, based on experimental dual-axis tilt series.","author":[{"dropping-particle":"","family":"Aarle","given":"Wim","non-dropping-particle":"van","parse-names":false,"suffix":""},{"dropping-particle":"","family":"Palenstijn","given":"Willem Jan","non-dropping-particle":"","parse-names":false,"suffix":""},{"dropping-particle":"","family":"Beenhouwer","given":"Jan","non-dropping-particle":"De","parse-names":false,"suffix":""},{"dropping-particle":"","family":"Altantzis","given":"Thomas","non-dropping-particle":"","parse-names":false,"suffix":""},{"dropping-particle":"","family":"Bals","given":"Sara","non-dropping-particle":"","parse-names":false,"suffix":""},{"dropping-particle":"","family":"Batenburg","given":"K Joost","non-dropping-particle":"","parse-names":false,"suffix":""},{"dropping-particle":"","family":"Sijbers","given":"Jan","non-dropping-particle":"","parse-names":false,"suffix":""}],"container-title":"Ultramicroscopy","id":"ITEM-1","issued":{"date-parts":[["2015","10"]]},"page":"35-47","title":"The ASTRA Toolbox: A platform for advanced algorithm development in electron tomography","type":"article-journal","volume":"157"},"uris":["http://www.mendeley.com/documents/?uuid=d6210775-5503-41da-85ce-c3b660309471"]},{"id":"ITEM-2","itemData":{"DOI":"10.1364/OE.24.025129","ISSN":"1094-4087","abstract":"Object reconstruction from a series of projection images, such as in computed tomography (CT), is a popular tool in many different application fields. Existing commercial software typically provides sufficiently accurate and convenient-to-use reconstruction tools to the end-user. However, in applications where a non-standard acquisition protocol is used, or where advanced reconstruction methods are required, the standard software tools often are incapable of computing accurate reconstruction images. This article introduces the ASTRA Toolbox. Aimed at researchers across multiple tomographic application fields, the ASTRA Toolbox provides a highly efficient and highly flexible open source set of tools for tomographic projection and reconstruction. The main features of the ASTRA Toolbox are discussed and several use cases are presented.","author":[{"dropping-particle":"","family":"Aarle","given":"Wim","non-dropping-particle":"van","parse-names":false,"suffix":""},{"dropping-particle":"","family":"Palenstijn","given":"Willem Jan","non-dropping-particle":"","parse-names":false,"suffix":""},{"dropping-particle":"","family":"Cant","given":"Jeroen","non-dropping-particle":"","parse-names":false,"suffix":""},{"dropping-particle":"","family":"Janssens","given":"Eline","non-dropping-particle":"","parse-names":false,"suffix":""},{"dropping-particle":"","family":"Bleichrodt","given":"Folkert","non-dropping-particle":"","parse-names":false,"suffix":""},{"dropping-particle":"","family":"Dabravolski","given":"Andrei","non-dropping-particle":"","parse-names":false,"suffix":""},{"dropping-particle":"","family":"Beenhouwer","given":"Jan","non-dropping-particle":"De","parse-names":false,"suffix":""},{"dropping-particle":"","family":"Joost Batenburg","given":"K.","non-dropping-particle":"","parse-names":false,"suffix":""},{"dropping-particle":"","family":"Sijbers","given":"Jan","non-dropping-particle":"","parse-names":false,"suffix":""}],"container-title":"Optics Express","id":"ITEM-2","issue":"22","issued":{"date-parts":[["2016","10","31"]]},"page":"25129","publisher":"OSA","title":"Fast and flexible X-ray tomography using the ASTRA toolbox","type":"article-journal","volume":"24"},"uris":["http://www.mendeley.com/documents/?uuid=a9f06c4c-837d-44a5-890d-34365cf04a6d"]},{"id":"ITEM-3","itemData":{"DOI":"https://doi.org/10.1016/j.jsb.2011.07.017","ISSN":"1047-8477","abstract":"Iterative reconstruction algorithms are becoming increasingly important in electron tomography of biological samples. These algorithms, however, impose major computational demands. Parallelization must be employed to maintain acceptable running times. Graphics Processing Units (GPUs) have been demonstrated to be highly cost-effective for carrying out these computations with a high degree of parallelism. In a recent paper by Xu et al. (2010), a GPU implementation strategy was presented that obtains a speedup of an order of magnitude over a previously proposed GPU-based electron tomography implementation. In this technical note, we demonstrate that by making alternative design decisions in the GPU implementation, an additional speedup can be obtained, again of an order of magnitude. By carefully considering memory access locality when dividing the workload among blocks of threads, the GPU’s cache is used more efficiently, making more effective use of the available memory bandwidth.","author":[{"dropping-particle":"","family":"Palenstijn","given":"W J","non-dropping-particle":"","parse-names":false,"suffix":""},{"dropping-particle":"","family":"Batenburg","given":"K J","non-dropping-particle":"","parse-names":false,"suffix":""},{"dropping-particle":"","family":"Sijbers","given":"J","non-dropping-particle":"","parse-names":false,"suffix":""}],"container-title":"Journal of Structural Biology","id":"ITEM-3","issue":"2","issued":{"date-parts":[["2011","11"]]},"page":"250-253","title":"Performance improvements for iterative electron tomography reconstruction using graphics processing units (GPUs)","type":"article-journal","volume":"176"},"uris":["http://www.mendeley.com/documents/?uuid=519f3c50-5947-4251-bd93-d26811e36c5f"]}],"mendeley":{"formattedCitation":"&lt;sup&gt;7–9&lt;/sup&gt;","plainTextFormattedCitation":"7–9","previouslyFormattedCitation":"&lt;sup&gt;7–9&lt;/sup&gt;"},"properties":{"noteIndex":0},"schema":"https://github.com/citation-style-language/schema/raw/master/csl-citation.json"}</w:instrText>
      </w:r>
      <w:r w:rsidR="00F87873" w:rsidRPr="000A59F9">
        <w:rPr>
          <w:sz w:val="24"/>
          <w:lang w:val="fi-FI"/>
        </w:rPr>
        <w:fldChar w:fldCharType="separate"/>
      </w:r>
      <w:bookmarkStart w:id="16" w:name="__Fieldmark__842_3324262586"/>
      <w:bookmarkStart w:id="17" w:name="__Fieldmark__337_283366306"/>
      <w:bookmarkStart w:id="18" w:name="__Fieldmark__757_1076999677"/>
      <w:r w:rsidR="009A2F89" w:rsidRPr="000A59F9">
        <w:rPr>
          <w:noProof/>
          <w:sz w:val="24"/>
          <w:vertAlign w:val="superscript"/>
        </w:rPr>
        <w:t>7–9</w:t>
      </w:r>
      <w:r w:rsidR="00F87873" w:rsidRPr="000A59F9">
        <w:rPr>
          <w:sz w:val="24"/>
        </w:rPr>
        <w:fldChar w:fldCharType="end"/>
      </w:r>
      <w:bookmarkEnd w:id="16"/>
      <w:bookmarkEnd w:id="17"/>
      <w:bookmarkEnd w:id="18"/>
      <w:r w:rsidR="00F87873" w:rsidRPr="000A59F9">
        <w:rPr>
          <w:sz w:val="24"/>
        </w:rPr>
        <w:t>. Finally, the image values were transformed from arbitrary attenuation units to Hounsfield units (HUs) (</w:t>
      </w:r>
      <w:r w:rsidR="00044C8C" w:rsidRPr="000A59F9">
        <w:rPr>
          <w:sz w:val="24"/>
        </w:rPr>
        <w:t xml:space="preserve">Manuscript </w:t>
      </w:r>
      <w:r w:rsidR="00F87873" w:rsidRPr="000A59F9">
        <w:rPr>
          <w:sz w:val="24"/>
        </w:rPr>
        <w:t xml:space="preserve">Fig. </w:t>
      </w:r>
      <w:r w:rsidR="00752990" w:rsidRPr="000A59F9">
        <w:rPr>
          <w:sz w:val="24"/>
        </w:rPr>
        <w:t>4</w:t>
      </w:r>
      <w:r w:rsidR="00286BBE" w:rsidRPr="000A59F9">
        <w:rPr>
          <w:sz w:val="24"/>
        </w:rPr>
        <w:t>c</w:t>
      </w:r>
      <w:r w:rsidR="00F87873" w:rsidRPr="000A59F9">
        <w:rPr>
          <w:sz w:val="24"/>
        </w:rPr>
        <w:t>). All data analysis was done using MATLAB (R2018b, Math</w:t>
      </w:r>
      <w:r w:rsidR="00F02180" w:rsidRPr="000A59F9">
        <w:rPr>
          <w:sz w:val="24"/>
        </w:rPr>
        <w:t>W</w:t>
      </w:r>
      <w:r w:rsidR="00F87873" w:rsidRPr="000A59F9">
        <w:rPr>
          <w:sz w:val="24"/>
        </w:rPr>
        <w:t>orks, Natick, MA, USA). Only the LE and HE reconstruction images were used in the later analysis.</w:t>
      </w:r>
    </w:p>
    <w:p w14:paraId="329ADA62" w14:textId="77777777" w:rsidR="00230620" w:rsidRPr="000A59F9" w:rsidRDefault="00230620" w:rsidP="00F87873">
      <w:pPr>
        <w:pStyle w:val="NoSpacing"/>
        <w:jc w:val="both"/>
        <w:rPr>
          <w:sz w:val="24"/>
        </w:rPr>
      </w:pPr>
    </w:p>
    <w:p w14:paraId="179DB391" w14:textId="77777777" w:rsidR="00F87873" w:rsidRPr="000A59F9" w:rsidRDefault="00F87873" w:rsidP="00E00D64">
      <w:pPr>
        <w:pStyle w:val="NoSpacing"/>
        <w:rPr>
          <w:i/>
          <w:iCs/>
          <w:sz w:val="24"/>
        </w:rPr>
      </w:pPr>
      <w:r w:rsidRPr="000A59F9">
        <w:rPr>
          <w:i/>
          <w:iCs/>
          <w:sz w:val="24"/>
        </w:rPr>
        <w:t>Concentration Estimation for CA4+ and Gadoteridol</w:t>
      </w:r>
    </w:p>
    <w:p w14:paraId="17FE8929" w14:textId="31F3E853" w:rsidR="00F87873" w:rsidRPr="000A59F9" w:rsidRDefault="00F87873" w:rsidP="00B6214C">
      <w:pPr>
        <w:pStyle w:val="NoSpacing"/>
        <w:ind w:firstLine="284"/>
        <w:jc w:val="both"/>
        <w:rPr>
          <w:sz w:val="24"/>
        </w:rPr>
      </w:pPr>
      <w:r w:rsidRPr="000A59F9">
        <w:rPr>
          <w:sz w:val="24"/>
        </w:rPr>
        <w:t xml:space="preserve">Calibration curves were established using the solutions of known concentrations of the contrast agents. A first-degree polynomial equation was fitted to the measured calibration points between the known </w:t>
      </w:r>
      <w:bookmarkStart w:id="19" w:name="__UnoMark__9321_283366306"/>
      <w:bookmarkEnd w:id="19"/>
      <w:r w:rsidRPr="000A59F9">
        <w:rPr>
          <w:sz w:val="24"/>
        </w:rPr>
        <w:t xml:space="preserve">contrast agent concentrations and the measured HU values. Mass attenuation coefficients </w:t>
      </w:r>
      <w:r w:rsidR="007809B8" w:rsidRPr="000A59F9">
        <w:rPr>
          <w:sz w:val="24"/>
        </w:rPr>
        <w:t xml:space="preserve">in units of </w:t>
      </w:r>
      <w:proofErr w:type="spellStart"/>
      <w:r w:rsidR="007809B8" w:rsidRPr="000A59F9">
        <w:rPr>
          <w:sz w:val="24"/>
        </w:rPr>
        <w:t>HU</w:t>
      </w:r>
      <w:r w:rsidR="007809B8" w:rsidRPr="000A59F9">
        <w:rPr>
          <w:rFonts w:cstheme="minorHAnsi"/>
          <w:sz w:val="24"/>
        </w:rPr>
        <w:t>·</w:t>
      </w:r>
      <w:r w:rsidR="007809B8" w:rsidRPr="000A59F9">
        <w:rPr>
          <w:sz w:val="24"/>
        </w:rPr>
        <w:t>mL</w:t>
      </w:r>
      <w:proofErr w:type="spellEnd"/>
      <w:r w:rsidR="007809B8" w:rsidRPr="000A59F9">
        <w:rPr>
          <w:sz w:val="24"/>
        </w:rPr>
        <w:t xml:space="preserve">/mg </w:t>
      </w:r>
      <w:r w:rsidRPr="000A59F9">
        <w:rPr>
          <w:sz w:val="24"/>
        </w:rPr>
        <w:t xml:space="preserve">were determined as the calibration curve slopes (Fig. </w:t>
      </w:r>
      <w:r w:rsidR="007F7ED7" w:rsidRPr="000A59F9">
        <w:rPr>
          <w:sz w:val="24"/>
        </w:rPr>
        <w:t>S1</w:t>
      </w:r>
      <w:r w:rsidRPr="000A59F9">
        <w:rPr>
          <w:sz w:val="24"/>
        </w:rPr>
        <w:t xml:space="preserve">a and </w:t>
      </w:r>
      <w:r w:rsidR="007F7ED7" w:rsidRPr="000A59F9">
        <w:rPr>
          <w:sz w:val="24"/>
        </w:rPr>
        <w:t>S1</w:t>
      </w:r>
      <w:r w:rsidRPr="000A59F9">
        <w:rPr>
          <w:sz w:val="24"/>
        </w:rPr>
        <w:t>c). The concentration estimation was validated with a validation series, using known mixtures of the contrast agents. These were used to investigate the accuracy of</w:t>
      </w:r>
      <w:r w:rsidR="00021A36" w:rsidRPr="000A59F9">
        <w:rPr>
          <w:sz w:val="24"/>
        </w:rPr>
        <w:t xml:space="preserve"> this</w:t>
      </w:r>
      <w:r w:rsidRPr="000A59F9">
        <w:rPr>
          <w:sz w:val="24"/>
        </w:rPr>
        <w:t xml:space="preserve"> calibration-based concentration estimation</w:t>
      </w:r>
      <w:r w:rsidR="00F803BB" w:rsidRPr="000A59F9">
        <w:rPr>
          <w:sz w:val="24"/>
        </w:rPr>
        <w:fldChar w:fldCharType="begin" w:fldLock="1"/>
      </w:r>
      <w:r w:rsidR="00485E7C" w:rsidRPr="000A59F9">
        <w:rPr>
          <w:sz w:val="24"/>
        </w:rPr>
        <w:instrText>ADDIN CSL_CITATION {"citationItems":[{"id":"ITEM-1","itemData":{"DOI":"10.1007/s10439-018-2013-y","ISBN":"1573-9686","PMID":"29654384","abstract":"Impact injuries of cartilage may initiate post-traumatic degeneration, making early detection of injury imperative for timely surgical or pharmaceutical interventions. Cationic (positively-charged) CT contrast agents detect loss of cartilage proteoglycans (PGs) more sensitively than anionic (negatively-charged) or non-ionic (non-charged, i.e., electrically neutral) agents. However, degeneration related loss of PGs and increase in water content have opposite effects on the diffusion of the cationic agent, lowering its sensitivity. In contrast to cationic agents, diffusion of non-ionic agents is governed only by steric hindrance and water content of cartilage. We hypothesize that sensitivity of an iodine(I)-based cationic agent may be enhanced by simultaneous use of a non-ionic gadolinium(Gd)-based agent. We introduce a quantitative dual energy CT technique (QDECT) for simultaneous quantification of two contrast agents in cartilage. We employ this technique to improve the sensitivity of cationic CA4+ (q =+4) by normalizing its partition in cartilage with that of non-ionic gadoteridol. The technique was evaluated with measurements of contrast agent mixtures of known composition and human osteochondral samples (n = 57) after immersion (72 h) in mixture of CA4+ and gadoteridol. Samples were arthroscopically graded and biomechanically tested prior to QDECT (50/100 kV). QDECT determined contrast agent mixture compositions correlated with the true compositions (R(2)= 0.99, average error = 2.27%). Normalizing CA4+ partition in cartilage with that of gadoteridol improved correlation with equilibrium modulus (from rho = 0.701 to 0.795). To conclude, QDECT enables simultaneous quantification of I and Gd contrast agents improving diagnosis of cartilage integrity and biomechanical status.","author":[{"dropping-particle":"","family":"Bhattarai","given":"Abhisek","non-dropping-particle":"","parse-names":false,"suffix":""},{"dropping-particle":"","family":"Honkanen","given":"Juuso T J","non-dropping-particle":"","parse-names":false,"suffix":""},{"dropping-particle":"","family":"Myller","given":"Katariina A H","non-dropping-particle":"","parse-names":false,"suffix":""},{"dropping-particle":"","family":"Prakash","given":"M","non-dropping-particle":"","parse-names":false,"suffix":""},{"dropping-particle":"","family":"Korhonen","given":"M","non-dropping-particle":"","parse-names":false,"suffix":""},{"dropping-particle":"","family":"Saukko","given":"A E A","non-dropping-particle":"","parse-names":false,"suffix":""},{"dropping-particle":"","family":"Viren","given":"T","non-dropping-particle":"","parse-names":false,"suffix":""},{"dropping-particle":"","family":"Joukainen","given":"A","non-dropping-particle":"","parse-names":false,"suffix":""},{"dropping-particle":"","family":"Patwa","given":"A N","non-dropping-particle":"","parse-names":false,"suffix":""},{"dropping-particle":"","family":"Kroger","given":"H","non-dropping-particle":"","parse-names":false,"suffix":""},{"dropping-particle":"","family":"Grinstaff","given":"M W","non-dropping-particle":"","parse-names":false,"suffix":""},{"dropping-particle":"","family":"Jurvelin","given":"J S","non-dropping-particle":"","parse-names":false,"suffix":""},{"dropping-particle":"","family":"Toyras","given":"J","non-dropping-particle":"","parse-names":false,"suffix":""}],"container-title":"Annals of Biomedical Engineering","id":"ITEM-1","issue":"7","issued":{"date-parts":[["2018","4"]]},"note":"From Duplicate 1 (Quantitative Dual Contrast CT Technique for Evaluation of Articular Cartilage Properties - Bhattarai, Abhisek; Honkanen, Juuso T J; Myller, Katariina A H; Prakash, M; Korhonen, M; Saukko, A E A; Viren, T; Joukainen, A; Patwa, A N; Kroger, H; Grinstaff, M W; Jurvelin, J S; Toyras, J)\n\nFrom Duplicate 2 (Quantitative Dual Contrast CT Technique for Evaluation of Articular Cartilage Properties - Bhattarai, A; Honkanen, J T J; Myller, K A H; Prakash, M; Korhonen, M; Saukko, A E A; Viren, T; Joukainen, A; Patwa, A N; Kroger, H; Grinstaff, M W; Jurvelin, J S; Toyras, J)\n\nLR: 20180531; GR: 269315/Academy of Finland; GR: 307932/Academy of Finland; GR: VTR 5041757/Kuopion Yliopistollinen Sairaala; GR: 170033/Instrumentariumin Tiedesaatio; JID: 0361512; OTO: NOTNLM; 2017/12/19 00:00 [received]; 2018/03/21 00:00 [accepted]; 2018/04/15 06:00 [pubmed]; 2018/04/15 06:00 [medline]; 2018/04/15 06:00 [entrez]; ppublish\n\nFrom Duplicate 2 (Quantitative Dual Contrast CT Technique for Evaluation of Articular Cartilage Properties - Bhattarai, Abhisek; Honkanen, Juuso T J; Myller, Katariina A H; Prakash, M; Korhonen, M; Saukko, A E A; Viren, T; Joukainen, A; Patwa, A N; Kroger, H; Grinstaff, M W; Jurvelin, J S; Toyras, J)\n\nFrom Duplicate 1 (Quantitative Dual Contrast CT Technique for Evaluation of Articular Cartilage Properties - Bhattarai, Abhisek; Honkanen, Juuso T J; Myller, Katariina A H; Prakash, M; Korhonen, M; Saukko, A E A; Viren, T; Joukainen, A; Patwa, A N; Kroger, H; Grinstaff, M W; Jurvelin, J S; Toyras, J)\n\nFrom Duplicate 1 (Quantitative Dual Contrast CT Technique for Evaluation of Articular Cartilage Properties - Bhattarai, A; Honkanen, J T J; Myller, K A H; Prakash, M; Korhonen, M; Saukko, A E A; Viren, T; Joukainen, A; Patwa, A N; Kroger, H; Grinstaff, M W; Jurvelin, J S; Toyras, J)\n\nLR: 20180531; GR: 269315/Academy of Finland; GR: 307932/Academy of Finland; GR: VTR 5041757/Kuopion Yliopistollinen Sairaala; GR: 170033/Instrumentariumin Tiedesaatio; JID: 0361512; OTO: NOTNLM; 2017/12/19 00:00 [received]; 2018/03/21 00:00 [accepted]; 2018/04/15 06:00 [pubmed]; 2018/04/15 06:00 [medline]; 2018/04/15 06:00 [entrez]; ppublish\n\nFrom Duplicate 2 (Quantitative Dual Contrast CT Technique for Evaluation of Articular Cartilage Properties - Bhattarai, Abhisek; Honkanen, Juuso T J; Myller, Katariina A H; Prakash, M; Korhonen, M; Saukko, A E A; Viren, T; Joukainen, A; Patwa, A N; Kroger, H; Grinstaff, M W; Jurvelin, J S; Toyras, J)\n\nFrom Duplicate 2 (Quantitative Dual Contrast CT Technique for Evaluation of Articular Cartilage Properties - Bhattarai, A; Honkanen, J T J; Myller, K A H; Prakash, M; Korhonen, M; Saukko, A E A; Viren, T; Joukainen, A; Patwa, A N; Kroger, H; Grinstaff, M W; Jurvelin, J S; Toyras, J)\n\nLR: 20180531; GR: 269315/Academy of Finland; GR: 307932/Academy of Finland; GR: VTR 5041757/Kuopion Yliopistollinen Sairaala; GR: 170033/Instrumentariumin Tiedesaatio; JID: 0361512; OTO: NOTNLM; 2017/12/19 00:00 [received]; 2018/03/21 00:00 [accepted]; 2018/04/15 06:00 [pubmed]; 2018/04/15 06:00 [medline]; 2018/04/15 06:00 [entrez]; ppublish\n\nFrom Duplicate 2 (Quantitative Dual Contrast CT Technique for Evaluation of Articular Cartilage Properties - Bhattarai, Abhisek; Honkanen, Juuso T J; Myller, Katariina A H; Prakash, M; Korhonen, M; Saukko, A E A; Viren, T; Joukainen, A; Patwa, A N; Kroger, H; Grinstaff, M W; Jurvelin, J S; Toyras, J)\n\nFrom Duplicate 2 (Quantitative Dual Contrast CT Technique for Evaluation of Articular Cartilage Properties - Bhattarai, A; Honkanen, J T J; Myller, K A H; Prakash, M; Korhonen, M; Saukko, A E A; Viren, T; Joukainen, A; Patwa, A N; Kroger, H; Grinstaff, M W; Jurvelin, J S; Toyras, J)\n\nLR: 20180531; GR: 269315/Academy of Finland; GR: 307932/Academy of Finland; GR: VTR 5041757/Kuopion Yliopistollinen Sairaala; GR: 170033/Instrumentariumin Tiedesaatio; JID: 0361512; OTO: NOTNLM; 2017/12/19 00:00 [received]; 2018/03/21 00:00 [accepted]; 2018/04/15 06:00 [pubmed]; 2018/04/15 06:00 [medline]; 2018/04/15 06:00 [entrez]; ppublish","page":"1038-1046","title":"Quantitative Dual Contrast CT Technique for Evaluation of Articular Cartilage Properties","type":"article-journal","volume":"46"},"uris":["http://www.mendeley.com/documents/?uuid=5f84b4bb-7d3d-47e8-bc3d-35fad7ffb5fd"]},{"id":"ITEM-2","itemData":{"DOI":"10.1002/jor.24256","ISSN":"1554-527X (Electronic)","PMID":"30816584","abstract":"Assessment of cartilage composition via tomographic imaging is critical after cartilage injury to prevent post-traumatic osteoarthritis. Diffusion of cationic contrast agents in cartilage is affected by proteoglycan loss and elevated water content. These changes have opposite effects on diffusion and, thereby, reduce the diagnostic accuracy of cationic agents. Here, we apply, for the first time, a clinical full-body CT for dual contrast imaging of articular cartilage. We hypothesize that full-body CT can simultaneously determine the diffusion and partitioning of cationic and non-ionic contrast agents and that normalization of the cationic agent partition with that of the non-ionic agent minimizes the effect of water content and tissue permeability, especially at early diffusion time points. Cylindrical (d = 8 mm) human osteochondral samples (n = 45; four cadavers) of a variable degenerative state were immersed in a mixture of cationic iodinated CA4+ and non-charged gadoteridol contrast agents and imaged with a full-body CT scanner at various time points. Determination of contrast agents' distributions within cartilage was possible at all phases of diffusion. At early time points, gadoteridol, and CA4+ distributed throughout cartilage with lower concentrations in the deep cartilage. At &gt;/=24 h, the gadoteridol concentration remained nearly constant, while the CA4+ concentration increased toward deep cartilage. Normalization of the CA4+ partition with that of gadoteridol significantly (p &lt; 0.05) enhanced correlation with proteoglycan content and Mankin score at the early time points. To conclude, the dual contrast technique was found advantageous over single contrast imaging enabling more sensitive diagnosis of cartilage degeneration. (c) 2019 The Authors. Journal of Orthopaedic Research Published by Wiley Periodicals, Inc. J Orthop Res 9999:1-12, 2019.","author":[{"dropping-particle":"","family":"Honkanen","given":"Miitu K.M.","non-dropping-particle":"","parse-names":false,"suffix":""},{"dropping-particle":"","family":"Matikka","given":"Hanna","non-dropping-particle":"","parse-names":false,"suffix":""},{"dropping-particle":"","family":"Honkanen","given":"Juuso T.J.","non-dropping-particle":"","parse-names":false,"suffix":""},{"dropping-particle":"","family":"Bhattarai","given":"Abhisek","non-dropping-particle":"","parse-names":false,"suffix":""},{"dropping-particle":"","family":"Grinstaff","given":"Mark W.","non-dropping-particle":"","parse-names":false,"suffix":""},{"dropping-particle":"","family":"Joukainen","given":"Antti","non-dropping-particle":"","parse-names":false,"suffix":""},{"dropping-particle":"","family":"Kröger","given":"Heikki","non-dropping-particle":"","parse-names":false,"suffix":""},{"dropping-particle":"","family":"Jurvelin","given":"Jukka S.","non-dropping-particle":"","parse-names":false,"suffix":""},{"dropping-particle":"","family":"Töyräs","given":"Juha","non-dropping-particle":"","parse-names":false,"suffix":""}],"container-title":"Journal of Orthopaedic Research","id":"ITEM-2","issue":"5","issued":{"date-parts":[["2019","2"]]},"language":"eng","page":"1059-1070","publisher-place":"United States","title":"Imaging of Proteoglycan and Water Contents in Human Articular Cartilage with Full-Body CT Using Dual Contrast Technique.","type":"article-journal","volume":"37"},"uris":["http://www.mendeley.com/documents/?uuid=04397c78-c97d-499a-b824-a65748bb989d"]}],"mendeley":{"formattedCitation":"&lt;sup&gt;10,11&lt;/sup&gt;","plainTextFormattedCitation":"10,11","previouslyFormattedCitation":"&lt;sup&gt;10,11&lt;/sup&gt;"},"properties":{"noteIndex":0},"schema":"https://github.com/citation-style-language/schema/raw/master/csl-citation.json"}</w:instrText>
      </w:r>
      <w:r w:rsidR="00F803BB" w:rsidRPr="000A59F9">
        <w:rPr>
          <w:sz w:val="24"/>
        </w:rPr>
        <w:fldChar w:fldCharType="separate"/>
      </w:r>
      <w:r w:rsidR="009A2F89" w:rsidRPr="000A59F9">
        <w:rPr>
          <w:noProof/>
          <w:sz w:val="24"/>
          <w:vertAlign w:val="superscript"/>
        </w:rPr>
        <w:t>10,11</w:t>
      </w:r>
      <w:r w:rsidR="00F803BB" w:rsidRPr="000A59F9">
        <w:rPr>
          <w:sz w:val="24"/>
        </w:rPr>
        <w:fldChar w:fldCharType="end"/>
      </w:r>
      <w:r w:rsidRPr="000A59F9">
        <w:rPr>
          <w:sz w:val="24"/>
        </w:rPr>
        <w:t xml:space="preserve"> by comparing the calculated and true mixture concentrations (Fig. </w:t>
      </w:r>
      <w:r w:rsidR="00174DA6" w:rsidRPr="000A59F9">
        <w:rPr>
          <w:sz w:val="24"/>
        </w:rPr>
        <w:t>S1</w:t>
      </w:r>
      <w:r w:rsidRPr="000A59F9">
        <w:rPr>
          <w:sz w:val="24"/>
        </w:rPr>
        <w:t xml:space="preserve">b and </w:t>
      </w:r>
      <w:r w:rsidR="00174DA6" w:rsidRPr="000A59F9">
        <w:rPr>
          <w:sz w:val="24"/>
        </w:rPr>
        <w:t>S1</w:t>
      </w:r>
      <w:r w:rsidRPr="000A59F9">
        <w:rPr>
          <w:sz w:val="24"/>
        </w:rPr>
        <w:t xml:space="preserve">d). </w:t>
      </w:r>
    </w:p>
    <w:p w14:paraId="1AE0A850" w14:textId="2C0F58B9" w:rsidR="00F87873" w:rsidRPr="000A59F9" w:rsidRDefault="00F87873" w:rsidP="00035D73">
      <w:pPr>
        <w:pStyle w:val="NoSpacing"/>
        <w:ind w:firstLine="284"/>
        <w:jc w:val="both"/>
        <w:rPr>
          <w:sz w:val="24"/>
        </w:rPr>
      </w:pPr>
      <w:bookmarkStart w:id="20" w:name="_Hlk53058839"/>
      <w:r w:rsidRPr="000A59F9">
        <w:rPr>
          <w:sz w:val="24"/>
        </w:rPr>
        <w:t>The depthwise contrast agent concentrations within cartilage were calculated from the reconstructed images</w:t>
      </w:r>
      <w:r w:rsidR="006C0F99">
        <w:rPr>
          <w:sz w:val="24"/>
        </w:rPr>
        <w:t xml:space="preserve"> </w:t>
      </w:r>
      <w:r w:rsidRPr="000A59F9">
        <w:rPr>
          <w:sz w:val="24"/>
        </w:rPr>
        <w:t>using the Beer-Lambert law and Bragg’s additive rule</w:t>
      </w:r>
      <w:r w:rsidR="006C0F99">
        <w:rPr>
          <w:sz w:val="24"/>
        </w:rPr>
        <w:t xml:space="preserve"> </w:t>
      </w:r>
      <w:r w:rsidR="006C0F99" w:rsidRPr="000A59F9">
        <w:rPr>
          <w:sz w:val="24"/>
        </w:rPr>
        <w:t>(Manuscript Fig</w:t>
      </w:r>
      <w:r w:rsidR="006C0F99">
        <w:rPr>
          <w:sz w:val="24"/>
        </w:rPr>
        <w:t>s</w:t>
      </w:r>
      <w:r w:rsidR="006C0F99" w:rsidRPr="000A59F9">
        <w:rPr>
          <w:sz w:val="24"/>
        </w:rPr>
        <w:t>.</w:t>
      </w:r>
      <w:r w:rsidR="006C0F99">
        <w:rPr>
          <w:sz w:val="24"/>
        </w:rPr>
        <w:t xml:space="preserve"> 4d and</w:t>
      </w:r>
      <w:r w:rsidR="006C0F99" w:rsidRPr="000A59F9">
        <w:rPr>
          <w:sz w:val="24"/>
        </w:rPr>
        <w:t xml:space="preserve"> 4</w:t>
      </w:r>
      <w:r w:rsidR="006C0F99">
        <w:rPr>
          <w:sz w:val="24"/>
        </w:rPr>
        <w:t>e</w:t>
      </w:r>
      <w:r w:rsidR="006C0F99" w:rsidRPr="000A59F9">
        <w:rPr>
          <w:sz w:val="24"/>
        </w:rPr>
        <w:t>)</w:t>
      </w:r>
      <w:r w:rsidR="00E00D64" w:rsidRPr="000A59F9">
        <w:rPr>
          <w:sz w:val="24"/>
        </w:rPr>
        <w:t>, as in the earlier studies</w:t>
      </w:r>
      <w:r w:rsidRPr="000A59F9">
        <w:rPr>
          <w:sz w:val="24"/>
          <w:lang w:val="fi-FI"/>
        </w:rPr>
        <w:fldChar w:fldCharType="begin" w:fldLock="1"/>
      </w:r>
      <w:r w:rsidR="00485E7C" w:rsidRPr="000A59F9">
        <w:rPr>
          <w:sz w:val="24"/>
        </w:rPr>
        <w:instrText>ADDIN CSL_CITATION {"citationItems":[{"id":"ITEM-1","itemData":{"DOI":"10.1007/s10439-018-2013-y","ISBN":"1573-9686","PMID":"29654384","abstract":"Impact injuries of cartilage may initiate post-traumatic degeneration, making early detection of injury imperative for timely surgical or pharmaceutical interventions. Cationic (positively-charged) CT contrast agents detect loss of cartilage proteoglycans (PGs) more sensitively than anionic (negatively-charged) or non-ionic (non-charged, i.e., electrically neutral) agents. However, degeneration related loss of PGs and increase in water content have opposite effects on the diffusion of the cationic agent, lowering its sensitivity. In contrast to cationic agents, diffusion of non-ionic agents is governed only by steric hindrance and water content of cartilage. We hypothesize that sensitivity of an iodine(I)-based cationic agent may be enhanced by simultaneous use of a non-ionic gadolinium(Gd)-based agent. We introduce a quantitative dual energy CT technique (QDECT) for simultaneous quantification of two contrast agents in cartilage. We employ this technique to improve the sensitivity of cationic CA4+ (q =+4) by normalizing its partition in cartilage with that of non-ionic gadoteridol. The technique was evaluated with measurements of contrast agent mixtures of known composition and human osteochondral samples (n = 57) after immersion (72 h) in mixture of CA4+ and gadoteridol. Samples were arthroscopically graded and biomechanically tested prior to QDECT (50/100 kV). QDECT determined contrast agent mixture compositions correlated with the true compositions (R(2)= 0.99, average error = 2.27%). Normalizing CA4+ partition in cartilage with that of gadoteridol improved correlation with equilibrium modulus (from rho = 0.701 to 0.795). To conclude, QDECT enables simultaneous quantification of I and Gd contrast agents improving diagnosis of cartilage integrity and biomechanical status.","author":[{"dropping-particle":"","family":"Bhattarai","given":"Abhisek","non-dropping-particle":"","parse-names":false,"suffix":""},{"dropping-particle":"","family":"Honkanen","given":"Juuso T J","non-dropping-particle":"","parse-names":false,"suffix":""},{"dropping-particle":"","family":"Myller","given":"Katariina A H","non-dropping-particle":"","parse-names":false,"suffix":""},{"dropping-particle":"","family":"Prakash","given":"M","non-dropping-particle":"","parse-names":false,"suffix":""},{"dropping-particle":"","family":"Korhonen","given":"M","non-dropping-particle":"","parse-names":false,"suffix":""},{"dropping-particle":"","family":"Saukko","given":"A E A","non-dropping-particle":"","parse-names":false,"suffix":""},{"dropping-particle":"","family":"Viren","given":"T","non-dropping-particle":"","parse-names":false,"suffix":""},{"dropping-particle":"","family":"Joukainen","given":"A","non-dropping-particle":"","parse-names":false,"suffix":""},{"dropping-particle":"","family":"Patwa","given":"A N","non-dropping-particle":"","parse-names":false,"suffix":""},{"dropping-particle":"","family":"Kroger","given":"H","non-dropping-particle":"","parse-names":false,"suffix":""},{"dropping-particle":"","family":"Grinstaff","given":"M W","non-dropping-particle":"","parse-names":false,"suffix":""},{"dropping-particle":"","family":"Jurvelin","given":"J S","non-dropping-particle":"","parse-names":false,"suffix":""},{"dropping-particle":"","family":"Toyras","given":"J","non-dropping-particle":"","parse-names":false,"suffix":""}],"container-title":"Annals of Biomedical Engineering","id":"ITEM-1","issue":"7","issued":{"date-parts":[["2018","4"]]},"note":"From Duplicate 1 (Quantitative Dual Contrast CT Technique for Evaluation of Articular Cartilage Properties - Bhattarai, Abhisek; Honkanen, Juuso T J; Myller, Katariina A H; Prakash, M; Korhonen, M; Saukko, A E A; Viren, T; Joukainen, A; Patwa, A N; Kroger, H; Grinstaff, M W; Jurvelin, J S; Toyras, J)\n\nFrom Duplicate 2 (Quantitative Dual Contrast CT Technique for Evaluation of Articular Cartilage Properties - Bhattarai, A; Honkanen, J T J; Myller, K A H; Prakash, M; Korhonen, M; Saukko, A E A; Viren, T; Joukainen, A; Patwa, A N; Kroger, H; Grinstaff, M W; Jurvelin, J S; Toyras, J)\n\nLR: 20180531; GR: 269315/Academy of Finland; GR: 307932/Academy of Finland; GR: VTR 5041757/Kuopion Yliopistollinen Sairaala; GR: 170033/Instrumentariumin Tiedesaatio; JID: 0361512; OTO: NOTNLM; 2017/12/19 00:00 [received]; 2018/03/21 00:00 [accepted]; 2018/04/15 06:00 [pubmed]; 2018/04/15 06:00 [medline]; 2018/04/15 06:00 [entrez]; ppublish\n\nFrom Duplicate 2 (Quantitative Dual Contrast CT Technique for Evaluation of Articular Cartilage Properties - Bhattarai, Abhisek; Honkanen, Juuso T J; Myller, Katariina A H; Prakash, M; Korhonen, M; Saukko, A E A; Viren, T; Joukainen, A; Patwa, A N; Kroger, H; Grinstaff, M W; Jurvelin, J S; Toyras, J)\n\nFrom Duplicate 1 (Quantitative Dual Contrast CT Technique for Evaluation of Articular Cartilage Properties - Bhattarai, Abhisek; Honkanen, Juuso T J; Myller, Katariina A H; Prakash, M; Korhonen, M; Saukko, A E A; Viren, T; Joukainen, A; Patwa, A N; Kroger, H; Grinstaff, M W; Jurvelin, J S; Toyras, J)\n\nFrom Duplicate 1 (Quantitative Dual Contrast CT Technique for Evaluation of Articular Cartilage Properties - Bhattarai, A; Honkanen, J T J; Myller, K A H; Prakash, M; Korhonen, M; Saukko, A E A; Viren, T; Joukainen, A; Patwa, A N; Kroger, H; Grinstaff, M W; Jurvelin, J S; Toyras, J)\n\nLR: 20180531; GR: 269315/Academy of Finland; GR: 307932/Academy of Finland; GR: VTR 5041757/Kuopion Yliopistollinen Sairaala; GR: 170033/Instrumentariumin Tiedesaatio; JID: 0361512; OTO: NOTNLM; 2017/12/19 00:00 [received]; 2018/03/21 00:00 [accepted]; 2018/04/15 06:00 [pubmed]; 2018/04/15 06:00 [medline]; 2018/04/15 06:00 [entrez]; ppublish\n\nFrom Duplicate 2 (Quantitative Dual Contrast CT Technique for Evaluation of Articular Cartilage Properties - Bhattarai, Abhisek; Honkanen, Juuso T J; Myller, Katariina A H; Prakash, M; Korhonen, M; Saukko, A E A; Viren, T; Joukainen, A; Patwa, A N; Kroger, H; Grinstaff, M W; Jurvelin, J S; Toyras, J)\n\nFrom Duplicate 2 (Quantitative Dual Contrast CT Technique for Evaluation of Articular Cartilage Properties - Bhattarai, A; Honkanen, J T J; Myller, K A H; Prakash, M; Korhonen, M; Saukko, A E A; Viren, T; Joukainen, A; Patwa, A N; Kroger, H; Grinstaff, M W; Jurvelin, J S; Toyras, J)\n\nLR: 20180531; GR: 269315/Academy of Finland; GR: 307932/Academy of Finland; GR: VTR 5041757/Kuopion Yliopistollinen Sairaala; GR: 170033/Instrumentariumin Tiedesaatio; JID: 0361512; OTO: NOTNLM; 2017/12/19 00:00 [received]; 2018/03/21 00:00 [accepted]; 2018/04/15 06:00 [pubmed]; 2018/04/15 06:00 [medline]; 2018/04/15 06:00 [entrez]; ppublish\n\nFrom Duplicate 2 (Quantitative Dual Contrast CT Technique for Evaluation of Articular Cartilage Properties - Bhattarai, Abhisek; Honkanen, Juuso T J; Myller, Katariina A H; Prakash, M; Korhonen, M; Saukko, A E A; Viren, T; Joukainen, A; Patwa, A N; Kroger, H; Grinstaff, M W; Jurvelin, J S; Toyras, J)\n\nFrom Duplicate 2 (Quantitative Dual Contrast CT Technique for Evaluation of Articular Cartilage Properties - Bhattarai, A; Honkanen, J T J; Myller, K A H; Prakash, M; Korhonen, M; Saukko, A E A; Viren, T; Joukainen, A; Patwa, A N; Kroger, H; Grinstaff, M W; Jurvelin, J S; Toyras, J)\n\nLR: 20180531; GR: 269315/Academy of Finland; GR: 307932/Academy of Finland; GR: VTR 5041757/Kuopion Yliopistollinen Sairaala; GR: 170033/Instrumentariumin Tiedesaatio; JID: 0361512; OTO: NOTNLM; 2017/12/19 00:00 [received]; 2018/03/21 00:00 [accepted]; 2018/04/15 06:00 [pubmed]; 2018/04/15 06:00 [medline]; 2018/04/15 06:00 [entrez]; ppublish","page":"1038-1046","title":"Quantitative Dual Contrast CT Technique for Evaluation of Articular Cartilage Properties","type":"article-journal","volume":"46"},"uris":["http://www.mendeley.com/documents/?uuid=5f84b4bb-7d3d-47e8-bc3d-35fad7ffb5fd"]},{"id":"ITEM-2","itemData":{"DOI":"10.1002/jor.24256","ISSN":"1554-527X (Electronic)","PMID":"30816584","abstract":"Assessment of cartilage composition via tomographic imaging is critical after cartilage injury to prevent post-traumatic osteoarthritis. Diffusion of cationic contrast agents in cartilage is affected by proteoglycan loss and elevated water content. These changes have opposite effects on diffusion and, thereby, reduce the diagnostic accuracy of cationic agents. Here, we apply, for the first time, a clinical full-body CT for dual contrast imaging of articular cartilage. We hypothesize that full-body CT can simultaneously determine the diffusion and partitioning of cationic and non-ionic contrast agents and that normalization of the cationic agent partition with that of the non-ionic agent minimizes the effect of water content and tissue permeability, especially at early diffusion time points. Cylindrical (d = 8 mm) human osteochondral samples (n = 45; four cadavers) of a variable degenerative state were immersed in a mixture of cationic iodinated CA4+ and non-charged gadoteridol contrast agents and imaged with a full-body CT scanner at various time points. Determination of contrast agents' distributions within cartilage was possible at all phases of diffusion. At early time points, gadoteridol, and CA4+ distributed throughout cartilage with lower concentrations in the deep cartilage. At &gt;/=24 h, the gadoteridol concentration remained nearly constant, while the CA4+ concentration increased toward deep cartilage. Normalization of the CA4+ partition with that of gadoteridol significantly (p &lt; 0.05) enhanced correlation with proteoglycan content and Mankin score at the early time points. To conclude, the dual contrast technique was found advantageous over single contrast imaging enabling more sensitive diagnosis of cartilage degeneration. (c) 2019 The Authors. Journal of Orthopaedic Research Published by Wiley Periodicals, Inc. J Orthop Res 9999:1-12, 2019.","author":[{"dropping-particle":"","family":"Honkanen","given":"Miitu K.M.","non-dropping-particle":"","parse-names":false,"suffix":""},{"dropping-particle":"","family":"Matikka","given":"Hanna","non-dropping-particle":"","parse-names":false,"suffix":""},{"dropping-particle":"","family":"Honkanen","given":"Juuso T.J.","non-dropping-particle":"","parse-names":false,"suffix":""},{"dropping-particle":"","family":"Bhattarai","given":"Abhisek","non-dropping-particle":"","parse-names":false,"suffix":""},{"dropping-particle":"","family":"Grinstaff","given":"Mark W.","non-dropping-particle":"","parse-names":false,"suffix":""},{"dropping-particle":"","family":"Joukainen","given":"Antti","non-dropping-particle":"","parse-names":false,"suffix":""},{"dropping-particle":"","family":"Kröger","given":"Heikki","non-dropping-particle":"","parse-names":false,"suffix":""},{"dropping-particle":"","family":"Jurvelin","given":"Jukka S.","non-dropping-particle":"","parse-names":false,"suffix":""},{"dropping-particle":"","family":"Töyräs","given":"Juha","non-dropping-particle":"","parse-names":false,"suffix":""}],"container-title":"Journal of Orthopaedic Research","id":"ITEM-2","issue":"5","issued":{"date-parts":[["2019","2"]]},"language":"eng","page":"1059-1070","publisher-place":"United States","title":"Imaging of Proteoglycan and Water Contents in Human Articular Cartilage with Full-Body CT Using Dual Contrast Technique.","type":"article-journal","volume":"37"},"uris":["http://www.mendeley.com/documents/?uuid=04397c78-c97d-499a-b824-a65748bb989d"]}],"mendeley":{"formattedCitation":"&lt;sup&gt;10,11&lt;/sup&gt;","plainTextFormattedCitation":"10,11","previouslyFormattedCitation":"&lt;sup&gt;10,11&lt;/sup&gt;"},"properties":{"noteIndex":0},"schema":"https://github.com/citation-style-language/schema/raw/master/csl-citation.json"}</w:instrText>
      </w:r>
      <w:r w:rsidRPr="000A59F9">
        <w:rPr>
          <w:sz w:val="24"/>
          <w:lang w:val="fi-FI"/>
        </w:rPr>
        <w:fldChar w:fldCharType="separate"/>
      </w:r>
      <w:bookmarkStart w:id="21" w:name="__Fieldmark__875_3324262586"/>
      <w:bookmarkStart w:id="22" w:name="__Fieldmark__355_283366306"/>
      <w:bookmarkStart w:id="23" w:name="__Fieldmark__821_1076999677"/>
      <w:r w:rsidR="009A2F89" w:rsidRPr="000A59F9">
        <w:rPr>
          <w:noProof/>
          <w:sz w:val="24"/>
          <w:vertAlign w:val="superscript"/>
        </w:rPr>
        <w:t>10,11</w:t>
      </w:r>
      <w:r w:rsidRPr="000A59F9">
        <w:rPr>
          <w:sz w:val="24"/>
        </w:rPr>
        <w:fldChar w:fldCharType="end"/>
      </w:r>
      <w:bookmarkEnd w:id="21"/>
      <w:bookmarkEnd w:id="22"/>
      <w:bookmarkEnd w:id="23"/>
      <w:r w:rsidRPr="000A59F9">
        <w:rPr>
          <w:sz w:val="24"/>
        </w:rPr>
        <w:t>:</w:t>
      </w:r>
    </w:p>
    <w:p w14:paraId="37A5C44E" w14:textId="60C033BC" w:rsidR="00F87873" w:rsidRPr="000A59F9" w:rsidRDefault="00F87873" w:rsidP="00035D73">
      <w:pPr>
        <w:pStyle w:val="NoSpacing"/>
        <w:ind w:firstLine="284"/>
        <w:jc w:val="both"/>
        <w:rPr>
          <w:sz w:val="24"/>
        </w:rPr>
      </w:pPr>
    </w:p>
    <w:tbl>
      <w:tblPr>
        <w:tblW w:w="5000" w:type="pct"/>
        <w:tblLook w:val="04A0" w:firstRow="1" w:lastRow="0" w:firstColumn="1" w:lastColumn="0" w:noHBand="0" w:noVBand="1"/>
      </w:tblPr>
      <w:tblGrid>
        <w:gridCol w:w="8889"/>
        <w:gridCol w:w="749"/>
      </w:tblGrid>
      <w:tr w:rsidR="00F87873" w:rsidRPr="000A59F9" w14:paraId="7C20D647" w14:textId="3A508F25" w:rsidTr="003B5D37">
        <w:tc>
          <w:tcPr>
            <w:tcW w:w="9072" w:type="dxa"/>
            <w:vAlign w:val="center"/>
          </w:tcPr>
          <w:p w14:paraId="6D68A37F" w14:textId="3F7900E6" w:rsidR="00F87873" w:rsidRPr="000A59F9" w:rsidRDefault="00900BA6" w:rsidP="00035D73">
            <w:pPr>
              <w:pStyle w:val="NoSpacing"/>
              <w:ind w:firstLine="284"/>
              <w:jc w:val="both"/>
            </w:pPr>
            <m:oMathPara>
              <m:oMathParaPr>
                <m:jc m:val="center"/>
              </m:oMathParaPr>
              <m:oMath>
                <m:sSub>
                  <m:sSubPr>
                    <m:ctrlPr>
                      <w:rPr>
                        <w:rFonts w:ascii="Cambria Math" w:hAnsi="Cambria Math"/>
                      </w:rPr>
                    </m:ctrlPr>
                  </m:sSubPr>
                  <m:e>
                    <m:r>
                      <w:rPr>
                        <w:rFonts w:ascii="Cambria Math" w:hAnsi="Cambria Math"/>
                      </w:rPr>
                      <m:t>α</m:t>
                    </m:r>
                  </m:e>
                  <m:sub>
                    <m:r>
                      <w:rPr>
                        <w:rFonts w:ascii="Cambria Math" w:hAnsi="Cambria Math"/>
                      </w:rPr>
                      <m:t>E</m:t>
                    </m:r>
                  </m:sub>
                </m:sSub>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I</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I</m:t>
                    </m:r>
                    <m:r>
                      <w:rPr>
                        <w:rFonts w:ascii="Cambria Math" w:hAnsi="Cambria Math"/>
                      </w:rPr>
                      <m:t>,E</m:t>
                    </m:r>
                  </m:sub>
                </m:sSub>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Gd</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Gd</m:t>
                    </m:r>
                    <m:r>
                      <w:rPr>
                        <w:rFonts w:ascii="Cambria Math" w:hAnsi="Cambria Math"/>
                      </w:rPr>
                      <m:t>,E</m:t>
                    </m:r>
                  </m:sub>
                </m:sSub>
                <m:r>
                  <w:rPr>
                    <w:rFonts w:ascii="Cambria Math" w:hAnsi="Cambria Math"/>
                  </w:rPr>
                  <m:t>,</m:t>
                </m:r>
              </m:oMath>
            </m:oMathPara>
          </w:p>
        </w:tc>
        <w:tc>
          <w:tcPr>
            <w:tcW w:w="749" w:type="dxa"/>
            <w:vAlign w:val="bottom"/>
          </w:tcPr>
          <w:p w14:paraId="6255440F" w14:textId="3CA252D5" w:rsidR="00F87873" w:rsidRPr="000A59F9" w:rsidRDefault="00F87873" w:rsidP="00115B66">
            <w:pPr>
              <w:pStyle w:val="NoSpacing"/>
              <w:ind w:firstLine="284"/>
              <w:jc w:val="right"/>
              <w:rPr>
                <w:iCs/>
              </w:rPr>
            </w:pPr>
            <w:bookmarkStart w:id="24" w:name="_Ref4589273"/>
            <w:bookmarkStart w:id="25" w:name="_Ref535412048"/>
            <w:r w:rsidRPr="000A59F9">
              <w:rPr>
                <w:iCs/>
              </w:rPr>
              <w:t>(</w:t>
            </w:r>
            <w:r w:rsidRPr="000A59F9">
              <w:rPr>
                <w:iCs/>
                <w:lang w:val="fi-FI"/>
              </w:rPr>
              <w:fldChar w:fldCharType="begin"/>
            </w:r>
            <w:r w:rsidRPr="000A59F9">
              <w:rPr>
                <w:iCs/>
              </w:rPr>
              <w:instrText>SEQ Equation \* ARABIC</w:instrText>
            </w:r>
            <w:r w:rsidRPr="000A59F9">
              <w:rPr>
                <w:iCs/>
                <w:lang w:val="fi-FI"/>
              </w:rPr>
              <w:fldChar w:fldCharType="separate"/>
            </w:r>
            <w:r w:rsidRPr="000A59F9">
              <w:rPr>
                <w:iCs/>
                <w:noProof/>
              </w:rPr>
              <w:t>2</w:t>
            </w:r>
            <w:r w:rsidRPr="000A59F9">
              <w:fldChar w:fldCharType="end"/>
            </w:r>
            <w:bookmarkEnd w:id="24"/>
            <w:bookmarkEnd w:id="25"/>
            <w:r w:rsidRPr="000A59F9">
              <w:rPr>
                <w:iCs/>
              </w:rPr>
              <w:t>)</w:t>
            </w:r>
          </w:p>
        </w:tc>
      </w:tr>
    </w:tbl>
    <w:p w14:paraId="12C9520A" w14:textId="3F904925" w:rsidR="00F87873" w:rsidRPr="000A59F9" w:rsidRDefault="00F87873" w:rsidP="00115B66">
      <w:pPr>
        <w:pStyle w:val="NoSpacing"/>
        <w:ind w:firstLine="284"/>
        <w:jc w:val="both"/>
        <w:rPr>
          <w:sz w:val="24"/>
        </w:rPr>
      </w:pPr>
    </w:p>
    <w:p w14:paraId="505D0101" w14:textId="1A027FBB" w:rsidR="00F87873" w:rsidRPr="000A59F9" w:rsidRDefault="00F87873" w:rsidP="00035D73">
      <w:pPr>
        <w:pStyle w:val="NoSpacing"/>
        <w:jc w:val="both"/>
        <w:rPr>
          <w:sz w:val="24"/>
        </w:rPr>
      </w:pPr>
      <w:r w:rsidRPr="000A59F9">
        <w:rPr>
          <w:sz w:val="24"/>
        </w:rPr>
        <w:t xml:space="preserve">where </w:t>
      </w:r>
      <w:r w:rsidRPr="000A59F9">
        <w:rPr>
          <w:i/>
          <w:sz w:val="24"/>
        </w:rPr>
        <w:t>α</w:t>
      </w:r>
      <w:r w:rsidRPr="000A59F9">
        <w:rPr>
          <w:i/>
          <w:sz w:val="24"/>
          <w:vertAlign w:val="subscript"/>
        </w:rPr>
        <w:t>E</w:t>
      </w:r>
      <w:r w:rsidRPr="000A59F9">
        <w:rPr>
          <w:sz w:val="24"/>
        </w:rPr>
        <w:t xml:space="preserve"> is </w:t>
      </w:r>
      <w:r w:rsidR="003C2B58" w:rsidRPr="000A59F9">
        <w:rPr>
          <w:sz w:val="24"/>
        </w:rPr>
        <w:t>a</w:t>
      </w:r>
      <w:r w:rsidRPr="000A59F9">
        <w:rPr>
          <w:sz w:val="24"/>
        </w:rPr>
        <w:t xml:space="preserve"> </w:t>
      </w:r>
      <w:r w:rsidR="003101B9" w:rsidRPr="000A59F9">
        <w:rPr>
          <w:sz w:val="24"/>
        </w:rPr>
        <w:t xml:space="preserve">HU </w:t>
      </w:r>
      <w:r w:rsidR="00A901DD" w:rsidRPr="000A59F9">
        <w:rPr>
          <w:sz w:val="24"/>
        </w:rPr>
        <w:t>value</w:t>
      </w:r>
      <w:r w:rsidRPr="000A59F9">
        <w:rPr>
          <w:sz w:val="24"/>
        </w:rPr>
        <w:t xml:space="preserve"> at energy bin </w:t>
      </w:r>
      <w:r w:rsidRPr="000A59F9">
        <w:rPr>
          <w:i/>
          <w:sz w:val="24"/>
        </w:rPr>
        <w:t>E</w:t>
      </w:r>
      <w:r w:rsidRPr="000A59F9">
        <w:rPr>
          <w:sz w:val="24"/>
        </w:rPr>
        <w:t xml:space="preserve">, </w:t>
      </w:r>
      <w:r w:rsidRPr="000A59F9">
        <w:rPr>
          <w:i/>
          <w:sz w:val="24"/>
        </w:rPr>
        <w:t>C</w:t>
      </w:r>
      <w:r w:rsidRPr="000A59F9">
        <w:rPr>
          <w:sz w:val="24"/>
          <w:vertAlign w:val="subscript"/>
        </w:rPr>
        <w:t>I</w:t>
      </w:r>
      <w:r w:rsidRPr="000A59F9">
        <w:rPr>
          <w:sz w:val="24"/>
        </w:rPr>
        <w:t xml:space="preserve"> and </w:t>
      </w:r>
      <w:proofErr w:type="spellStart"/>
      <w:r w:rsidRPr="000A59F9">
        <w:rPr>
          <w:i/>
          <w:sz w:val="24"/>
        </w:rPr>
        <w:t>C</w:t>
      </w:r>
      <w:r w:rsidRPr="000A59F9">
        <w:rPr>
          <w:sz w:val="24"/>
          <w:vertAlign w:val="subscript"/>
        </w:rPr>
        <w:t>Gd</w:t>
      </w:r>
      <w:proofErr w:type="spellEnd"/>
      <w:r w:rsidRPr="000A59F9">
        <w:rPr>
          <w:sz w:val="24"/>
        </w:rPr>
        <w:t xml:space="preserve"> are the concentrations of iodine and gadolinium, respectively, and </w:t>
      </w:r>
      <w:r w:rsidRPr="000A59F9">
        <w:rPr>
          <w:i/>
          <w:sz w:val="24"/>
        </w:rPr>
        <w:t>µ</w:t>
      </w:r>
      <w:r w:rsidRPr="000A59F9">
        <w:rPr>
          <w:sz w:val="24"/>
          <w:vertAlign w:val="subscript"/>
        </w:rPr>
        <w:t>I,</w:t>
      </w:r>
      <w:r w:rsidRPr="000A59F9">
        <w:rPr>
          <w:i/>
          <w:sz w:val="24"/>
          <w:vertAlign w:val="subscript"/>
        </w:rPr>
        <w:t>E</w:t>
      </w:r>
      <w:r w:rsidRPr="000A59F9">
        <w:rPr>
          <w:sz w:val="24"/>
        </w:rPr>
        <w:t xml:space="preserve"> and </w:t>
      </w:r>
      <w:r w:rsidRPr="000A59F9">
        <w:rPr>
          <w:i/>
          <w:sz w:val="24"/>
        </w:rPr>
        <w:t>µ</w:t>
      </w:r>
      <w:proofErr w:type="spellStart"/>
      <w:r w:rsidRPr="000A59F9">
        <w:rPr>
          <w:sz w:val="24"/>
          <w:vertAlign w:val="subscript"/>
        </w:rPr>
        <w:t>Gd,</w:t>
      </w:r>
      <w:r w:rsidRPr="000A59F9">
        <w:rPr>
          <w:i/>
          <w:sz w:val="24"/>
          <w:vertAlign w:val="subscript"/>
        </w:rPr>
        <w:t>E</w:t>
      </w:r>
      <w:proofErr w:type="spellEnd"/>
      <w:r w:rsidRPr="000A59F9">
        <w:rPr>
          <w:sz w:val="24"/>
        </w:rPr>
        <w:t xml:space="preserve"> are the measured mass attenuation coefficients for iodine and gadolinium at energy bin </w:t>
      </w:r>
      <w:r w:rsidRPr="000A59F9">
        <w:rPr>
          <w:i/>
          <w:sz w:val="24"/>
        </w:rPr>
        <w:t>E</w:t>
      </w:r>
      <w:r w:rsidRPr="000A59F9">
        <w:rPr>
          <w:sz w:val="24"/>
        </w:rPr>
        <w:t>.</w:t>
      </w:r>
      <w:bookmarkEnd w:id="20"/>
      <w:r w:rsidRPr="000A59F9">
        <w:rPr>
          <w:sz w:val="24"/>
        </w:rPr>
        <w:t xml:space="preserve">  The used energy bins were LE and HE. By applying these energy bins to the equation </w:t>
      </w:r>
      <w:r w:rsidRPr="000A59F9">
        <w:rPr>
          <w:sz w:val="24"/>
          <w:lang w:val="fi-FI"/>
        </w:rPr>
        <w:fldChar w:fldCharType="begin"/>
      </w:r>
      <w:r w:rsidRPr="000A59F9">
        <w:rPr>
          <w:sz w:val="24"/>
        </w:rPr>
        <w:instrText xml:space="preserve">REF _Ref4589273 \h \* MERGEFORMAT </w:instrText>
      </w:r>
      <w:r w:rsidRPr="000A59F9">
        <w:rPr>
          <w:sz w:val="24"/>
          <w:lang w:val="fi-FI"/>
        </w:rPr>
      </w:r>
      <w:r w:rsidRPr="000A59F9">
        <w:rPr>
          <w:sz w:val="24"/>
          <w:lang w:val="fi-FI"/>
        </w:rPr>
        <w:fldChar w:fldCharType="separate"/>
      </w:r>
      <w:r w:rsidRPr="000A59F9">
        <w:rPr>
          <w:bCs/>
          <w:sz w:val="24"/>
        </w:rPr>
        <w:t>(</w:t>
      </w:r>
      <w:r w:rsidRPr="000A59F9">
        <w:rPr>
          <w:sz w:val="24"/>
        </w:rPr>
        <w:t>2</w:t>
      </w:r>
      <w:r w:rsidRPr="000A59F9">
        <w:rPr>
          <w:sz w:val="24"/>
        </w:rPr>
        <w:fldChar w:fldCharType="end"/>
      </w:r>
      <w:r w:rsidRPr="000A59F9">
        <w:rPr>
          <w:sz w:val="24"/>
        </w:rPr>
        <w:t>), the CA4+ and gadoteridol concentrations can be solved as follows:</w:t>
      </w:r>
    </w:p>
    <w:p w14:paraId="1AFC661F" w14:textId="3E0FC7B2" w:rsidR="00F87873" w:rsidRPr="000A59F9" w:rsidRDefault="00F87873" w:rsidP="009C3CF2">
      <w:pPr>
        <w:pStyle w:val="NoSpacing"/>
        <w:ind w:firstLine="284"/>
        <w:jc w:val="both"/>
        <w:rPr>
          <w:sz w:val="24"/>
        </w:rPr>
      </w:pPr>
    </w:p>
    <w:tbl>
      <w:tblPr>
        <w:tblW w:w="5000" w:type="pct"/>
        <w:tblLook w:val="04A0" w:firstRow="1" w:lastRow="0" w:firstColumn="1" w:lastColumn="0" w:noHBand="0" w:noVBand="1"/>
      </w:tblPr>
      <w:tblGrid>
        <w:gridCol w:w="8889"/>
        <w:gridCol w:w="749"/>
      </w:tblGrid>
      <w:tr w:rsidR="00F87873" w:rsidRPr="000A59F9" w14:paraId="5040F5BF" w14:textId="00B12B72" w:rsidTr="003B5D37">
        <w:tc>
          <w:tcPr>
            <w:tcW w:w="8931" w:type="dxa"/>
            <w:vAlign w:val="center"/>
          </w:tcPr>
          <w:p w14:paraId="5FE6762C" w14:textId="0412C1A8" w:rsidR="00F87873" w:rsidRPr="000A59F9" w:rsidRDefault="00900BA6" w:rsidP="00DD7BFA">
            <w:pPr>
              <w:pStyle w:val="NoSpacing"/>
              <w:ind w:firstLine="284"/>
              <w:jc w:val="both"/>
            </w:pPr>
            <m:oMathPara>
              <m:oMathParaPr>
                <m:jc m:val="center"/>
              </m:oMathParaPr>
              <m:oMath>
                <m:sSub>
                  <m:sSubPr>
                    <m:ctrlPr>
                      <w:rPr>
                        <w:rFonts w:ascii="Cambria Math" w:hAnsi="Cambria Math"/>
                      </w:rPr>
                    </m:ctrlPr>
                  </m:sSubPr>
                  <m:e>
                    <m:r>
                      <w:rPr>
                        <w:rFonts w:ascii="Cambria Math" w:hAnsi="Cambria Math"/>
                      </w:rPr>
                      <m:t>C</m:t>
                    </m:r>
                  </m:e>
                  <m:sub>
                    <m:r>
                      <m:rPr>
                        <m:sty m:val="p"/>
                      </m:rPr>
                      <w:rPr>
                        <w:rFonts w:ascii="Cambria Math" w:hAnsi="Cambria Math"/>
                      </w:rPr>
                      <m:t>I</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α</m:t>
                        </m:r>
                      </m:e>
                      <m:sub>
                        <m:r>
                          <w:rPr>
                            <w:rFonts w:ascii="Cambria Math" w:hAnsi="Cambria Math"/>
                          </w:rPr>
                          <m:t>LE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Gd</m:t>
                        </m:r>
                        <m:r>
                          <w:rPr>
                            <w:rFonts w:ascii="Cambria Math" w:hAnsi="Cambria Math"/>
                          </w:rPr>
                          <m:t>,HE</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HE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Gd</m:t>
                        </m:r>
                        <m:r>
                          <w:rPr>
                            <w:rFonts w:ascii="Cambria Math" w:hAnsi="Cambria Math"/>
                          </w:rPr>
                          <m:t>,LE</m:t>
                        </m:r>
                      </m:sub>
                    </m:sSub>
                  </m:num>
                  <m:den>
                    <m:sSub>
                      <m:sSubPr>
                        <m:ctrlPr>
                          <w:rPr>
                            <w:rFonts w:ascii="Cambria Math" w:hAnsi="Cambria Math"/>
                          </w:rPr>
                        </m:ctrlPr>
                      </m:sSubPr>
                      <m:e>
                        <m:r>
                          <w:rPr>
                            <w:rFonts w:ascii="Cambria Math" w:hAnsi="Cambria Math"/>
                          </w:rPr>
                          <m:t>μ</m:t>
                        </m:r>
                      </m:e>
                      <m:sub>
                        <m:r>
                          <m:rPr>
                            <m:sty m:val="p"/>
                          </m:rPr>
                          <w:rPr>
                            <w:rFonts w:ascii="Cambria Math" w:hAnsi="Cambria Math"/>
                          </w:rPr>
                          <m:t>I</m:t>
                        </m:r>
                        <m:r>
                          <w:rPr>
                            <w:rFonts w:ascii="Cambria Math" w:hAnsi="Cambria Math"/>
                          </w:rPr>
                          <m:t>,LE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Gd</m:t>
                        </m:r>
                        <m:r>
                          <w:rPr>
                            <w:rFonts w:ascii="Cambria Math" w:hAnsi="Cambria Math"/>
                          </w:rPr>
                          <m:t>,HE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I</m:t>
                        </m:r>
                        <m:r>
                          <w:rPr>
                            <w:rFonts w:ascii="Cambria Math" w:hAnsi="Cambria Math"/>
                          </w:rPr>
                          <m:t>,HE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Gd</m:t>
                        </m:r>
                        <m:r>
                          <w:rPr>
                            <w:rFonts w:ascii="Cambria Math" w:hAnsi="Cambria Math"/>
                          </w:rPr>
                          <m:t>,LE</m:t>
                        </m:r>
                      </m:sub>
                    </m:sSub>
                  </m:den>
                </m:f>
                <m:r>
                  <w:rPr>
                    <w:rFonts w:ascii="Cambria Math" w:hAnsi="Cambria Math"/>
                  </w:rPr>
                  <m:t>,</m:t>
                </m:r>
              </m:oMath>
            </m:oMathPara>
          </w:p>
        </w:tc>
        <w:tc>
          <w:tcPr>
            <w:tcW w:w="749" w:type="dxa"/>
            <w:vAlign w:val="bottom"/>
          </w:tcPr>
          <w:p w14:paraId="275057B1" w14:textId="239E084D" w:rsidR="00F87873" w:rsidRPr="000A59F9" w:rsidRDefault="00F87873" w:rsidP="00115B66">
            <w:pPr>
              <w:pStyle w:val="NoSpacing"/>
              <w:ind w:firstLine="284"/>
              <w:jc w:val="right"/>
              <w:rPr>
                <w:iCs/>
              </w:rPr>
            </w:pPr>
            <w:r w:rsidRPr="000A59F9">
              <w:rPr>
                <w:iCs/>
              </w:rPr>
              <w:t>(</w:t>
            </w:r>
            <w:r w:rsidRPr="000A59F9">
              <w:rPr>
                <w:iCs/>
                <w:lang w:val="fi-FI"/>
              </w:rPr>
              <w:fldChar w:fldCharType="begin"/>
            </w:r>
            <w:r w:rsidRPr="000A59F9">
              <w:rPr>
                <w:iCs/>
              </w:rPr>
              <w:instrText>SEQ Equation \* ARABIC</w:instrText>
            </w:r>
            <w:r w:rsidRPr="000A59F9">
              <w:rPr>
                <w:iCs/>
                <w:lang w:val="fi-FI"/>
              </w:rPr>
              <w:fldChar w:fldCharType="separate"/>
            </w:r>
            <w:r w:rsidRPr="000A59F9">
              <w:rPr>
                <w:iCs/>
                <w:noProof/>
              </w:rPr>
              <w:t>3</w:t>
            </w:r>
            <w:r w:rsidRPr="000A59F9">
              <w:fldChar w:fldCharType="end"/>
            </w:r>
            <w:r w:rsidRPr="000A59F9">
              <w:rPr>
                <w:iCs/>
              </w:rPr>
              <w:t>)</w:t>
            </w:r>
          </w:p>
        </w:tc>
      </w:tr>
      <w:tr w:rsidR="00F87873" w:rsidRPr="000A59F9" w14:paraId="6CDBB4B4" w14:textId="370781A5" w:rsidTr="003B5D37">
        <w:tc>
          <w:tcPr>
            <w:tcW w:w="8931" w:type="dxa"/>
            <w:vAlign w:val="center"/>
          </w:tcPr>
          <w:p w14:paraId="67206F0F" w14:textId="555B2381" w:rsidR="00F87873" w:rsidRPr="000A59F9" w:rsidRDefault="00900BA6" w:rsidP="009C3CF2">
            <w:pPr>
              <w:pStyle w:val="NoSpacing"/>
              <w:ind w:firstLine="284"/>
              <w:jc w:val="both"/>
            </w:pPr>
            <m:oMathPara>
              <m:oMathParaPr>
                <m:jc m:val="center"/>
              </m:oMathParaPr>
              <m:oMath>
                <m:sSub>
                  <m:sSubPr>
                    <m:ctrlPr>
                      <w:rPr>
                        <w:rFonts w:ascii="Cambria Math" w:hAnsi="Cambria Math"/>
                      </w:rPr>
                    </m:ctrlPr>
                  </m:sSubPr>
                  <m:e>
                    <m:r>
                      <w:rPr>
                        <w:rFonts w:ascii="Cambria Math" w:hAnsi="Cambria Math"/>
                      </w:rPr>
                      <m:t>C</m:t>
                    </m:r>
                  </m:e>
                  <m:sub>
                    <m:r>
                      <m:rPr>
                        <m:sty m:val="p"/>
                      </m:rPr>
                      <w:rPr>
                        <w:rFonts w:ascii="Cambria Math" w:hAnsi="Cambria Math"/>
                      </w:rPr>
                      <m:t>Gd</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α</m:t>
                        </m:r>
                      </m:e>
                      <m:sub>
                        <m:r>
                          <w:rPr>
                            <w:rFonts w:ascii="Cambria Math" w:hAnsi="Cambria Math"/>
                          </w:rPr>
                          <m:t>LE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I</m:t>
                        </m:r>
                        <m:r>
                          <w:rPr>
                            <w:rFonts w:ascii="Cambria Math" w:hAnsi="Cambria Math"/>
                          </w:rPr>
                          <m:t>,HE</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HE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I</m:t>
                        </m:r>
                        <m:r>
                          <w:rPr>
                            <w:rFonts w:ascii="Cambria Math" w:hAnsi="Cambria Math"/>
                          </w:rPr>
                          <m:t>,LE</m:t>
                        </m:r>
                      </m:sub>
                    </m:sSub>
                  </m:num>
                  <m:den>
                    <m:sSub>
                      <m:sSubPr>
                        <m:ctrlPr>
                          <w:rPr>
                            <w:rFonts w:ascii="Cambria Math" w:hAnsi="Cambria Math"/>
                          </w:rPr>
                        </m:ctrlPr>
                      </m:sSubPr>
                      <m:e>
                        <m:r>
                          <w:rPr>
                            <w:rFonts w:ascii="Cambria Math" w:hAnsi="Cambria Math"/>
                          </w:rPr>
                          <m:t>μ</m:t>
                        </m:r>
                      </m:e>
                      <m:sub>
                        <m:r>
                          <m:rPr>
                            <m:sty m:val="p"/>
                          </m:rPr>
                          <w:rPr>
                            <w:rFonts w:ascii="Cambria Math" w:hAnsi="Cambria Math"/>
                          </w:rPr>
                          <m:t>Gd</m:t>
                        </m:r>
                        <m:r>
                          <w:rPr>
                            <w:rFonts w:ascii="Cambria Math" w:hAnsi="Cambria Math"/>
                          </w:rPr>
                          <m:t>,LE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I</m:t>
                        </m:r>
                        <m:r>
                          <w:rPr>
                            <w:rFonts w:ascii="Cambria Math" w:hAnsi="Cambria Math"/>
                          </w:rPr>
                          <m:t>,HE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Gd</m:t>
                        </m:r>
                        <m:r>
                          <w:rPr>
                            <w:rFonts w:ascii="Cambria Math" w:hAnsi="Cambria Math"/>
                          </w:rPr>
                          <m:t>,HE</m:t>
                        </m:r>
                      </m:sub>
                    </m:sSub>
                    <m:r>
                      <w:rPr>
                        <w:rFonts w:ascii="Cambria Math" w:hAnsi="Cambria Math"/>
                      </w:rPr>
                      <m:t>·</m:t>
                    </m:r>
                    <m:sSub>
                      <m:sSubPr>
                        <m:ctrlPr>
                          <w:rPr>
                            <w:rFonts w:ascii="Cambria Math" w:hAnsi="Cambria Math"/>
                          </w:rPr>
                        </m:ctrlPr>
                      </m:sSubPr>
                      <m:e>
                        <m:r>
                          <w:rPr>
                            <w:rFonts w:ascii="Cambria Math" w:hAnsi="Cambria Math"/>
                          </w:rPr>
                          <m:t>μ</m:t>
                        </m:r>
                      </m:e>
                      <m:sub>
                        <m:r>
                          <m:rPr>
                            <m:sty m:val="p"/>
                          </m:rPr>
                          <w:rPr>
                            <w:rFonts w:ascii="Cambria Math" w:hAnsi="Cambria Math"/>
                          </w:rPr>
                          <m:t>I</m:t>
                        </m:r>
                        <m:r>
                          <w:rPr>
                            <w:rFonts w:ascii="Cambria Math" w:hAnsi="Cambria Math"/>
                          </w:rPr>
                          <m:t>,LE</m:t>
                        </m:r>
                      </m:sub>
                    </m:sSub>
                  </m:den>
                </m:f>
                <m:r>
                  <w:rPr>
                    <w:rFonts w:ascii="Cambria Math" w:hAnsi="Cambria Math"/>
                  </w:rPr>
                  <m:t>.</m:t>
                </m:r>
              </m:oMath>
            </m:oMathPara>
          </w:p>
        </w:tc>
        <w:tc>
          <w:tcPr>
            <w:tcW w:w="749" w:type="dxa"/>
            <w:vAlign w:val="bottom"/>
          </w:tcPr>
          <w:p w14:paraId="62518803" w14:textId="0FFB4EB7" w:rsidR="00F87873" w:rsidRPr="000A59F9" w:rsidRDefault="00F87873" w:rsidP="00115B66">
            <w:pPr>
              <w:pStyle w:val="NoSpacing"/>
              <w:ind w:firstLine="284"/>
              <w:jc w:val="right"/>
              <w:rPr>
                <w:iCs/>
              </w:rPr>
            </w:pPr>
            <w:r w:rsidRPr="000A59F9">
              <w:rPr>
                <w:iCs/>
              </w:rPr>
              <w:t>(</w:t>
            </w:r>
            <w:r w:rsidRPr="000A59F9">
              <w:rPr>
                <w:iCs/>
                <w:lang w:val="fi-FI"/>
              </w:rPr>
              <w:fldChar w:fldCharType="begin"/>
            </w:r>
            <w:r w:rsidRPr="000A59F9">
              <w:rPr>
                <w:iCs/>
              </w:rPr>
              <w:instrText>SEQ Equation \* ARABIC</w:instrText>
            </w:r>
            <w:r w:rsidRPr="000A59F9">
              <w:rPr>
                <w:iCs/>
                <w:lang w:val="fi-FI"/>
              </w:rPr>
              <w:fldChar w:fldCharType="separate"/>
            </w:r>
            <w:r w:rsidRPr="000A59F9">
              <w:rPr>
                <w:iCs/>
                <w:noProof/>
              </w:rPr>
              <w:t>4</w:t>
            </w:r>
            <w:r w:rsidRPr="000A59F9">
              <w:fldChar w:fldCharType="end"/>
            </w:r>
            <w:r w:rsidRPr="000A59F9">
              <w:rPr>
                <w:iCs/>
              </w:rPr>
              <w:t>)</w:t>
            </w:r>
          </w:p>
        </w:tc>
      </w:tr>
    </w:tbl>
    <w:p w14:paraId="43B04085" w14:textId="1A66507C" w:rsidR="00F87873" w:rsidRPr="000A59F9" w:rsidRDefault="00F87873" w:rsidP="00F87873">
      <w:pPr>
        <w:pStyle w:val="NoSpacing"/>
        <w:ind w:firstLine="284"/>
        <w:jc w:val="both"/>
        <w:rPr>
          <w:sz w:val="24"/>
        </w:rPr>
      </w:pPr>
    </w:p>
    <w:p w14:paraId="5BA81425" w14:textId="452A7D02" w:rsidR="00F87873" w:rsidRPr="000A59F9" w:rsidRDefault="00082EE9" w:rsidP="009C3CF2">
      <w:pPr>
        <w:pStyle w:val="NoSpacing"/>
        <w:ind w:firstLine="284"/>
        <w:jc w:val="both"/>
        <w:rPr>
          <w:sz w:val="24"/>
        </w:rPr>
      </w:pPr>
      <w:r w:rsidRPr="000A59F9">
        <w:rPr>
          <w:sz w:val="24"/>
        </w:rPr>
        <w:t>Subsequently, t</w:t>
      </w:r>
      <w:r w:rsidR="00F87873" w:rsidRPr="000A59F9">
        <w:rPr>
          <w:sz w:val="24"/>
        </w:rPr>
        <w:t>he contrast agent concentrations in the cartilage were transformed into contrast agent partitions by dividing the measured concentration with that of the surrounding contrast agent bath. The diffusion related decrease of the contrast agent concentrations in the surrounding bath was taken into consideration and calculated using the following equation:</w:t>
      </w:r>
    </w:p>
    <w:p w14:paraId="5A19A382" w14:textId="34ED1B5C" w:rsidR="00F87873" w:rsidRPr="000A59F9" w:rsidRDefault="00F87873" w:rsidP="00483469">
      <w:pPr>
        <w:pStyle w:val="NoSpacing"/>
        <w:ind w:firstLine="284"/>
        <w:jc w:val="both"/>
        <w:rPr>
          <w:sz w:val="24"/>
        </w:rPr>
      </w:pPr>
    </w:p>
    <w:tbl>
      <w:tblPr>
        <w:tblW w:w="5000" w:type="pct"/>
        <w:tblLook w:val="04A0" w:firstRow="1" w:lastRow="0" w:firstColumn="1" w:lastColumn="0" w:noHBand="0" w:noVBand="1"/>
      </w:tblPr>
      <w:tblGrid>
        <w:gridCol w:w="8889"/>
        <w:gridCol w:w="749"/>
      </w:tblGrid>
      <w:tr w:rsidR="00F87873" w:rsidRPr="000A59F9" w14:paraId="0D51AA66" w14:textId="0DE5D12E" w:rsidTr="003B5D37">
        <w:tc>
          <w:tcPr>
            <w:tcW w:w="8931" w:type="dxa"/>
            <w:vAlign w:val="center"/>
          </w:tcPr>
          <w:p w14:paraId="24A2AACA" w14:textId="515226E7" w:rsidR="00F87873" w:rsidRPr="000A59F9" w:rsidRDefault="00900BA6" w:rsidP="00483469">
            <w:pPr>
              <w:pStyle w:val="NoSpacing"/>
              <w:ind w:firstLine="284"/>
              <w:jc w:val="both"/>
            </w:pPr>
            <m:oMathPara>
              <m:oMathParaPr>
                <m:jc m:val="center"/>
              </m:oMathParaPr>
              <m:oMath>
                <m:sSub>
                  <m:sSubPr>
                    <m:ctrlPr>
                      <w:rPr>
                        <w:rFonts w:ascii="Cambria Math" w:hAnsi="Cambria Math"/>
                      </w:rPr>
                    </m:ctrlPr>
                  </m:sSubPr>
                  <m:e>
                    <m:r>
                      <w:rPr>
                        <w:rFonts w:ascii="Cambria Math" w:hAnsi="Cambria Math"/>
                      </w:rPr>
                      <m:t>C</m:t>
                    </m:r>
                  </m:e>
                  <m:sub>
                    <m:r>
                      <m:rPr>
                        <m:sty m:val="p"/>
                      </m:rPr>
                      <w:rPr>
                        <w:rFonts w:ascii="Cambria Math" w:hAnsi="Cambria Math"/>
                      </w:rPr>
                      <m:t>Bath</m:t>
                    </m:r>
                  </m:sub>
                </m:sSub>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Bath</m:t>
                    </m:r>
                    <m:r>
                      <w:rPr>
                        <w:rFonts w:ascii="Cambria Math" w:hAnsi="Cambria Math"/>
                      </w:rPr>
                      <m:t>,0</m:t>
                    </m:r>
                  </m:sub>
                </m:sSub>
                <m:r>
                  <w:rPr>
                    <w:rFonts w:ascii="Cambria Math" w:hAnsi="Cambria Math"/>
                  </w:rPr>
                  <m:t>-</m:t>
                </m:r>
                <m:sSub>
                  <m:sSubPr>
                    <m:ctrlPr>
                      <w:rPr>
                        <w:rFonts w:ascii="Cambria Math" w:hAnsi="Cambria Math"/>
                      </w:rPr>
                    </m:ctrlPr>
                  </m:sSubPr>
                  <m:e>
                    <m:r>
                      <w:rPr>
                        <w:rFonts w:ascii="Cambria Math" w:hAnsi="Cambria Math"/>
                      </w:rPr>
                      <m:t>C</m:t>
                    </m:r>
                  </m:e>
                  <m:sub>
                    <m:r>
                      <m:rPr>
                        <m:sty m:val="p"/>
                      </m:rPr>
                      <w:rPr>
                        <w:rFonts w:ascii="Cambria Math" w:hAnsi="Cambria Math"/>
                      </w:rPr>
                      <m:t>AC</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AC</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Bath</m:t>
                        </m:r>
                      </m:sub>
                    </m:sSub>
                  </m:den>
                </m:f>
                <m:r>
                  <w:rPr>
                    <w:rFonts w:ascii="Cambria Math" w:hAnsi="Cambria Math"/>
                  </w:rPr>
                  <m:t>,</m:t>
                </m:r>
              </m:oMath>
            </m:oMathPara>
          </w:p>
        </w:tc>
        <w:tc>
          <w:tcPr>
            <w:tcW w:w="749" w:type="dxa"/>
            <w:vAlign w:val="bottom"/>
          </w:tcPr>
          <w:p w14:paraId="0F7EC4D4" w14:textId="71B6D3BC" w:rsidR="00F87873" w:rsidRPr="000A59F9" w:rsidRDefault="00F87873" w:rsidP="00115B66">
            <w:pPr>
              <w:pStyle w:val="NoSpacing"/>
              <w:ind w:firstLine="284"/>
              <w:jc w:val="right"/>
              <w:rPr>
                <w:iCs/>
              </w:rPr>
            </w:pPr>
            <w:bookmarkStart w:id="26" w:name="_Ref6230691"/>
            <w:r w:rsidRPr="000A59F9">
              <w:rPr>
                <w:iCs/>
              </w:rPr>
              <w:t>(</w:t>
            </w:r>
            <w:r w:rsidRPr="000A59F9">
              <w:rPr>
                <w:iCs/>
                <w:lang w:val="fi-FI"/>
              </w:rPr>
              <w:fldChar w:fldCharType="begin"/>
            </w:r>
            <w:r w:rsidRPr="000A59F9">
              <w:rPr>
                <w:iCs/>
              </w:rPr>
              <w:instrText>SEQ Equation \* ARABIC</w:instrText>
            </w:r>
            <w:r w:rsidRPr="000A59F9">
              <w:rPr>
                <w:iCs/>
                <w:lang w:val="fi-FI"/>
              </w:rPr>
              <w:fldChar w:fldCharType="separate"/>
            </w:r>
            <w:r w:rsidRPr="000A59F9">
              <w:rPr>
                <w:iCs/>
                <w:noProof/>
              </w:rPr>
              <w:t>5</w:t>
            </w:r>
            <w:r w:rsidRPr="000A59F9">
              <w:fldChar w:fldCharType="end"/>
            </w:r>
            <w:bookmarkEnd w:id="26"/>
            <w:r w:rsidRPr="000A59F9">
              <w:rPr>
                <w:iCs/>
              </w:rPr>
              <w:t>)</w:t>
            </w:r>
          </w:p>
        </w:tc>
      </w:tr>
    </w:tbl>
    <w:p w14:paraId="1102B312" w14:textId="44968B2E" w:rsidR="00F87873" w:rsidRPr="000A59F9" w:rsidRDefault="00F87873" w:rsidP="009C3CF2">
      <w:pPr>
        <w:pStyle w:val="NoSpacing"/>
        <w:ind w:firstLine="284"/>
        <w:jc w:val="both"/>
        <w:rPr>
          <w:sz w:val="24"/>
        </w:rPr>
      </w:pPr>
    </w:p>
    <w:p w14:paraId="2F9C6CDE" w14:textId="2A8C0DEE" w:rsidR="00F87873" w:rsidRPr="000A59F9" w:rsidRDefault="00F87873" w:rsidP="00115B66">
      <w:pPr>
        <w:pStyle w:val="NoSpacing"/>
        <w:jc w:val="both"/>
        <w:rPr>
          <w:sz w:val="24"/>
        </w:rPr>
      </w:pPr>
      <w:r w:rsidRPr="000A59F9">
        <w:rPr>
          <w:sz w:val="24"/>
        </w:rPr>
        <w:t xml:space="preserve">where </w:t>
      </w:r>
      <w:proofErr w:type="spellStart"/>
      <w:r w:rsidRPr="000A59F9">
        <w:rPr>
          <w:i/>
          <w:sz w:val="24"/>
        </w:rPr>
        <w:t>C</w:t>
      </w:r>
      <w:r w:rsidRPr="000A59F9">
        <w:rPr>
          <w:sz w:val="24"/>
          <w:vertAlign w:val="subscript"/>
        </w:rPr>
        <w:t>Bath</w:t>
      </w:r>
      <w:proofErr w:type="spellEnd"/>
      <w:r w:rsidRPr="000A59F9">
        <w:rPr>
          <w:sz w:val="24"/>
        </w:rPr>
        <w:t xml:space="preserve"> is the concentration of the corresponding contrast agent in the bath, </w:t>
      </w:r>
      <w:r w:rsidRPr="000A59F9">
        <w:rPr>
          <w:i/>
          <w:iCs/>
          <w:sz w:val="24"/>
        </w:rPr>
        <w:t>C</w:t>
      </w:r>
      <w:r w:rsidRPr="000A59F9">
        <w:rPr>
          <w:sz w:val="24"/>
          <w:vertAlign w:val="subscript"/>
        </w:rPr>
        <w:t>Bath,0</w:t>
      </w:r>
      <w:r w:rsidRPr="000A59F9">
        <w:rPr>
          <w:sz w:val="24"/>
        </w:rPr>
        <w:t xml:space="preserve"> is the initial concentration of the bath, </w:t>
      </w:r>
      <w:proofErr w:type="spellStart"/>
      <w:r w:rsidRPr="000A59F9">
        <w:rPr>
          <w:i/>
          <w:sz w:val="24"/>
        </w:rPr>
        <w:t>V</w:t>
      </w:r>
      <w:r w:rsidRPr="000A59F9">
        <w:rPr>
          <w:sz w:val="24"/>
          <w:vertAlign w:val="subscript"/>
        </w:rPr>
        <w:t>Bath</w:t>
      </w:r>
      <w:proofErr w:type="spellEnd"/>
      <w:r w:rsidRPr="000A59F9">
        <w:rPr>
          <w:sz w:val="24"/>
        </w:rPr>
        <w:t xml:space="preserve"> is the volume of the bath, </w:t>
      </w:r>
      <w:r w:rsidRPr="000A59F9">
        <w:rPr>
          <w:i/>
          <w:sz w:val="24"/>
        </w:rPr>
        <w:t>C</w:t>
      </w:r>
      <w:r w:rsidRPr="000A59F9">
        <w:rPr>
          <w:sz w:val="24"/>
          <w:vertAlign w:val="subscript"/>
        </w:rPr>
        <w:t>AC</w:t>
      </w:r>
      <w:r w:rsidRPr="000A59F9">
        <w:rPr>
          <w:sz w:val="24"/>
        </w:rPr>
        <w:t xml:space="preserve"> is the concentration of the contrast </w:t>
      </w:r>
      <w:r w:rsidRPr="000A59F9">
        <w:rPr>
          <w:sz w:val="24"/>
        </w:rPr>
        <w:lastRenderedPageBreak/>
        <w:t xml:space="preserve">agent in the articular cartilage at a given time, and </w:t>
      </w:r>
      <w:r w:rsidRPr="000A59F9">
        <w:rPr>
          <w:i/>
          <w:sz w:val="24"/>
        </w:rPr>
        <w:t>V</w:t>
      </w:r>
      <w:r w:rsidRPr="000A59F9">
        <w:rPr>
          <w:sz w:val="24"/>
          <w:vertAlign w:val="subscript"/>
        </w:rPr>
        <w:t>AC</w:t>
      </w:r>
      <w:r w:rsidRPr="000A59F9">
        <w:rPr>
          <w:sz w:val="24"/>
        </w:rPr>
        <w:t xml:space="preserve"> is the volume of the cartilage estimated from the CT images.</w:t>
      </w:r>
    </w:p>
    <w:p w14:paraId="4191453C" w14:textId="2BD5C6C2" w:rsidR="004A22A5" w:rsidRPr="000A59F9" w:rsidRDefault="00F87873" w:rsidP="008C0942">
      <w:pPr>
        <w:pStyle w:val="NoSpacing"/>
        <w:ind w:firstLine="284"/>
        <w:jc w:val="both"/>
        <w:rPr>
          <w:sz w:val="24"/>
        </w:rPr>
      </w:pPr>
      <w:r w:rsidRPr="000A59F9">
        <w:rPr>
          <w:sz w:val="24"/>
        </w:rPr>
        <w:t xml:space="preserve">The cartilage was segmented from the TE (30-100 keV) reconstructed images using Seg3D (ver. 2.4.3, CIBC, University of Utah, Salt Lake City, UT, USA). Cartilage surface, bone-cartilage interface, and a center point between these were recorded. The segmented cartilages were rotated so that the articular surface would be positioned on the axial plane, therefore, all the samples were oriented </w:t>
      </w:r>
      <w:r w:rsidR="003C2B58" w:rsidRPr="000A59F9">
        <w:rPr>
          <w:sz w:val="24"/>
        </w:rPr>
        <w:t xml:space="preserve">the </w:t>
      </w:r>
      <w:r w:rsidRPr="000A59F9">
        <w:rPr>
          <w:sz w:val="24"/>
        </w:rPr>
        <w:t>same way. The volume-of-interest (VOI) for each sample was chosen based on the segmentation by selecting a point in the middle of the segmented surface of the cartilage and taking 20 pixels × 20 pixels (approximately 1.74 mm × 1.74 mm) square region-of-interest (ROI) around this point. This was used for all the depthwise slices of the cartilage (</w:t>
      </w:r>
      <w:r w:rsidR="0015513C" w:rsidRPr="000A59F9">
        <w:rPr>
          <w:sz w:val="24"/>
        </w:rPr>
        <w:t xml:space="preserve">Manuscript </w:t>
      </w:r>
      <w:r w:rsidRPr="000A59F9">
        <w:rPr>
          <w:sz w:val="24"/>
        </w:rPr>
        <w:t xml:space="preserve">Fig. </w:t>
      </w:r>
      <w:r w:rsidR="00752990" w:rsidRPr="000A59F9">
        <w:rPr>
          <w:sz w:val="24"/>
        </w:rPr>
        <w:t>4</w:t>
      </w:r>
      <w:r w:rsidRPr="000A59F9">
        <w:rPr>
          <w:sz w:val="24"/>
        </w:rPr>
        <w:t xml:space="preserve">f and </w:t>
      </w:r>
      <w:r w:rsidR="00752990" w:rsidRPr="000A59F9">
        <w:rPr>
          <w:sz w:val="24"/>
        </w:rPr>
        <w:t>4</w:t>
      </w:r>
      <w:r w:rsidRPr="000A59F9">
        <w:rPr>
          <w:sz w:val="24"/>
        </w:rPr>
        <w:t>g)</w:t>
      </w:r>
      <w:r w:rsidRPr="000A59F9">
        <w:rPr>
          <w:sz w:val="24"/>
        </w:rPr>
        <w:fldChar w:fldCharType="begin" w:fldLock="1"/>
      </w:r>
      <w:r w:rsidR="00485E7C" w:rsidRPr="000A59F9">
        <w:rPr>
          <w:sz w:val="24"/>
        </w:rPr>
        <w:instrText>ADDIN CSL_CITATION {"citationItems":[{"id":"ITEM-1","itemData":{"DOI":"10.1007/s10439-017-1916-3","ISBN":"1573-9686","PMID":"28924827","abstract":"Cartilage injuries may be detected using contrast-enhanced computed tomography (CECT) by observing variations in distribution of anionic contrast agent within cartilage. Currently, clinical CECT enables detection of injuries and related post-traumatic degeneration based on two subsequent CT scans. The first scan allows segmentation of articular surfaces and lesions while the latter scan allows evaluation of tissue properties. Segmentation of articular surfaces from the latter scan is difficult since the contrast agent diffusion diminishes the image contrast at surfaces. We hypothesize that this can be overcome by mixing anionic contrast agent (ioxaglate) with bismuth oxide nanoparticles (BINPs) too large to diffuse into cartilage, inducing a high contrast at the surfaces. Here, a dual contrast method employing this mixture is evaluated by determining the depth-wise X-ray attenuation profiles in intact, enzymatically degraded, and mechanically injured osteochondral samples (n = 3 x 10) using a microCT immediately and at 45 min after immersion in contrast agent. BiNPs were unable to diffuse into cartilage, producing high contrast at articular surfaces. Ioxaglate enabled the detection of enzymatic and mechanical degeneration. In conclusion, the dual contrast method allowed detection of injuries and degeneration simultaneously with accurate cartilage segmentation using a single scan conducted at 45 min after contrast agent administration.","author":[{"dropping-particle":"","family":"Saukko","given":"A E A","non-dropping-particle":"","parse-names":false,"suffix":""},{"dropping-particle":"","family":"Honkanen","given":"J T J","non-dropping-particle":"","parse-names":false,"suffix":""},{"dropping-particle":"","family":"Xu","given":"W","non-dropping-particle":"","parse-names":false,"suffix":""},{"dropping-particle":"","family":"Vaananen","given":"S P","non-dropping-particle":"","parse-names":false,"suffix":""},{"dropping-particle":"","family":"Jurvelin","given":"J S","non-dropping-particle":"","parse-names":false,"suffix":""},{"dropping-particle":"","family":"Lehto","given":"V P","non-dropping-particle":"","parse-names":false,"suffix":""},{"dropping-particle":"","family":"Toyras","given":"J","non-dropping-particle":"","parse-names":false,"suffix":""}],"container-title":"Annals of Biomedical Engineering","id":"ITEM-1","issue":"12","issued":{"date-parts":[["2017","9"]]},"note":"From Duplicate 1 (Dual Contrast CT Method Enables Diagnostics of Cartilage Injuries and Degeneration Using a Single CT Image - Saukko, A E A; Honkanen, J T J; Xu, W; Vaananen, S P; Jurvelin, J S; Lehto, V P; Toyras, J)\n\nFrom Duplicate 1 (Dual Contrast CT Method Enables Diagnostics of Cartilage Injuries and Degeneration Using a Single CT Image - Saukko, A E A; Honkanen, J T J; Xu, W; Vaananen, S P; Jurvelin, J S; Lehto, V P; Toyras, J)\n\nFrom Duplicate 1 (Dual Contrast CT Method Enables Diagnostics of Cartilage Injuries and Degeneration Using a Single CT Image - Saukko, A E A; Honkanen, J T J; Xu, W; Vaananen, S P; Jurvelin, J S; Lehto, V P; Toyras, J)\n\nLR: 20180215; GR: 269315/Luonnontieteiden ja Tekniikan Tutkimuksen Toimikunta/International; GR: 288531/Luonnontieteiden ja Tekniikan Tutkimuksen Toimikunta/International; GR: VTR 5041746/Kuopion Yliopistollinen Sairaala/International; GR: PY 210/Kuopion Yliopistollinen Sairaala/International; JID: 0361512; 0 (Contrast Media); A6I4E79QF1 (bismuth oxide); U015TT5I8H (Bismuth); Z40X7EI2AF (Ioxaglic Acid); OTO: NOTNLM; 2017/02/24 00:00 [received]; 2017/09/01 00:00 [accepted]; 2017/09/20 06:00 [pubmed]; 2018/01/30 06:00 [medline]; 2017/09/20 06:00 [entrez]; ppublish\n\nFrom Duplicate 2 (Dual Contrast CT Method Enables Diagnostics of Cartilage Injuries and Degeneration Using a Single CT Image - Saukko, A E A; Honkanen, J T J; Xu, W; Vaananen, S P; Jurvelin, J S; Lehto, V P; Toyras, J)\n\nFrom Duplicate 1 (Dual Contrast CT Method Enables Diagnostics of Cartilage Injuries and Degeneration Using a Single CT Image - Saukko, A E A; Honkanen, J T J; Xu, W; Vaananen, S P; Jurvelin, J S; Lehto, V P; Toyras, J)\n\nLR: 20180215; GR: 269315/Luonnontieteiden ja Tekniikan Tutkimuksen Toimikunta/International; GR: 288531/Luonnontieteiden ja Tekniikan Tutkimuksen Toimikunta/International; GR: VTR 5041746/Kuopion Yliopistollinen Sairaala/International; GR: PY 210/Kuopion Yliopistollinen Sairaala/International; JID: 0361512; 0 (Contrast Media); A6I4E79QF1 (bismuth oxide); U015TT5I8H (Bismuth); Z40X7EI2AF (Ioxaglic Acid); OTO: NOTNLM; 2017/02/24 00:00 [received]; 2017/09/01 00:00 [accepted]; 2017/09/20 06:00 [pubmed]; 2018/01/30 06:00 [medline]; 2017/09/20 06:00 [entrez]; ppublish","page":"2857-2866","title":"Dual Contrast CT Method Enables Diagnostics of Cartilage Injuries and Degeneration Using a Single CT Image","type":"article-journal","volume":"45"},"uris":["http://www.mendeley.com/documents/?uuid=fd0ed464-0047-480a-8011-3fe529e36d63"]}],"mendeley":{"formattedCitation":"&lt;sup&gt;12&lt;/sup&gt;","plainTextFormattedCitation":"12","previouslyFormattedCitation":"&lt;sup&gt;12&lt;/sup&gt;"},"properties":{"noteIndex":0},"schema":"https://github.com/citation-style-language/schema/raw/master/csl-citation.json"}</w:instrText>
      </w:r>
      <w:r w:rsidRPr="000A59F9">
        <w:rPr>
          <w:sz w:val="24"/>
        </w:rPr>
        <w:fldChar w:fldCharType="separate"/>
      </w:r>
      <w:r w:rsidR="00E571F7" w:rsidRPr="000A59F9">
        <w:rPr>
          <w:noProof/>
          <w:sz w:val="24"/>
          <w:vertAlign w:val="superscript"/>
        </w:rPr>
        <w:t>12</w:t>
      </w:r>
      <w:r w:rsidRPr="000A59F9">
        <w:rPr>
          <w:sz w:val="24"/>
        </w:rPr>
        <w:fldChar w:fldCharType="end"/>
      </w:r>
      <w:r w:rsidRPr="000A59F9">
        <w:rPr>
          <w:sz w:val="24"/>
        </w:rPr>
        <w:t>. After this, each ROI was averaged, and a depthwise profile was formed. All the profiles were interpolated to 100 points. The average cartilage thickness was 2.87 ± 0.63 mm, and this yielded approximately 33 ± 7 pixels for full cartilage thickness. Normalized CA4+ profile was acquired by dividing the CA4+ profile pointwise with the corresponding gadoteridol profile.</w:t>
      </w:r>
    </w:p>
    <w:p w14:paraId="680CD53D" w14:textId="38DB0E46" w:rsidR="002F6189" w:rsidRPr="000A59F9" w:rsidRDefault="002F6189" w:rsidP="002F6189">
      <w:pPr>
        <w:pStyle w:val="NoSpacing"/>
        <w:jc w:val="both"/>
        <w:rPr>
          <w:sz w:val="24"/>
        </w:rPr>
      </w:pPr>
    </w:p>
    <w:p w14:paraId="5B0EFDA5" w14:textId="77777777" w:rsidR="00ED1700" w:rsidRPr="000A59F9" w:rsidRDefault="00ED1700" w:rsidP="00ED1700">
      <w:pPr>
        <w:pStyle w:val="NoSpacing"/>
        <w:rPr>
          <w:i/>
          <w:iCs/>
          <w:sz w:val="24"/>
        </w:rPr>
      </w:pPr>
      <w:bookmarkStart w:id="27" w:name="_Hlk53606377"/>
      <w:r w:rsidRPr="000A59F9">
        <w:rPr>
          <w:i/>
          <w:iCs/>
          <w:sz w:val="24"/>
        </w:rPr>
        <w:t>Three-Material Decomposition Analysis</w:t>
      </w:r>
    </w:p>
    <w:p w14:paraId="692583BF" w14:textId="5C618ABA" w:rsidR="00ED1700" w:rsidRPr="000A59F9" w:rsidRDefault="00ED1700" w:rsidP="00B6214C">
      <w:pPr>
        <w:pStyle w:val="NoSpacing"/>
        <w:ind w:firstLine="284"/>
        <w:jc w:val="both"/>
        <w:rPr>
          <w:sz w:val="24"/>
        </w:rPr>
      </w:pPr>
      <w:r w:rsidRPr="000A59F9">
        <w:rPr>
          <w:sz w:val="24"/>
        </w:rPr>
        <w:t>We applied a three-material decomposition</w:t>
      </w:r>
      <w:r w:rsidR="005D682F" w:rsidRPr="000A59F9">
        <w:rPr>
          <w:sz w:val="24"/>
        </w:rPr>
        <w:t xml:space="preserve"> method</w:t>
      </w:r>
      <w:r w:rsidR="009A1475" w:rsidRPr="000A59F9">
        <w:rPr>
          <w:sz w:val="24"/>
        </w:rPr>
        <w:t>, i.e. iodine, gadolinium, and bone,</w:t>
      </w:r>
      <w:r w:rsidR="005D682F" w:rsidRPr="000A59F9">
        <w:rPr>
          <w:sz w:val="24"/>
        </w:rPr>
        <w:t xml:space="preserve"> </w:t>
      </w:r>
      <w:r w:rsidR="00E30C3F" w:rsidRPr="000A59F9">
        <w:rPr>
          <w:sz w:val="24"/>
        </w:rPr>
        <w:t xml:space="preserve">for one sample </w:t>
      </w:r>
      <w:r w:rsidRPr="000A59F9">
        <w:rPr>
          <w:sz w:val="24"/>
        </w:rPr>
        <w:t>to test how well our concentration estimation method works near</w:t>
      </w:r>
      <w:r w:rsidR="00473BCD" w:rsidRPr="000A59F9">
        <w:rPr>
          <w:sz w:val="24"/>
        </w:rPr>
        <w:t xml:space="preserve"> the</w:t>
      </w:r>
      <w:r w:rsidRPr="000A59F9">
        <w:rPr>
          <w:sz w:val="24"/>
        </w:rPr>
        <w:t xml:space="preserve"> subchondral bone. For this proof-of-concept evaluation, we adopted a method </w:t>
      </w:r>
      <w:r w:rsidR="00E30C3F" w:rsidRPr="000A59F9">
        <w:rPr>
          <w:sz w:val="24"/>
        </w:rPr>
        <w:t>of</w:t>
      </w:r>
      <w:r w:rsidRPr="000A59F9">
        <w:rPr>
          <w:sz w:val="24"/>
        </w:rPr>
        <w:t xml:space="preserve"> Tao et al.</w:t>
      </w:r>
      <w:r w:rsidRPr="000A59F9">
        <w:rPr>
          <w:sz w:val="24"/>
        </w:rPr>
        <w:fldChar w:fldCharType="begin" w:fldLock="1"/>
      </w:r>
      <w:r w:rsidR="00485E7C" w:rsidRPr="000A59F9">
        <w:rPr>
          <w:sz w:val="24"/>
        </w:rPr>
        <w:instrText>ADDIN CSL_CITATION {"citationItems":[{"id":"ITEM-1","itemData":{"DOI":"10.1088/1361-6560/aadc90","ISSN":"13616560","PMID":"30136655","abstract":"Dual- or multi-energy CT, also known as spectral CT, obtains x-ray attenuation measurements at two or more energy spectra, allowing quantification of materials with different compositions. This process is known as material decomposition, which is the basis for a number of spectral CT applications. The conventional image-domain basis material decomposition is based on a least-squares fitting between the underlying material-specific images and the measured source spectral CT images (i.e. energy-bin or energy-threshold CT images), and a non-iterative solution based on matrix inversion can be derived for this process. However, due to its ill-conditioned nature, the material decomposition process is intrinsically susceptible to noise amplification. Hence, material-specific images can be contaminated by the presence of strong noise, which compromises the conspicuity of small objects, and hinders the delineation of anatomical regions of interest and associated pathology. In this work, we describe an image domain material decomposition framework with prior knowledge aware iterative denoising (MD-PKAID). The proposed framework exploits the structural redundancy between the individual material-specific images and the source spectral CT images to retain structural details in denoised material-specific images. It directly treats material decomposition as a regularized optimization problem with spectral CT images measured with different energy spectra as inputs. Phantom, in vivo animal and human data were acquired on a research whole-body photon-counting-detector-based CT system and a dual-source, dual-energy CT system to test the proposed method. The phantom results show that the proposed MD-PKAID can reduce the root-mean-square-error of basis material quantification by 75% compared to the standard material decomposition based on matrix inversion, while preserving structural details and image resolution in the material-specific images. The initial in vivo results demonstrate that the proposed method can improve delineation of small vasculature features in iodine-specific images while reducing image noise.","author":[{"dropping-particle":"","family":"Tao","given":"Shengzhen","non-dropping-particle":"","parse-names":false,"suffix":""},{"dropping-particle":"","family":"Rajendran","given":"Kishore","non-dropping-particle":"","parse-names":false,"suffix":""},{"dropping-particle":"","family":"McCollough","given":"Cynthia H.","non-dropping-particle":"","parse-names":false,"suffix":""},{"dropping-particle":"","family":"Leng","given":"Shuai","non-dropping-particle":"","parse-names":false,"suffix":""}],"container-title":"Physics in Medicine and Biology","id":"ITEM-1","issue":"19","issued":{"date-parts":[["2018","9"]]},"language":"eng","page":"195003","publisher":"IOP Publishing","publisher-place":"England","title":"Material decomposition with prior knowledge aware iterative denoising (MD-PKAID)","type":"article-journal","volume":"63"},"uris":["http://www.mendeley.com/documents/?uuid=27cd7d04-2881-4d96-a5a8-b9f293f96357"]}],"mendeley":{"formattedCitation":"&lt;sup&gt;13&lt;/sup&gt;","plainTextFormattedCitation":"13","previouslyFormattedCitation":"&lt;sup&gt;13&lt;/sup&gt;"},"properties":{"noteIndex":0},"schema":"https://github.com/citation-style-language/schema/raw/master/csl-citation.json"}</w:instrText>
      </w:r>
      <w:r w:rsidRPr="000A59F9">
        <w:rPr>
          <w:sz w:val="24"/>
        </w:rPr>
        <w:fldChar w:fldCharType="separate"/>
      </w:r>
      <w:r w:rsidRPr="000A59F9">
        <w:rPr>
          <w:noProof/>
          <w:sz w:val="24"/>
          <w:vertAlign w:val="superscript"/>
        </w:rPr>
        <w:t>13</w:t>
      </w:r>
      <w:r w:rsidRPr="000A59F9">
        <w:rPr>
          <w:sz w:val="24"/>
        </w:rPr>
        <w:fldChar w:fldCharType="end"/>
      </w:r>
      <w:r w:rsidRPr="000A59F9">
        <w:rPr>
          <w:sz w:val="24"/>
        </w:rPr>
        <w:t>, which uses an additional constraints for estimation of the third</w:t>
      </w:r>
      <w:r w:rsidR="00186B48" w:rsidRPr="000A59F9">
        <w:rPr>
          <w:sz w:val="24"/>
        </w:rPr>
        <w:t xml:space="preserve"> basis</w:t>
      </w:r>
      <w:r w:rsidRPr="000A59F9">
        <w:rPr>
          <w:sz w:val="24"/>
        </w:rPr>
        <w:t xml:space="preserve"> material:</w:t>
      </w:r>
    </w:p>
    <w:p w14:paraId="5F3C2A4D" w14:textId="77777777" w:rsidR="00ED1700" w:rsidRPr="000A59F9" w:rsidRDefault="00ED1700" w:rsidP="00ED1700">
      <w:pPr>
        <w:pStyle w:val="NoSpacing"/>
        <w:jc w:val="both"/>
        <w:rPr>
          <w:sz w:val="24"/>
        </w:rPr>
      </w:pPr>
    </w:p>
    <w:tbl>
      <w:tblPr>
        <w:tblW w:w="5347" w:type="pct"/>
        <w:tblLook w:val="04A0" w:firstRow="1" w:lastRow="0" w:firstColumn="1" w:lastColumn="0" w:noHBand="0" w:noVBand="1"/>
      </w:tblPr>
      <w:tblGrid>
        <w:gridCol w:w="9072"/>
        <w:gridCol w:w="1235"/>
      </w:tblGrid>
      <w:tr w:rsidR="00ED1700" w:rsidRPr="000A59F9" w14:paraId="3291E34C" w14:textId="77777777" w:rsidTr="00902B69">
        <w:tc>
          <w:tcPr>
            <w:tcW w:w="9072" w:type="dxa"/>
            <w:vAlign w:val="center"/>
          </w:tcPr>
          <w:bookmarkStart w:id="28" w:name="_Hlk53606406"/>
          <w:p w14:paraId="222FA5BD" w14:textId="0D2331F9" w:rsidR="00ED1700" w:rsidRPr="000A59F9" w:rsidRDefault="00900BA6" w:rsidP="00902B69">
            <w:pPr>
              <w:pStyle w:val="PlainText"/>
              <w:jc w:val="both"/>
            </w:pPr>
            <m:oMathPara>
              <m:oMathParaPr>
                <m:jc m:val="center"/>
              </m:oMathParaPr>
              <m:oMath>
                <m:sSub>
                  <m:sSubPr>
                    <m:ctrlPr>
                      <w:rPr>
                        <w:rFonts w:ascii="Cambria Math" w:hAnsi="Cambria Math"/>
                      </w:rPr>
                    </m:ctrlPr>
                  </m:sSubPr>
                  <m:e>
                    <m:r>
                      <w:rPr>
                        <w:rFonts w:ascii="Cambria Math" w:hAnsi="Cambria Math"/>
                      </w:rPr>
                      <m:t>C</m:t>
                    </m:r>
                  </m:e>
                  <m:sub>
                    <m:r>
                      <w:rPr>
                        <w:rFonts w:ascii="Cambria Math" w:hAnsi="Cambria Math"/>
                      </w:rPr>
                      <m:t>Bone</m:t>
                    </m:r>
                  </m:sub>
                </m:sSub>
                <m:r>
                  <m:rPr>
                    <m:sty m:val="p"/>
                  </m:rP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Bone</m:t>
                    </m:r>
                  </m:sub>
                </m:sSub>
                <m:d>
                  <m:dPr>
                    <m:ctrlPr>
                      <w:rPr>
                        <w:rFonts w:ascii="Cambria Math" w:hAnsi="Cambria Math"/>
                        <w:i/>
                      </w:rPr>
                    </m:ctrlPr>
                  </m:dPr>
                  <m:e>
                    <m:r>
                      <w:rPr>
                        <w:rFonts w:ascii="Cambria Math" w:hAnsi="Cambria Math"/>
                      </w:rPr>
                      <m:t>1-</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I</m:t>
                                </m:r>
                              </m:sub>
                            </m:sSub>
                          </m:num>
                          <m:den>
                            <m:sSub>
                              <m:sSubPr>
                                <m:ctrlPr>
                                  <w:rPr>
                                    <w:rFonts w:ascii="Cambria Math" w:hAnsi="Cambria Math"/>
                                    <w:i/>
                                  </w:rPr>
                                </m:ctrlPr>
                              </m:sSubPr>
                              <m:e>
                                <m:r>
                                  <w:rPr>
                                    <w:rFonts w:ascii="Cambria Math" w:hAnsi="Cambria Math"/>
                                  </w:rPr>
                                  <m:t>ρ</m:t>
                                </m:r>
                              </m:e>
                              <m:sub>
                                <m:r>
                                  <w:rPr>
                                    <w:rFonts w:ascii="Cambria Math" w:hAnsi="Cambria Math"/>
                                  </w:rPr>
                                  <m:t>I</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C</m:t>
                                </m:r>
                              </m:e>
                              <m:sub>
                                <m:r>
                                  <w:rPr>
                                    <w:rFonts w:ascii="Cambria Math" w:hAnsi="Cambria Math"/>
                                  </w:rPr>
                                  <m:t>Gd</m:t>
                                </m:r>
                              </m:sub>
                            </m:sSub>
                          </m:num>
                          <m:den>
                            <m:sSub>
                              <m:sSubPr>
                                <m:ctrlPr>
                                  <w:rPr>
                                    <w:rFonts w:ascii="Cambria Math" w:hAnsi="Cambria Math"/>
                                    <w:i/>
                                  </w:rPr>
                                </m:ctrlPr>
                              </m:sSubPr>
                              <m:e>
                                <m:r>
                                  <w:rPr>
                                    <w:rFonts w:ascii="Cambria Math" w:hAnsi="Cambria Math"/>
                                  </w:rPr>
                                  <m:t>ρ</m:t>
                                </m:r>
                              </m:e>
                              <m:sub>
                                <m:r>
                                  <w:rPr>
                                    <w:rFonts w:ascii="Cambria Math" w:hAnsi="Cambria Math"/>
                                  </w:rPr>
                                  <m:t>Gd</m:t>
                                </m:r>
                              </m:sub>
                            </m:sSub>
                          </m:den>
                        </m:f>
                      </m:e>
                    </m:d>
                    <m:r>
                      <w:rPr>
                        <w:rFonts w:ascii="Cambria Math" w:hAnsi="Cambria Math"/>
                      </w:rPr>
                      <m:t xml:space="preserve"> </m:t>
                    </m:r>
                  </m:e>
                </m:d>
                <m:r>
                  <m:rPr>
                    <m:sty m:val="b"/>
                  </m:rPr>
                  <w:rPr>
                    <w:rFonts w:ascii="Cambria Math" w:hAnsi="Cambria Math"/>
                  </w:rPr>
                  <m:t>,</m:t>
                </m:r>
              </m:oMath>
            </m:oMathPara>
          </w:p>
        </w:tc>
        <w:tc>
          <w:tcPr>
            <w:tcW w:w="1235" w:type="dxa"/>
            <w:vAlign w:val="bottom"/>
          </w:tcPr>
          <w:p w14:paraId="18F60E5E" w14:textId="77777777" w:rsidR="00ED1700" w:rsidRPr="000A59F9" w:rsidRDefault="00ED1700" w:rsidP="00902B69">
            <w:pPr>
              <w:pStyle w:val="PlainText"/>
              <w:ind w:left="176"/>
              <w:jc w:val="both"/>
            </w:pPr>
            <w:r w:rsidRPr="000A59F9">
              <w:t>(6)</w:t>
            </w:r>
          </w:p>
        </w:tc>
      </w:tr>
      <w:bookmarkEnd w:id="28"/>
    </w:tbl>
    <w:p w14:paraId="21C9A876" w14:textId="77777777" w:rsidR="00ED1700" w:rsidRPr="000A59F9" w:rsidRDefault="00ED1700" w:rsidP="00ED1700">
      <w:pPr>
        <w:pStyle w:val="NoSpacing"/>
        <w:jc w:val="both"/>
        <w:rPr>
          <w:sz w:val="24"/>
        </w:rPr>
      </w:pPr>
    </w:p>
    <w:p w14:paraId="50508624" w14:textId="0D346D14" w:rsidR="00ED1700" w:rsidRPr="000A59F9" w:rsidRDefault="00ED1700" w:rsidP="00ED1700">
      <w:pPr>
        <w:pStyle w:val="PlainText"/>
        <w:jc w:val="both"/>
        <w:rPr>
          <w:rFonts w:cs="Calibri"/>
          <w:sz w:val="24"/>
          <w:szCs w:val="22"/>
        </w:rPr>
      </w:pPr>
      <w:r w:rsidRPr="000A59F9">
        <w:rPr>
          <w:sz w:val="24"/>
          <w:szCs w:val="22"/>
        </w:rPr>
        <w:t xml:space="preserve">where the </w:t>
      </w:r>
      <w:proofErr w:type="spellStart"/>
      <w:r w:rsidRPr="000A59F9">
        <w:rPr>
          <w:rFonts w:cs="Calibri"/>
          <w:i/>
          <w:sz w:val="24"/>
          <w:szCs w:val="22"/>
        </w:rPr>
        <w:t>ρ</w:t>
      </w:r>
      <w:r w:rsidRPr="000A59F9">
        <w:rPr>
          <w:rFonts w:cs="Calibri"/>
          <w:i/>
          <w:sz w:val="24"/>
          <w:szCs w:val="22"/>
          <w:vertAlign w:val="subscript"/>
        </w:rPr>
        <w:t>i</w:t>
      </w:r>
      <w:proofErr w:type="spellEnd"/>
      <w:r w:rsidRPr="000A59F9">
        <w:rPr>
          <w:rFonts w:cs="Calibri"/>
          <w:sz w:val="24"/>
          <w:szCs w:val="22"/>
        </w:rPr>
        <w:t xml:space="preserve"> denotes the mass density of the </w:t>
      </w:r>
      <w:proofErr w:type="spellStart"/>
      <w:r w:rsidRPr="000A59F9">
        <w:rPr>
          <w:rFonts w:cs="Calibri"/>
          <w:i/>
          <w:sz w:val="24"/>
          <w:szCs w:val="22"/>
        </w:rPr>
        <w:t>i</w:t>
      </w:r>
      <w:r w:rsidRPr="000A59F9">
        <w:rPr>
          <w:rFonts w:cs="Calibri"/>
          <w:sz w:val="24"/>
          <w:szCs w:val="22"/>
          <w:vertAlign w:val="superscript"/>
        </w:rPr>
        <w:t>th</w:t>
      </w:r>
      <w:proofErr w:type="spellEnd"/>
      <w:r w:rsidRPr="000A59F9">
        <w:rPr>
          <w:rFonts w:cs="Calibri"/>
          <w:sz w:val="24"/>
          <w:szCs w:val="22"/>
        </w:rPr>
        <w:t xml:space="preserve"> basis material. We applied this proof-of-concept method for one cartilage sample, and interestingly we were able to demonstrate that the method could be used for differentiation between contrast enhanced deep zone and the calcified cartilage/bone (Fig. S2).</w:t>
      </w:r>
      <w:r w:rsidR="00E30C3F" w:rsidRPr="000A59F9">
        <w:rPr>
          <w:rFonts w:cs="Calibri"/>
          <w:sz w:val="24"/>
          <w:szCs w:val="22"/>
        </w:rPr>
        <w:t xml:space="preserve"> The concentration estimation for CA4+ did start decreasing around the border of cartilage and calcified cartilage, i.e. from approx. 70 mg/mL to approx. 15 mg/mL, and the bone concentration estimation increased from approx. 197 mg/cm</w:t>
      </w:r>
      <w:r w:rsidR="00E30C3F" w:rsidRPr="000A59F9">
        <w:rPr>
          <w:rFonts w:cs="Calibri"/>
          <w:sz w:val="24"/>
          <w:szCs w:val="22"/>
          <w:vertAlign w:val="superscript"/>
        </w:rPr>
        <w:t>3</w:t>
      </w:r>
      <w:r w:rsidR="00E30C3F" w:rsidRPr="000A59F9">
        <w:rPr>
          <w:rFonts w:cs="Calibri"/>
          <w:sz w:val="24"/>
          <w:szCs w:val="22"/>
        </w:rPr>
        <w:t xml:space="preserve"> to approx. 199 mg/cm</w:t>
      </w:r>
      <w:r w:rsidR="00E30C3F" w:rsidRPr="000A59F9">
        <w:rPr>
          <w:rFonts w:cs="Calibri"/>
          <w:sz w:val="24"/>
          <w:szCs w:val="22"/>
          <w:vertAlign w:val="superscript"/>
        </w:rPr>
        <w:t>3</w:t>
      </w:r>
      <w:r w:rsidR="00E30C3F" w:rsidRPr="000A59F9">
        <w:rPr>
          <w:rFonts w:cs="Calibri"/>
          <w:sz w:val="24"/>
          <w:szCs w:val="22"/>
        </w:rPr>
        <w:t>.</w:t>
      </w:r>
    </w:p>
    <w:bookmarkEnd w:id="27"/>
    <w:p w14:paraId="73008DC7" w14:textId="2965BEE7" w:rsidR="009D297A" w:rsidRDefault="009D297A" w:rsidP="002F6189">
      <w:pPr>
        <w:pStyle w:val="NoSpacing"/>
        <w:jc w:val="both"/>
        <w:rPr>
          <w:sz w:val="24"/>
        </w:rPr>
      </w:pPr>
    </w:p>
    <w:p w14:paraId="3F59797D" w14:textId="0B1FA22C" w:rsidR="002E4BFB" w:rsidRPr="002E4BFB" w:rsidRDefault="002E4BFB" w:rsidP="002E4BFB">
      <w:pPr>
        <w:pStyle w:val="NoSpacing"/>
        <w:rPr>
          <w:i/>
          <w:iCs/>
          <w:sz w:val="24"/>
        </w:rPr>
      </w:pPr>
      <w:r w:rsidRPr="000A59F9">
        <w:rPr>
          <w:i/>
          <w:iCs/>
          <w:sz w:val="24"/>
        </w:rPr>
        <w:t>Th</w:t>
      </w:r>
      <w:r>
        <w:rPr>
          <w:i/>
          <w:iCs/>
          <w:sz w:val="24"/>
        </w:rPr>
        <w:t>e Spatial Resolution and Modulation Transfer Function</w:t>
      </w:r>
      <w:r w:rsidRPr="000A59F9">
        <w:rPr>
          <w:i/>
          <w:iCs/>
          <w:sz w:val="24"/>
        </w:rPr>
        <w:t xml:space="preserve"> Analysis</w:t>
      </w:r>
    </w:p>
    <w:p w14:paraId="2D7AFA9D" w14:textId="053A3EE4" w:rsidR="002F6189" w:rsidRPr="000A59F9" w:rsidRDefault="002E4BFB" w:rsidP="002F6189">
      <w:pPr>
        <w:pStyle w:val="NoSpacing"/>
        <w:jc w:val="both"/>
        <w:rPr>
          <w:sz w:val="24"/>
        </w:rPr>
      </w:pPr>
      <w:r w:rsidRPr="002E4BFB">
        <w:rPr>
          <w:sz w:val="24"/>
        </w:rPr>
        <w:t xml:space="preserve">The spatial resolution of the imaging system was estimated by measuring the modulation transfer function (MTF) from a total energy slice images of the high contrast iodine tube (C = 72 </w:t>
      </w:r>
      <w:proofErr w:type="spellStart"/>
      <w:r w:rsidRPr="002E4BFB">
        <w:rPr>
          <w:sz w:val="24"/>
        </w:rPr>
        <w:t>I·mg</w:t>
      </w:r>
      <w:proofErr w:type="spellEnd"/>
      <w:r w:rsidRPr="002E4BFB">
        <w:rPr>
          <w:sz w:val="24"/>
        </w:rPr>
        <w:t>/mL). The edge spread function (ESF) was determined from the high contrast target radially from five adjacent slices yielding a total of 40 profiles. The profiles were averaged, and the line spread function (LSF) was estimated by taking a derivate of the ESF. Finally, the upsampled MTF was estimated from the normalized Fourier transform magnitude of the zero-padded LSF profile. The MTF50% and MTF10% values for the PCD-CT system were 2.43 1/mm and 4.27 1/mm, respectively</w:t>
      </w:r>
      <w:r w:rsidR="00672350">
        <w:rPr>
          <w:sz w:val="24"/>
        </w:rPr>
        <w:t xml:space="preserve"> (Fig. S3).</w:t>
      </w:r>
    </w:p>
    <w:p w14:paraId="11C3EE85" w14:textId="6D2CE1C9" w:rsidR="00DD783A" w:rsidRDefault="00DD783A" w:rsidP="002F6189">
      <w:pPr>
        <w:pStyle w:val="NoSpacing"/>
        <w:jc w:val="both"/>
        <w:rPr>
          <w:sz w:val="24"/>
        </w:rPr>
      </w:pPr>
    </w:p>
    <w:p w14:paraId="5CAC76E9" w14:textId="527C1BB6" w:rsidR="00964DC4" w:rsidRPr="000A59F9" w:rsidRDefault="00964DC4" w:rsidP="00964DC4">
      <w:pPr>
        <w:rPr>
          <w:sz w:val="24"/>
        </w:rPr>
      </w:pPr>
      <w:r>
        <w:rPr>
          <w:sz w:val="24"/>
        </w:rPr>
        <w:br w:type="page"/>
      </w:r>
    </w:p>
    <w:p w14:paraId="4F5D79F9" w14:textId="282B6843" w:rsidR="002F6189" w:rsidRPr="000A59F9" w:rsidRDefault="002F6189" w:rsidP="00E00D64">
      <w:pPr>
        <w:pStyle w:val="NoSpacing"/>
        <w:spacing w:after="120"/>
        <w:rPr>
          <w:b/>
          <w:caps/>
          <w:sz w:val="24"/>
          <w:lang w:val="da-DK"/>
        </w:rPr>
      </w:pPr>
      <w:r w:rsidRPr="000A59F9">
        <w:rPr>
          <w:b/>
          <w:caps/>
          <w:sz w:val="24"/>
          <w:lang w:val="da-DK"/>
        </w:rPr>
        <w:lastRenderedPageBreak/>
        <w:t>References</w:t>
      </w:r>
    </w:p>
    <w:p w14:paraId="33EF006C" w14:textId="102173C5" w:rsidR="00485E7C" w:rsidRPr="000A59F9" w:rsidRDefault="002F6189"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sz w:val="20"/>
        </w:rPr>
        <w:fldChar w:fldCharType="begin" w:fldLock="1"/>
      </w:r>
      <w:r w:rsidRPr="000A59F9">
        <w:rPr>
          <w:sz w:val="20"/>
          <w:lang w:val="da-DK"/>
        </w:rPr>
        <w:instrText xml:space="preserve">ADDIN Mendeley Bibliography CSL_BIBLIOGRAPHY </w:instrText>
      </w:r>
      <w:r w:rsidRPr="000A59F9">
        <w:rPr>
          <w:sz w:val="20"/>
        </w:rPr>
        <w:fldChar w:fldCharType="separate"/>
      </w:r>
      <w:r w:rsidR="00485E7C" w:rsidRPr="00EA0123">
        <w:rPr>
          <w:rFonts w:ascii="Calibri" w:hAnsi="Calibri" w:cs="Calibri"/>
          <w:noProof/>
          <w:sz w:val="20"/>
          <w:szCs w:val="24"/>
          <w:lang w:val="fi-FI"/>
        </w:rPr>
        <w:t>1.</w:t>
      </w:r>
      <w:r w:rsidR="00485E7C" w:rsidRPr="00EA0123">
        <w:rPr>
          <w:rFonts w:ascii="Calibri" w:hAnsi="Calibri" w:cs="Calibri"/>
          <w:noProof/>
          <w:sz w:val="20"/>
          <w:szCs w:val="24"/>
          <w:lang w:val="fi-FI"/>
        </w:rPr>
        <w:tab/>
        <w:t xml:space="preserve">Korhonen, R. K. </w:t>
      </w:r>
      <w:r w:rsidR="00485E7C" w:rsidRPr="00EA0123">
        <w:rPr>
          <w:rFonts w:ascii="Calibri" w:hAnsi="Calibri" w:cs="Calibri"/>
          <w:i/>
          <w:iCs/>
          <w:noProof/>
          <w:sz w:val="20"/>
          <w:szCs w:val="24"/>
          <w:lang w:val="fi-FI"/>
        </w:rPr>
        <w:t>et al.</w:t>
      </w:r>
      <w:r w:rsidR="00485E7C" w:rsidRPr="00EA0123">
        <w:rPr>
          <w:rFonts w:ascii="Calibri" w:hAnsi="Calibri" w:cs="Calibri"/>
          <w:noProof/>
          <w:sz w:val="20"/>
          <w:szCs w:val="24"/>
          <w:lang w:val="fi-FI"/>
        </w:rPr>
        <w:t xml:space="preserve"> </w:t>
      </w:r>
      <w:r w:rsidR="00485E7C" w:rsidRPr="000A59F9">
        <w:rPr>
          <w:rFonts w:ascii="Calibri" w:hAnsi="Calibri" w:cs="Calibri"/>
          <w:noProof/>
          <w:sz w:val="20"/>
          <w:szCs w:val="24"/>
        </w:rPr>
        <w:t xml:space="preserve">Fibril reinforced poroelastic model predicts specifically mechanical behavior of normal, proteoglycan depleted and collagen degraded articular cartilage. </w:t>
      </w:r>
      <w:r w:rsidR="00485E7C" w:rsidRPr="000A59F9">
        <w:rPr>
          <w:rFonts w:ascii="Calibri" w:hAnsi="Calibri" w:cs="Calibri"/>
          <w:i/>
          <w:iCs/>
          <w:noProof/>
          <w:sz w:val="20"/>
          <w:szCs w:val="24"/>
        </w:rPr>
        <w:t>J. Biomech.</w:t>
      </w:r>
      <w:r w:rsidR="00485E7C" w:rsidRPr="000A59F9">
        <w:rPr>
          <w:rFonts w:ascii="Calibri" w:hAnsi="Calibri" w:cs="Calibri"/>
          <w:noProof/>
          <w:sz w:val="20"/>
          <w:szCs w:val="24"/>
        </w:rPr>
        <w:t xml:space="preserve"> </w:t>
      </w:r>
      <w:r w:rsidR="00485E7C" w:rsidRPr="000A59F9">
        <w:rPr>
          <w:rFonts w:ascii="Calibri" w:hAnsi="Calibri" w:cs="Calibri"/>
          <w:b/>
          <w:bCs/>
          <w:noProof/>
          <w:sz w:val="20"/>
          <w:szCs w:val="24"/>
        </w:rPr>
        <w:t>36</w:t>
      </w:r>
      <w:r w:rsidR="00485E7C" w:rsidRPr="000A59F9">
        <w:rPr>
          <w:rFonts w:ascii="Calibri" w:hAnsi="Calibri" w:cs="Calibri"/>
          <w:noProof/>
          <w:sz w:val="20"/>
          <w:szCs w:val="24"/>
        </w:rPr>
        <w:t>, 1373–1379 (2003).</w:t>
      </w:r>
    </w:p>
    <w:p w14:paraId="72F010B7"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2.</w:t>
      </w:r>
      <w:r w:rsidRPr="000A59F9">
        <w:rPr>
          <w:rFonts w:ascii="Calibri" w:hAnsi="Calibri" w:cs="Calibri"/>
          <w:noProof/>
          <w:sz w:val="20"/>
          <w:szCs w:val="24"/>
        </w:rPr>
        <w:tab/>
        <w:t xml:space="preserve">Prakash, M. </w:t>
      </w:r>
      <w:r w:rsidRPr="000A59F9">
        <w:rPr>
          <w:rFonts w:ascii="Calibri" w:hAnsi="Calibri" w:cs="Calibri"/>
          <w:i/>
          <w:iCs/>
          <w:noProof/>
          <w:sz w:val="20"/>
          <w:szCs w:val="24"/>
        </w:rPr>
        <w:t>et al.</w:t>
      </w:r>
      <w:r w:rsidRPr="000A59F9">
        <w:rPr>
          <w:rFonts w:ascii="Calibri" w:hAnsi="Calibri" w:cs="Calibri"/>
          <w:noProof/>
          <w:sz w:val="20"/>
          <w:szCs w:val="24"/>
        </w:rPr>
        <w:t xml:space="preserve"> Near-infrared spectroscopy enables quantitative evaluation of human cartilage biomechanical properties during arthroscopy. </w:t>
      </w:r>
      <w:r w:rsidRPr="000A59F9">
        <w:rPr>
          <w:rFonts w:ascii="Calibri" w:hAnsi="Calibri" w:cs="Calibri"/>
          <w:i/>
          <w:iCs/>
          <w:noProof/>
          <w:sz w:val="20"/>
          <w:szCs w:val="24"/>
        </w:rPr>
        <w:t>Osteoarthr. Cartil.</w:t>
      </w:r>
      <w:r w:rsidRPr="000A59F9">
        <w:rPr>
          <w:rFonts w:ascii="Calibri" w:hAnsi="Calibri" w:cs="Calibri"/>
          <w:noProof/>
          <w:sz w:val="20"/>
          <w:szCs w:val="24"/>
        </w:rPr>
        <w:t xml:space="preserve"> </w:t>
      </w:r>
      <w:r w:rsidRPr="000A59F9">
        <w:rPr>
          <w:rFonts w:ascii="Calibri" w:hAnsi="Calibri" w:cs="Calibri"/>
          <w:b/>
          <w:bCs/>
          <w:noProof/>
          <w:sz w:val="20"/>
          <w:szCs w:val="24"/>
        </w:rPr>
        <w:t>27</w:t>
      </w:r>
      <w:r w:rsidRPr="000A59F9">
        <w:rPr>
          <w:rFonts w:ascii="Calibri" w:hAnsi="Calibri" w:cs="Calibri"/>
          <w:noProof/>
          <w:sz w:val="20"/>
          <w:szCs w:val="24"/>
        </w:rPr>
        <w:t>, 1235–1243 (2019).</w:t>
      </w:r>
    </w:p>
    <w:p w14:paraId="7EBE2261"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3.</w:t>
      </w:r>
      <w:r w:rsidRPr="000A59F9">
        <w:rPr>
          <w:rFonts w:ascii="Calibri" w:hAnsi="Calibri" w:cs="Calibri"/>
          <w:noProof/>
          <w:sz w:val="20"/>
          <w:szCs w:val="24"/>
        </w:rPr>
        <w:tab/>
        <w:t xml:space="preserve">Hayes, W. C., Keer, L. M., Herrmann, G. &amp; Mockros, L. F. A mathematical analysis for indentation tests of articular cartilage. </w:t>
      </w:r>
      <w:r w:rsidRPr="000A59F9">
        <w:rPr>
          <w:rFonts w:ascii="Calibri" w:hAnsi="Calibri" w:cs="Calibri"/>
          <w:i/>
          <w:iCs/>
          <w:noProof/>
          <w:sz w:val="20"/>
          <w:szCs w:val="24"/>
        </w:rPr>
        <w:t>J. Biomech.</w:t>
      </w:r>
      <w:r w:rsidRPr="000A59F9">
        <w:rPr>
          <w:rFonts w:ascii="Calibri" w:hAnsi="Calibri" w:cs="Calibri"/>
          <w:noProof/>
          <w:sz w:val="20"/>
          <w:szCs w:val="24"/>
        </w:rPr>
        <w:t xml:space="preserve"> </w:t>
      </w:r>
      <w:r w:rsidRPr="000A59F9">
        <w:rPr>
          <w:rFonts w:ascii="Calibri" w:hAnsi="Calibri" w:cs="Calibri"/>
          <w:b/>
          <w:bCs/>
          <w:noProof/>
          <w:sz w:val="20"/>
          <w:szCs w:val="24"/>
        </w:rPr>
        <w:t>5</w:t>
      </w:r>
      <w:r w:rsidRPr="000A59F9">
        <w:rPr>
          <w:rFonts w:ascii="Calibri" w:hAnsi="Calibri" w:cs="Calibri"/>
          <w:noProof/>
          <w:sz w:val="20"/>
          <w:szCs w:val="24"/>
        </w:rPr>
        <w:t>, 541–551 (1972).</w:t>
      </w:r>
    </w:p>
    <w:p w14:paraId="5F39E4A3"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4.</w:t>
      </w:r>
      <w:r w:rsidRPr="000A59F9">
        <w:rPr>
          <w:rFonts w:ascii="Calibri" w:hAnsi="Calibri" w:cs="Calibri"/>
          <w:noProof/>
          <w:sz w:val="20"/>
          <w:szCs w:val="24"/>
        </w:rPr>
        <w:tab/>
        <w:t xml:space="preserve">Kiviranta, P. </w:t>
      </w:r>
      <w:r w:rsidRPr="000A59F9">
        <w:rPr>
          <w:rFonts w:ascii="Calibri" w:hAnsi="Calibri" w:cs="Calibri"/>
          <w:i/>
          <w:iCs/>
          <w:noProof/>
          <w:sz w:val="20"/>
          <w:szCs w:val="24"/>
        </w:rPr>
        <w:t>et al.</w:t>
      </w:r>
      <w:r w:rsidRPr="000A59F9">
        <w:rPr>
          <w:rFonts w:ascii="Calibri" w:hAnsi="Calibri" w:cs="Calibri"/>
          <w:noProof/>
          <w:sz w:val="20"/>
          <w:szCs w:val="24"/>
        </w:rPr>
        <w:t xml:space="preserve"> Collagen network primarily controls Poisson’s ratio of bovine articular cartilage in compression. </w:t>
      </w:r>
      <w:r w:rsidRPr="000A59F9">
        <w:rPr>
          <w:rFonts w:ascii="Calibri" w:hAnsi="Calibri" w:cs="Calibri"/>
          <w:i/>
          <w:iCs/>
          <w:noProof/>
          <w:sz w:val="20"/>
          <w:szCs w:val="24"/>
        </w:rPr>
        <w:t>J. Orthop. Res.</w:t>
      </w:r>
      <w:r w:rsidRPr="000A59F9">
        <w:rPr>
          <w:rFonts w:ascii="Calibri" w:hAnsi="Calibri" w:cs="Calibri"/>
          <w:noProof/>
          <w:sz w:val="20"/>
          <w:szCs w:val="24"/>
        </w:rPr>
        <w:t xml:space="preserve"> </w:t>
      </w:r>
      <w:r w:rsidRPr="000A59F9">
        <w:rPr>
          <w:rFonts w:ascii="Calibri" w:hAnsi="Calibri" w:cs="Calibri"/>
          <w:b/>
          <w:bCs/>
          <w:noProof/>
          <w:sz w:val="20"/>
          <w:szCs w:val="24"/>
        </w:rPr>
        <w:t>24</w:t>
      </w:r>
      <w:r w:rsidRPr="000A59F9">
        <w:rPr>
          <w:rFonts w:ascii="Calibri" w:hAnsi="Calibri" w:cs="Calibri"/>
          <w:noProof/>
          <w:sz w:val="20"/>
          <w:szCs w:val="24"/>
        </w:rPr>
        <w:t>, 690–699 (2006).</w:t>
      </w:r>
    </w:p>
    <w:p w14:paraId="4B0535BA"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5.</w:t>
      </w:r>
      <w:r w:rsidRPr="000A59F9">
        <w:rPr>
          <w:rFonts w:ascii="Calibri" w:hAnsi="Calibri" w:cs="Calibri"/>
          <w:noProof/>
          <w:sz w:val="20"/>
          <w:szCs w:val="24"/>
        </w:rPr>
        <w:tab/>
        <w:t xml:space="preserve">Jakubek, J., Vavrik, D., Pospisil, S. &amp; Uher, J. Quality of X-ray transmission radiography based on single photon counting pixel device. </w:t>
      </w:r>
      <w:r w:rsidRPr="000A59F9">
        <w:rPr>
          <w:rFonts w:ascii="Calibri" w:hAnsi="Calibri" w:cs="Calibri"/>
          <w:i/>
          <w:iCs/>
          <w:noProof/>
          <w:sz w:val="20"/>
          <w:szCs w:val="24"/>
        </w:rPr>
        <w:t>Nucl. Instruments Methods Phys. Res. Sect. A Accel. Spectrometers, Detect. Assoc. Equip.</w:t>
      </w:r>
      <w:r w:rsidRPr="000A59F9">
        <w:rPr>
          <w:rFonts w:ascii="Calibri" w:hAnsi="Calibri" w:cs="Calibri"/>
          <w:noProof/>
          <w:sz w:val="20"/>
          <w:szCs w:val="24"/>
        </w:rPr>
        <w:t xml:space="preserve"> </w:t>
      </w:r>
      <w:r w:rsidRPr="000A59F9">
        <w:rPr>
          <w:rFonts w:ascii="Calibri" w:hAnsi="Calibri" w:cs="Calibri"/>
          <w:b/>
          <w:bCs/>
          <w:noProof/>
          <w:sz w:val="20"/>
          <w:szCs w:val="24"/>
        </w:rPr>
        <w:t>546</w:t>
      </w:r>
      <w:r w:rsidRPr="000A59F9">
        <w:rPr>
          <w:rFonts w:ascii="Calibri" w:hAnsi="Calibri" w:cs="Calibri"/>
          <w:noProof/>
          <w:sz w:val="20"/>
          <w:szCs w:val="24"/>
        </w:rPr>
        <w:t>, 113–117 (2005).</w:t>
      </w:r>
    </w:p>
    <w:p w14:paraId="21EB0BB8"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6.</w:t>
      </w:r>
      <w:r w:rsidRPr="000A59F9">
        <w:rPr>
          <w:rFonts w:ascii="Calibri" w:hAnsi="Calibri" w:cs="Calibri"/>
          <w:noProof/>
          <w:sz w:val="20"/>
          <w:szCs w:val="24"/>
        </w:rPr>
        <w:tab/>
        <w:t xml:space="preserve">Münch, B., Trtik, P., Marone, F. &amp; Stampanoni, M. Stripe and ring artifact removal with combined wavelet — Fourier filtering. </w:t>
      </w:r>
      <w:r w:rsidRPr="000A59F9">
        <w:rPr>
          <w:rFonts w:ascii="Calibri" w:hAnsi="Calibri" w:cs="Calibri"/>
          <w:i/>
          <w:iCs/>
          <w:noProof/>
          <w:sz w:val="20"/>
          <w:szCs w:val="24"/>
        </w:rPr>
        <w:t>Opt. Express</w:t>
      </w:r>
      <w:r w:rsidRPr="000A59F9">
        <w:rPr>
          <w:rFonts w:ascii="Calibri" w:hAnsi="Calibri" w:cs="Calibri"/>
          <w:noProof/>
          <w:sz w:val="20"/>
          <w:szCs w:val="24"/>
        </w:rPr>
        <w:t xml:space="preserve"> </w:t>
      </w:r>
      <w:r w:rsidRPr="000A59F9">
        <w:rPr>
          <w:rFonts w:ascii="Calibri" w:hAnsi="Calibri" w:cs="Calibri"/>
          <w:b/>
          <w:bCs/>
          <w:noProof/>
          <w:sz w:val="20"/>
          <w:szCs w:val="24"/>
        </w:rPr>
        <w:t>17</w:t>
      </w:r>
      <w:r w:rsidRPr="000A59F9">
        <w:rPr>
          <w:rFonts w:ascii="Calibri" w:hAnsi="Calibri" w:cs="Calibri"/>
          <w:noProof/>
          <w:sz w:val="20"/>
          <w:szCs w:val="24"/>
        </w:rPr>
        <w:t>, 1844–1856 (2009).</w:t>
      </w:r>
    </w:p>
    <w:p w14:paraId="512D61F1"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7.</w:t>
      </w:r>
      <w:r w:rsidRPr="000A59F9">
        <w:rPr>
          <w:rFonts w:ascii="Calibri" w:hAnsi="Calibri" w:cs="Calibri"/>
          <w:noProof/>
          <w:sz w:val="20"/>
          <w:szCs w:val="24"/>
        </w:rPr>
        <w:tab/>
        <w:t xml:space="preserve">van Aarle, W. </w:t>
      </w:r>
      <w:r w:rsidRPr="000A59F9">
        <w:rPr>
          <w:rFonts w:ascii="Calibri" w:hAnsi="Calibri" w:cs="Calibri"/>
          <w:i/>
          <w:iCs/>
          <w:noProof/>
          <w:sz w:val="20"/>
          <w:szCs w:val="24"/>
        </w:rPr>
        <w:t>et al.</w:t>
      </w:r>
      <w:r w:rsidRPr="000A59F9">
        <w:rPr>
          <w:rFonts w:ascii="Calibri" w:hAnsi="Calibri" w:cs="Calibri"/>
          <w:noProof/>
          <w:sz w:val="20"/>
          <w:szCs w:val="24"/>
        </w:rPr>
        <w:t xml:space="preserve"> The ASTRA Toolbox: A platform for advanced algorithm development in electron tomography. </w:t>
      </w:r>
      <w:r w:rsidRPr="000A59F9">
        <w:rPr>
          <w:rFonts w:ascii="Calibri" w:hAnsi="Calibri" w:cs="Calibri"/>
          <w:i/>
          <w:iCs/>
          <w:noProof/>
          <w:sz w:val="20"/>
          <w:szCs w:val="24"/>
        </w:rPr>
        <w:t>Ultramicroscopy</w:t>
      </w:r>
      <w:r w:rsidRPr="000A59F9">
        <w:rPr>
          <w:rFonts w:ascii="Calibri" w:hAnsi="Calibri" w:cs="Calibri"/>
          <w:noProof/>
          <w:sz w:val="20"/>
          <w:szCs w:val="24"/>
        </w:rPr>
        <w:t xml:space="preserve"> </w:t>
      </w:r>
      <w:r w:rsidRPr="000A59F9">
        <w:rPr>
          <w:rFonts w:ascii="Calibri" w:hAnsi="Calibri" w:cs="Calibri"/>
          <w:b/>
          <w:bCs/>
          <w:noProof/>
          <w:sz w:val="20"/>
          <w:szCs w:val="24"/>
        </w:rPr>
        <w:t>157</w:t>
      </w:r>
      <w:r w:rsidRPr="000A59F9">
        <w:rPr>
          <w:rFonts w:ascii="Calibri" w:hAnsi="Calibri" w:cs="Calibri"/>
          <w:noProof/>
          <w:sz w:val="20"/>
          <w:szCs w:val="24"/>
        </w:rPr>
        <w:t>, 35–47 (2015).</w:t>
      </w:r>
    </w:p>
    <w:p w14:paraId="55133B0F"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8.</w:t>
      </w:r>
      <w:r w:rsidRPr="000A59F9">
        <w:rPr>
          <w:rFonts w:ascii="Calibri" w:hAnsi="Calibri" w:cs="Calibri"/>
          <w:noProof/>
          <w:sz w:val="20"/>
          <w:szCs w:val="24"/>
        </w:rPr>
        <w:tab/>
        <w:t xml:space="preserve">van Aarle, W. </w:t>
      </w:r>
      <w:r w:rsidRPr="000A59F9">
        <w:rPr>
          <w:rFonts w:ascii="Calibri" w:hAnsi="Calibri" w:cs="Calibri"/>
          <w:i/>
          <w:iCs/>
          <w:noProof/>
          <w:sz w:val="20"/>
          <w:szCs w:val="24"/>
        </w:rPr>
        <w:t>et al.</w:t>
      </w:r>
      <w:r w:rsidRPr="000A59F9">
        <w:rPr>
          <w:rFonts w:ascii="Calibri" w:hAnsi="Calibri" w:cs="Calibri"/>
          <w:noProof/>
          <w:sz w:val="20"/>
          <w:szCs w:val="24"/>
        </w:rPr>
        <w:t xml:space="preserve"> Fast and flexible X-ray tomography using the ASTRA toolbox. </w:t>
      </w:r>
      <w:r w:rsidRPr="000A59F9">
        <w:rPr>
          <w:rFonts w:ascii="Calibri" w:hAnsi="Calibri" w:cs="Calibri"/>
          <w:i/>
          <w:iCs/>
          <w:noProof/>
          <w:sz w:val="20"/>
          <w:szCs w:val="24"/>
        </w:rPr>
        <w:t>Opt. Express</w:t>
      </w:r>
      <w:r w:rsidRPr="000A59F9">
        <w:rPr>
          <w:rFonts w:ascii="Calibri" w:hAnsi="Calibri" w:cs="Calibri"/>
          <w:noProof/>
          <w:sz w:val="20"/>
          <w:szCs w:val="24"/>
        </w:rPr>
        <w:t xml:space="preserve"> </w:t>
      </w:r>
      <w:r w:rsidRPr="000A59F9">
        <w:rPr>
          <w:rFonts w:ascii="Calibri" w:hAnsi="Calibri" w:cs="Calibri"/>
          <w:b/>
          <w:bCs/>
          <w:noProof/>
          <w:sz w:val="20"/>
          <w:szCs w:val="24"/>
        </w:rPr>
        <w:t>24</w:t>
      </w:r>
      <w:r w:rsidRPr="000A59F9">
        <w:rPr>
          <w:rFonts w:ascii="Calibri" w:hAnsi="Calibri" w:cs="Calibri"/>
          <w:noProof/>
          <w:sz w:val="20"/>
          <w:szCs w:val="24"/>
        </w:rPr>
        <w:t>, 25129 (2016).</w:t>
      </w:r>
    </w:p>
    <w:p w14:paraId="5DCD867D"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9.</w:t>
      </w:r>
      <w:r w:rsidRPr="000A59F9">
        <w:rPr>
          <w:rFonts w:ascii="Calibri" w:hAnsi="Calibri" w:cs="Calibri"/>
          <w:noProof/>
          <w:sz w:val="20"/>
          <w:szCs w:val="24"/>
        </w:rPr>
        <w:tab/>
        <w:t xml:space="preserve">Palenstijn, W. J., Batenburg, K. J. &amp; Sijbers, J. Performance improvements for iterative electron tomography reconstruction using graphics processing units (GPUs). </w:t>
      </w:r>
      <w:r w:rsidRPr="000A59F9">
        <w:rPr>
          <w:rFonts w:ascii="Calibri" w:hAnsi="Calibri" w:cs="Calibri"/>
          <w:i/>
          <w:iCs/>
          <w:noProof/>
          <w:sz w:val="20"/>
          <w:szCs w:val="24"/>
        </w:rPr>
        <w:t>J. Struct. Biol.</w:t>
      </w:r>
      <w:r w:rsidRPr="000A59F9">
        <w:rPr>
          <w:rFonts w:ascii="Calibri" w:hAnsi="Calibri" w:cs="Calibri"/>
          <w:noProof/>
          <w:sz w:val="20"/>
          <w:szCs w:val="24"/>
        </w:rPr>
        <w:t xml:space="preserve"> </w:t>
      </w:r>
      <w:r w:rsidRPr="000A59F9">
        <w:rPr>
          <w:rFonts w:ascii="Calibri" w:hAnsi="Calibri" w:cs="Calibri"/>
          <w:b/>
          <w:bCs/>
          <w:noProof/>
          <w:sz w:val="20"/>
          <w:szCs w:val="24"/>
        </w:rPr>
        <w:t>176</w:t>
      </w:r>
      <w:r w:rsidRPr="000A59F9">
        <w:rPr>
          <w:rFonts w:ascii="Calibri" w:hAnsi="Calibri" w:cs="Calibri"/>
          <w:noProof/>
          <w:sz w:val="20"/>
          <w:szCs w:val="24"/>
        </w:rPr>
        <w:t>, 250–253 (2011).</w:t>
      </w:r>
    </w:p>
    <w:p w14:paraId="30AD53A9"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10.</w:t>
      </w:r>
      <w:r w:rsidRPr="000A59F9">
        <w:rPr>
          <w:rFonts w:ascii="Calibri" w:hAnsi="Calibri" w:cs="Calibri"/>
          <w:noProof/>
          <w:sz w:val="20"/>
          <w:szCs w:val="24"/>
        </w:rPr>
        <w:tab/>
        <w:t xml:space="preserve">Bhattarai, A. </w:t>
      </w:r>
      <w:r w:rsidRPr="000A59F9">
        <w:rPr>
          <w:rFonts w:ascii="Calibri" w:hAnsi="Calibri" w:cs="Calibri"/>
          <w:i/>
          <w:iCs/>
          <w:noProof/>
          <w:sz w:val="20"/>
          <w:szCs w:val="24"/>
        </w:rPr>
        <w:t>et al.</w:t>
      </w:r>
      <w:r w:rsidRPr="000A59F9">
        <w:rPr>
          <w:rFonts w:ascii="Calibri" w:hAnsi="Calibri" w:cs="Calibri"/>
          <w:noProof/>
          <w:sz w:val="20"/>
          <w:szCs w:val="24"/>
        </w:rPr>
        <w:t xml:space="preserve"> Quantitative Dual Contrast CT Technique for Evaluation of Articular Cartilage Properties. </w:t>
      </w:r>
      <w:r w:rsidRPr="000A59F9">
        <w:rPr>
          <w:rFonts w:ascii="Calibri" w:hAnsi="Calibri" w:cs="Calibri"/>
          <w:i/>
          <w:iCs/>
          <w:noProof/>
          <w:sz w:val="20"/>
          <w:szCs w:val="24"/>
        </w:rPr>
        <w:t>Ann. Biomed. Eng.</w:t>
      </w:r>
      <w:r w:rsidRPr="000A59F9">
        <w:rPr>
          <w:rFonts w:ascii="Calibri" w:hAnsi="Calibri" w:cs="Calibri"/>
          <w:noProof/>
          <w:sz w:val="20"/>
          <w:szCs w:val="24"/>
        </w:rPr>
        <w:t xml:space="preserve"> </w:t>
      </w:r>
      <w:r w:rsidRPr="000A59F9">
        <w:rPr>
          <w:rFonts w:ascii="Calibri" w:hAnsi="Calibri" w:cs="Calibri"/>
          <w:b/>
          <w:bCs/>
          <w:noProof/>
          <w:sz w:val="20"/>
          <w:szCs w:val="24"/>
        </w:rPr>
        <w:t>46</w:t>
      </w:r>
      <w:r w:rsidRPr="000A59F9">
        <w:rPr>
          <w:rFonts w:ascii="Calibri" w:hAnsi="Calibri" w:cs="Calibri"/>
          <w:noProof/>
          <w:sz w:val="20"/>
          <w:szCs w:val="24"/>
        </w:rPr>
        <w:t>, 1038–1046 (2018).</w:t>
      </w:r>
    </w:p>
    <w:p w14:paraId="046F439A"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11.</w:t>
      </w:r>
      <w:r w:rsidRPr="000A59F9">
        <w:rPr>
          <w:rFonts w:ascii="Calibri" w:hAnsi="Calibri" w:cs="Calibri"/>
          <w:noProof/>
          <w:sz w:val="20"/>
          <w:szCs w:val="24"/>
        </w:rPr>
        <w:tab/>
        <w:t xml:space="preserve">Honkanen, M. K. M. </w:t>
      </w:r>
      <w:r w:rsidRPr="000A59F9">
        <w:rPr>
          <w:rFonts w:ascii="Calibri" w:hAnsi="Calibri" w:cs="Calibri"/>
          <w:i/>
          <w:iCs/>
          <w:noProof/>
          <w:sz w:val="20"/>
          <w:szCs w:val="24"/>
        </w:rPr>
        <w:t>et al.</w:t>
      </w:r>
      <w:r w:rsidRPr="000A59F9">
        <w:rPr>
          <w:rFonts w:ascii="Calibri" w:hAnsi="Calibri" w:cs="Calibri"/>
          <w:noProof/>
          <w:sz w:val="20"/>
          <w:szCs w:val="24"/>
        </w:rPr>
        <w:t xml:space="preserve"> Imaging of Proteoglycan and Water Contents in Human Articular Cartilage with Full-Body CT Using Dual Contrast Technique. </w:t>
      </w:r>
      <w:r w:rsidRPr="000A59F9">
        <w:rPr>
          <w:rFonts w:ascii="Calibri" w:hAnsi="Calibri" w:cs="Calibri"/>
          <w:i/>
          <w:iCs/>
          <w:noProof/>
          <w:sz w:val="20"/>
          <w:szCs w:val="24"/>
        </w:rPr>
        <w:t>J. Orthop. Res.</w:t>
      </w:r>
      <w:r w:rsidRPr="000A59F9">
        <w:rPr>
          <w:rFonts w:ascii="Calibri" w:hAnsi="Calibri" w:cs="Calibri"/>
          <w:noProof/>
          <w:sz w:val="20"/>
          <w:szCs w:val="24"/>
        </w:rPr>
        <w:t xml:space="preserve"> </w:t>
      </w:r>
      <w:r w:rsidRPr="000A59F9">
        <w:rPr>
          <w:rFonts w:ascii="Calibri" w:hAnsi="Calibri" w:cs="Calibri"/>
          <w:b/>
          <w:bCs/>
          <w:noProof/>
          <w:sz w:val="20"/>
          <w:szCs w:val="24"/>
        </w:rPr>
        <w:t>37</w:t>
      </w:r>
      <w:r w:rsidRPr="000A59F9">
        <w:rPr>
          <w:rFonts w:ascii="Calibri" w:hAnsi="Calibri" w:cs="Calibri"/>
          <w:noProof/>
          <w:sz w:val="20"/>
          <w:szCs w:val="24"/>
        </w:rPr>
        <w:t>, 1059–1070 (2019).</w:t>
      </w:r>
    </w:p>
    <w:p w14:paraId="3B81302E"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szCs w:val="24"/>
        </w:rPr>
      </w:pPr>
      <w:r w:rsidRPr="000A59F9">
        <w:rPr>
          <w:rFonts w:ascii="Calibri" w:hAnsi="Calibri" w:cs="Calibri"/>
          <w:noProof/>
          <w:sz w:val="20"/>
          <w:szCs w:val="24"/>
        </w:rPr>
        <w:t>12.</w:t>
      </w:r>
      <w:r w:rsidRPr="000A59F9">
        <w:rPr>
          <w:rFonts w:ascii="Calibri" w:hAnsi="Calibri" w:cs="Calibri"/>
          <w:noProof/>
          <w:sz w:val="20"/>
          <w:szCs w:val="24"/>
        </w:rPr>
        <w:tab/>
        <w:t xml:space="preserve">Saukko, A. E. A. </w:t>
      </w:r>
      <w:r w:rsidRPr="000A59F9">
        <w:rPr>
          <w:rFonts w:ascii="Calibri" w:hAnsi="Calibri" w:cs="Calibri"/>
          <w:i/>
          <w:iCs/>
          <w:noProof/>
          <w:sz w:val="20"/>
          <w:szCs w:val="24"/>
        </w:rPr>
        <w:t>et al.</w:t>
      </w:r>
      <w:r w:rsidRPr="000A59F9">
        <w:rPr>
          <w:rFonts w:ascii="Calibri" w:hAnsi="Calibri" w:cs="Calibri"/>
          <w:noProof/>
          <w:sz w:val="20"/>
          <w:szCs w:val="24"/>
        </w:rPr>
        <w:t xml:space="preserve"> Dual Contrast CT Method Enables Diagnostics of Cartilage Injuries and Degeneration Using a Single CT Image. </w:t>
      </w:r>
      <w:r w:rsidRPr="000A59F9">
        <w:rPr>
          <w:rFonts w:ascii="Calibri" w:hAnsi="Calibri" w:cs="Calibri"/>
          <w:i/>
          <w:iCs/>
          <w:noProof/>
          <w:sz w:val="20"/>
          <w:szCs w:val="24"/>
        </w:rPr>
        <w:t>Ann. Biomed. Eng.</w:t>
      </w:r>
      <w:r w:rsidRPr="000A59F9">
        <w:rPr>
          <w:rFonts w:ascii="Calibri" w:hAnsi="Calibri" w:cs="Calibri"/>
          <w:noProof/>
          <w:sz w:val="20"/>
          <w:szCs w:val="24"/>
        </w:rPr>
        <w:t xml:space="preserve"> </w:t>
      </w:r>
      <w:r w:rsidRPr="000A59F9">
        <w:rPr>
          <w:rFonts w:ascii="Calibri" w:hAnsi="Calibri" w:cs="Calibri"/>
          <w:b/>
          <w:bCs/>
          <w:noProof/>
          <w:sz w:val="20"/>
          <w:szCs w:val="24"/>
        </w:rPr>
        <w:t>45</w:t>
      </w:r>
      <w:r w:rsidRPr="000A59F9">
        <w:rPr>
          <w:rFonts w:ascii="Calibri" w:hAnsi="Calibri" w:cs="Calibri"/>
          <w:noProof/>
          <w:sz w:val="20"/>
          <w:szCs w:val="24"/>
        </w:rPr>
        <w:t>, 2857–2866 (2017).</w:t>
      </w:r>
    </w:p>
    <w:p w14:paraId="66222841" w14:textId="77777777" w:rsidR="00485E7C" w:rsidRPr="000A59F9" w:rsidRDefault="00485E7C" w:rsidP="00485E7C">
      <w:pPr>
        <w:widowControl w:val="0"/>
        <w:autoSpaceDE w:val="0"/>
        <w:autoSpaceDN w:val="0"/>
        <w:adjustRightInd w:val="0"/>
        <w:spacing w:after="0" w:line="240" w:lineRule="auto"/>
        <w:ind w:left="284" w:hanging="284"/>
        <w:jc w:val="both"/>
        <w:rPr>
          <w:rFonts w:ascii="Calibri" w:hAnsi="Calibri" w:cs="Calibri"/>
          <w:noProof/>
          <w:sz w:val="20"/>
        </w:rPr>
      </w:pPr>
      <w:r w:rsidRPr="000A59F9">
        <w:rPr>
          <w:rFonts w:ascii="Calibri" w:hAnsi="Calibri" w:cs="Calibri"/>
          <w:noProof/>
          <w:sz w:val="20"/>
          <w:szCs w:val="24"/>
        </w:rPr>
        <w:t>13.</w:t>
      </w:r>
      <w:r w:rsidRPr="000A59F9">
        <w:rPr>
          <w:rFonts w:ascii="Calibri" w:hAnsi="Calibri" w:cs="Calibri"/>
          <w:noProof/>
          <w:sz w:val="20"/>
          <w:szCs w:val="24"/>
        </w:rPr>
        <w:tab/>
        <w:t xml:space="preserve">Tao, S., Rajendran, K., McCollough, C. H. &amp; Leng, S. Material decomposition with prior knowledge aware iterative denoising (MD-PKAID). </w:t>
      </w:r>
      <w:r w:rsidRPr="000A59F9">
        <w:rPr>
          <w:rFonts w:ascii="Calibri" w:hAnsi="Calibri" w:cs="Calibri"/>
          <w:i/>
          <w:iCs/>
          <w:noProof/>
          <w:sz w:val="20"/>
          <w:szCs w:val="24"/>
        </w:rPr>
        <w:t>Phys. Med. Biol.</w:t>
      </w:r>
      <w:r w:rsidRPr="000A59F9">
        <w:rPr>
          <w:rFonts w:ascii="Calibri" w:hAnsi="Calibri" w:cs="Calibri"/>
          <w:noProof/>
          <w:sz w:val="20"/>
          <w:szCs w:val="24"/>
        </w:rPr>
        <w:t xml:space="preserve"> </w:t>
      </w:r>
      <w:r w:rsidRPr="000A59F9">
        <w:rPr>
          <w:rFonts w:ascii="Calibri" w:hAnsi="Calibri" w:cs="Calibri"/>
          <w:b/>
          <w:bCs/>
          <w:noProof/>
          <w:sz w:val="20"/>
          <w:szCs w:val="24"/>
        </w:rPr>
        <w:t>63</w:t>
      </w:r>
      <w:r w:rsidRPr="000A59F9">
        <w:rPr>
          <w:rFonts w:ascii="Calibri" w:hAnsi="Calibri" w:cs="Calibri"/>
          <w:noProof/>
          <w:sz w:val="20"/>
          <w:szCs w:val="24"/>
        </w:rPr>
        <w:t>, 195003 (2018).</w:t>
      </w:r>
    </w:p>
    <w:p w14:paraId="19D33200" w14:textId="611F8B47" w:rsidR="002F6189" w:rsidRPr="000A59F9" w:rsidRDefault="002F6189" w:rsidP="00485E7C">
      <w:pPr>
        <w:pStyle w:val="NoSpacing"/>
        <w:ind w:left="284" w:hanging="284"/>
        <w:jc w:val="both"/>
      </w:pPr>
      <w:r w:rsidRPr="000A59F9">
        <w:fldChar w:fldCharType="end"/>
      </w:r>
    </w:p>
    <w:p w14:paraId="6C3121C3" w14:textId="6D31B97B" w:rsidR="005C2749" w:rsidRPr="000A59F9" w:rsidRDefault="005C2749" w:rsidP="0097148E">
      <w:pPr>
        <w:jc w:val="both"/>
      </w:pPr>
      <w:r w:rsidRPr="000A59F9">
        <w:br w:type="page"/>
      </w:r>
    </w:p>
    <w:p w14:paraId="6E58D117" w14:textId="790FCA9C" w:rsidR="00483469" w:rsidRPr="000A59F9" w:rsidRDefault="00483469" w:rsidP="007464C5">
      <w:r w:rsidRPr="000A59F9">
        <w:rPr>
          <w:noProof/>
        </w:rPr>
        <w:lastRenderedPageBreak/>
        <w:drawing>
          <wp:anchor distT="0" distB="0" distL="114300" distR="114300" simplePos="0" relativeHeight="251660288" behindDoc="0" locked="0" layoutInCell="1" allowOverlap="1" wp14:anchorId="47766CEB" wp14:editId="1C9414F5">
            <wp:simplePos x="0" y="0"/>
            <wp:positionH relativeFrom="margin">
              <wp:align>center</wp:align>
            </wp:positionH>
            <wp:positionV relativeFrom="paragraph">
              <wp:posOffset>299720</wp:posOffset>
            </wp:positionV>
            <wp:extent cx="4893945" cy="4097655"/>
            <wp:effectExtent l="0" t="0" r="1905"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4893945" cy="40976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A59F9">
        <w:rPr>
          <w:noProof/>
        </w:rPr>
        <mc:AlternateContent>
          <mc:Choice Requires="wps">
            <w:drawing>
              <wp:anchor distT="0" distB="0" distL="114300" distR="114300" simplePos="0" relativeHeight="251659264" behindDoc="0" locked="0" layoutInCell="1" allowOverlap="1" wp14:anchorId="2E2A2E37" wp14:editId="77F4B90B">
                <wp:simplePos x="0" y="0"/>
                <wp:positionH relativeFrom="margin">
                  <wp:align>center</wp:align>
                </wp:positionH>
                <wp:positionV relativeFrom="paragraph">
                  <wp:posOffset>4498340</wp:posOffset>
                </wp:positionV>
                <wp:extent cx="5209540" cy="1020445"/>
                <wp:effectExtent l="0" t="0" r="0" b="8255"/>
                <wp:wrapTopAndBottom/>
                <wp:docPr id="40" name="Text Box 40"/>
                <wp:cNvGraphicFramePr/>
                <a:graphic xmlns:a="http://schemas.openxmlformats.org/drawingml/2006/main">
                  <a:graphicData uri="http://schemas.microsoft.com/office/word/2010/wordprocessingShape">
                    <wps:wsp>
                      <wps:cNvSpPr txBox="1"/>
                      <wps:spPr>
                        <a:xfrm>
                          <a:off x="0" y="0"/>
                          <a:ext cx="5209540" cy="1020445"/>
                        </a:xfrm>
                        <a:prstGeom prst="rect">
                          <a:avLst/>
                        </a:prstGeom>
                        <a:solidFill>
                          <a:prstClr val="white"/>
                        </a:solidFill>
                        <a:ln>
                          <a:noFill/>
                        </a:ln>
                      </wps:spPr>
                      <wps:txbx>
                        <w:txbxContent>
                          <w:p w14:paraId="23609026" w14:textId="17856348" w:rsidR="000C5CF4" w:rsidRPr="001C129F" w:rsidRDefault="000C5CF4" w:rsidP="005C2749">
                            <w:pPr>
                              <w:pStyle w:val="Caption"/>
                              <w:spacing w:line="276" w:lineRule="auto"/>
                              <w:jc w:val="both"/>
                              <w:rPr>
                                <w:rFonts w:asciiTheme="minorHAnsi" w:hAnsiTheme="minorHAnsi" w:cstheme="minorHAnsi"/>
                                <w:b/>
                                <w:i w:val="0"/>
                                <w:color w:val="auto"/>
                                <w:sz w:val="20"/>
                              </w:rPr>
                            </w:pPr>
                            <w:bookmarkStart w:id="29" w:name="_Hlk53670448"/>
                            <w:bookmarkStart w:id="30" w:name="_Hlk53670449"/>
                            <w:r w:rsidRPr="000A59F9">
                              <w:rPr>
                                <w:rFonts w:asciiTheme="minorHAnsi" w:hAnsiTheme="minorHAnsi" w:cstheme="minorHAnsi"/>
                                <w:b/>
                                <w:i w:val="0"/>
                                <w:color w:val="auto"/>
                                <w:sz w:val="20"/>
                              </w:rPr>
                              <w:t>SUPPLEMENTARY FIGURE S</w:t>
                            </w:r>
                            <w:r w:rsidRPr="000A59F9">
                              <w:rPr>
                                <w:rFonts w:asciiTheme="minorHAnsi" w:hAnsiTheme="minorHAnsi" w:cstheme="minorHAnsi"/>
                                <w:b/>
                                <w:i w:val="0"/>
                                <w:color w:val="auto"/>
                                <w:sz w:val="20"/>
                              </w:rPr>
                              <w:fldChar w:fldCharType="begin"/>
                            </w:r>
                            <w:r w:rsidRPr="000A59F9">
                              <w:rPr>
                                <w:rFonts w:asciiTheme="minorHAnsi" w:hAnsiTheme="minorHAnsi" w:cstheme="minorHAnsi"/>
                                <w:b/>
                                <w:i w:val="0"/>
                                <w:color w:val="auto"/>
                                <w:sz w:val="20"/>
                              </w:rPr>
                              <w:instrText xml:space="preserve"> SEQ Fig. \* ARABIC </w:instrText>
                            </w:r>
                            <w:r w:rsidRPr="000A59F9">
                              <w:rPr>
                                <w:rFonts w:asciiTheme="minorHAnsi" w:hAnsiTheme="minorHAnsi" w:cstheme="minorHAnsi"/>
                                <w:b/>
                                <w:i w:val="0"/>
                                <w:color w:val="auto"/>
                                <w:sz w:val="20"/>
                              </w:rPr>
                              <w:fldChar w:fldCharType="separate"/>
                            </w:r>
                            <w:r w:rsidR="004A428A">
                              <w:rPr>
                                <w:rFonts w:asciiTheme="minorHAnsi" w:hAnsiTheme="minorHAnsi" w:cstheme="minorHAnsi"/>
                                <w:b/>
                                <w:i w:val="0"/>
                                <w:noProof/>
                                <w:color w:val="auto"/>
                                <w:sz w:val="20"/>
                              </w:rPr>
                              <w:t>1</w:t>
                            </w:r>
                            <w:r w:rsidRPr="000A59F9">
                              <w:rPr>
                                <w:rFonts w:asciiTheme="minorHAnsi" w:hAnsiTheme="minorHAnsi" w:cstheme="minorHAnsi"/>
                                <w:b/>
                                <w:i w:val="0"/>
                                <w:color w:val="auto"/>
                                <w:sz w:val="20"/>
                              </w:rPr>
                              <w:fldChar w:fldCharType="end"/>
                            </w:r>
                            <w:r w:rsidRPr="000A59F9">
                              <w:rPr>
                                <w:rFonts w:asciiTheme="minorHAnsi" w:hAnsiTheme="minorHAnsi" w:cstheme="minorHAnsi"/>
                                <w:b/>
                                <w:i w:val="0"/>
                                <w:color w:val="auto"/>
                                <w:sz w:val="20"/>
                              </w:rPr>
                              <w:t xml:space="preserve">. </w:t>
                            </w:r>
                            <w:r w:rsidRPr="000A59F9">
                              <w:rPr>
                                <w:rFonts w:asciiTheme="minorHAnsi" w:hAnsiTheme="minorHAnsi" w:cstheme="minorHAnsi"/>
                                <w:b/>
                                <w:i w:val="0"/>
                                <w:iCs w:val="0"/>
                                <w:color w:val="auto"/>
                                <w:sz w:val="20"/>
                              </w:rPr>
                              <w:t xml:space="preserve"> </w:t>
                            </w:r>
                            <w:r w:rsidRPr="000A59F9">
                              <w:rPr>
                                <w:rFonts w:asciiTheme="minorHAnsi" w:hAnsiTheme="minorHAnsi" w:cstheme="minorHAnsi"/>
                                <w:b/>
                                <w:i w:val="0"/>
                                <w:color w:val="auto"/>
                                <w:sz w:val="20"/>
                              </w:rPr>
                              <w:t>CA4+ and gadoteridol calibration curves (a) and (c), respectively, used for the concentration estimation.</w:t>
                            </w:r>
                            <w:r w:rsidR="001A3612" w:rsidRPr="000A59F9">
                              <w:rPr>
                                <w:rFonts w:asciiTheme="minorHAnsi" w:hAnsiTheme="minorHAnsi" w:cstheme="minorHAnsi"/>
                                <w:b/>
                                <w:i w:val="0"/>
                                <w:color w:val="auto"/>
                                <w:sz w:val="20"/>
                              </w:rPr>
                              <w:t xml:space="preserve"> The error bars in sub-figures (a) and (c) indicates the standard deviation.</w:t>
                            </w:r>
                            <w:r w:rsidRPr="000A59F9">
                              <w:rPr>
                                <w:rFonts w:asciiTheme="minorHAnsi" w:hAnsiTheme="minorHAnsi" w:cstheme="minorHAnsi"/>
                                <w:b/>
                                <w:i w:val="0"/>
                                <w:color w:val="auto"/>
                                <w:sz w:val="20"/>
                              </w:rPr>
                              <w:t xml:space="preserve"> Error between the measured and the true concentration </w:t>
                            </w:r>
                            <w:r w:rsidRPr="000A59F9">
                              <w:rPr>
                                <w:rFonts w:asciiTheme="minorHAnsi" w:hAnsiTheme="minorHAnsi" w:cstheme="minorHAnsi"/>
                                <w:b/>
                                <w:color w:val="auto"/>
                                <w:sz w:val="20"/>
                              </w:rPr>
                              <w:t>C</w:t>
                            </w:r>
                            <w:r w:rsidRPr="000A59F9">
                              <w:rPr>
                                <w:rFonts w:asciiTheme="minorHAnsi" w:hAnsiTheme="minorHAnsi" w:cstheme="minorHAnsi"/>
                                <w:b/>
                                <w:i w:val="0"/>
                                <w:color w:val="auto"/>
                                <w:sz w:val="20"/>
                              </w:rPr>
                              <w:t xml:space="preserve"> of the contrast agents for (b) CA4+ and (d) gadoteridol, respectively, visualized using Bland-Altman plot. The difference in percent is calculated by dividing the concentration difference with true concentration.</w:t>
                            </w:r>
                            <w:bookmarkEnd w:id="29"/>
                            <w:bookmarkEnd w:id="3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2A2E37" id="_x0000_t202" coordsize="21600,21600" o:spt="202" path="m,l,21600r21600,l21600,xe">
                <v:stroke joinstyle="miter"/>
                <v:path gradientshapeok="t" o:connecttype="rect"/>
              </v:shapetype>
              <v:shape id="Text Box 40" o:spid="_x0000_s1026" type="#_x0000_t202" style="position:absolute;margin-left:0;margin-top:354.2pt;width:410.2pt;height:80.3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" stroked="f">
                <v:textbox inset="0,0,0,0">
                  <w:txbxContent>
                    <w:p w14:paraId="23609026" w14:textId="17856348" w:rsidR="000C5CF4" w:rsidRPr="001C129F" w:rsidRDefault="000C5CF4" w:rsidP="005C2749">
                      <w:pPr>
                        <w:pStyle w:val="Caption"/>
                        <w:spacing w:line="276" w:lineRule="auto"/>
                        <w:jc w:val="both"/>
                        <w:rPr>
                          <w:rFonts w:asciiTheme="minorHAnsi" w:hAnsiTheme="minorHAnsi" w:cstheme="minorHAnsi"/>
                          <w:b/>
                          <w:i w:val="0"/>
                          <w:color w:val="auto"/>
                          <w:sz w:val="20"/>
                        </w:rPr>
                      </w:pPr>
                      <w:bookmarkStart w:id="31" w:name="_Hlk53670448"/>
                      <w:bookmarkStart w:id="32" w:name="_Hlk53670449"/>
                      <w:r w:rsidRPr="000A59F9">
                        <w:rPr>
                          <w:rFonts w:asciiTheme="minorHAnsi" w:hAnsiTheme="minorHAnsi" w:cstheme="minorHAnsi"/>
                          <w:b/>
                          <w:i w:val="0"/>
                          <w:color w:val="auto"/>
                          <w:sz w:val="20"/>
                        </w:rPr>
                        <w:t>SUPPLEMENTARY FIGURE S</w:t>
                      </w:r>
                      <w:r w:rsidRPr="000A59F9">
                        <w:rPr>
                          <w:rFonts w:asciiTheme="minorHAnsi" w:hAnsiTheme="minorHAnsi" w:cstheme="minorHAnsi"/>
                          <w:b/>
                          <w:i w:val="0"/>
                          <w:color w:val="auto"/>
                          <w:sz w:val="20"/>
                        </w:rPr>
                        <w:fldChar w:fldCharType="begin"/>
                      </w:r>
                      <w:r w:rsidRPr="000A59F9">
                        <w:rPr>
                          <w:rFonts w:asciiTheme="minorHAnsi" w:hAnsiTheme="minorHAnsi" w:cstheme="minorHAnsi"/>
                          <w:b/>
                          <w:i w:val="0"/>
                          <w:color w:val="auto"/>
                          <w:sz w:val="20"/>
                        </w:rPr>
                        <w:instrText xml:space="preserve"> SEQ Fig. \* ARABIC </w:instrText>
                      </w:r>
                      <w:r w:rsidRPr="000A59F9">
                        <w:rPr>
                          <w:rFonts w:asciiTheme="minorHAnsi" w:hAnsiTheme="minorHAnsi" w:cstheme="minorHAnsi"/>
                          <w:b/>
                          <w:i w:val="0"/>
                          <w:color w:val="auto"/>
                          <w:sz w:val="20"/>
                        </w:rPr>
                        <w:fldChar w:fldCharType="separate"/>
                      </w:r>
                      <w:r w:rsidR="004A428A">
                        <w:rPr>
                          <w:rFonts w:asciiTheme="minorHAnsi" w:hAnsiTheme="minorHAnsi" w:cstheme="minorHAnsi"/>
                          <w:b/>
                          <w:i w:val="0"/>
                          <w:noProof/>
                          <w:color w:val="auto"/>
                          <w:sz w:val="20"/>
                        </w:rPr>
                        <w:t>1</w:t>
                      </w:r>
                      <w:r w:rsidRPr="000A59F9">
                        <w:rPr>
                          <w:rFonts w:asciiTheme="minorHAnsi" w:hAnsiTheme="minorHAnsi" w:cstheme="minorHAnsi"/>
                          <w:b/>
                          <w:i w:val="0"/>
                          <w:color w:val="auto"/>
                          <w:sz w:val="20"/>
                        </w:rPr>
                        <w:fldChar w:fldCharType="end"/>
                      </w:r>
                      <w:r w:rsidRPr="000A59F9">
                        <w:rPr>
                          <w:rFonts w:asciiTheme="minorHAnsi" w:hAnsiTheme="minorHAnsi" w:cstheme="minorHAnsi"/>
                          <w:b/>
                          <w:i w:val="0"/>
                          <w:color w:val="auto"/>
                          <w:sz w:val="20"/>
                        </w:rPr>
                        <w:t xml:space="preserve">. </w:t>
                      </w:r>
                      <w:r w:rsidRPr="000A59F9">
                        <w:rPr>
                          <w:rFonts w:asciiTheme="minorHAnsi" w:hAnsiTheme="minorHAnsi" w:cstheme="minorHAnsi"/>
                          <w:b/>
                          <w:i w:val="0"/>
                          <w:iCs w:val="0"/>
                          <w:color w:val="auto"/>
                          <w:sz w:val="20"/>
                        </w:rPr>
                        <w:t xml:space="preserve"> </w:t>
                      </w:r>
                      <w:r w:rsidRPr="000A59F9">
                        <w:rPr>
                          <w:rFonts w:asciiTheme="minorHAnsi" w:hAnsiTheme="minorHAnsi" w:cstheme="minorHAnsi"/>
                          <w:b/>
                          <w:i w:val="0"/>
                          <w:color w:val="auto"/>
                          <w:sz w:val="20"/>
                        </w:rPr>
                        <w:t>CA4+ and gadoteridol calibration curves (a) and (c), respectively, used for the concentration estimation.</w:t>
                      </w:r>
                      <w:r w:rsidR="001A3612" w:rsidRPr="000A59F9">
                        <w:rPr>
                          <w:rFonts w:asciiTheme="minorHAnsi" w:hAnsiTheme="minorHAnsi" w:cstheme="minorHAnsi"/>
                          <w:b/>
                          <w:i w:val="0"/>
                          <w:color w:val="auto"/>
                          <w:sz w:val="20"/>
                        </w:rPr>
                        <w:t xml:space="preserve"> The error bars in sub-figures (a) and (c) indicates the standard deviation.</w:t>
                      </w:r>
                      <w:r w:rsidRPr="000A59F9">
                        <w:rPr>
                          <w:rFonts w:asciiTheme="minorHAnsi" w:hAnsiTheme="minorHAnsi" w:cstheme="minorHAnsi"/>
                          <w:b/>
                          <w:i w:val="0"/>
                          <w:color w:val="auto"/>
                          <w:sz w:val="20"/>
                        </w:rPr>
                        <w:t xml:space="preserve"> Error between the measured and the true concentration </w:t>
                      </w:r>
                      <w:r w:rsidRPr="000A59F9">
                        <w:rPr>
                          <w:rFonts w:asciiTheme="minorHAnsi" w:hAnsiTheme="minorHAnsi" w:cstheme="minorHAnsi"/>
                          <w:b/>
                          <w:color w:val="auto"/>
                          <w:sz w:val="20"/>
                        </w:rPr>
                        <w:t>C</w:t>
                      </w:r>
                      <w:r w:rsidRPr="000A59F9">
                        <w:rPr>
                          <w:rFonts w:asciiTheme="minorHAnsi" w:hAnsiTheme="minorHAnsi" w:cstheme="minorHAnsi"/>
                          <w:b/>
                          <w:i w:val="0"/>
                          <w:color w:val="auto"/>
                          <w:sz w:val="20"/>
                        </w:rPr>
                        <w:t xml:space="preserve"> of the contrast agents for (b) CA4+ and (d) gadoteridol, respectively, visualized using Bland-Altman plot. The difference in percent is calculated by dividing the concentration difference with true concentration.</w:t>
                      </w:r>
                      <w:bookmarkEnd w:id="31"/>
                      <w:bookmarkEnd w:id="32"/>
                    </w:p>
                  </w:txbxContent>
                </v:textbox>
                <w10:wrap type="topAndBottom" anchorx="margin"/>
              </v:shape>
            </w:pict>
          </mc:Fallback>
        </mc:AlternateContent>
      </w:r>
    </w:p>
    <w:p w14:paraId="02F2CD53" w14:textId="3C8C26C3" w:rsidR="00483469" w:rsidRPr="000A59F9" w:rsidRDefault="00483469" w:rsidP="007464C5"/>
    <w:p w14:paraId="7190AA18" w14:textId="77777777" w:rsidR="00483469" w:rsidRPr="000A59F9" w:rsidRDefault="00483469" w:rsidP="00483469">
      <w:r w:rsidRPr="000A59F9">
        <w:br w:type="page"/>
      </w:r>
    </w:p>
    <w:p w14:paraId="7B8D0057" w14:textId="09ABD75E" w:rsidR="00ED1700" w:rsidRPr="000A59F9" w:rsidRDefault="00AD5B22" w:rsidP="00ED1700">
      <w:r w:rsidRPr="000A59F9">
        <w:rPr>
          <w:noProof/>
        </w:rPr>
        <w:lastRenderedPageBreak/>
        <w:drawing>
          <wp:anchor distT="0" distB="0" distL="114300" distR="114300" simplePos="0" relativeHeight="251662336" behindDoc="0" locked="0" layoutInCell="1" allowOverlap="1" wp14:anchorId="1CFDA095" wp14:editId="026BC420">
            <wp:simplePos x="0" y="0"/>
            <wp:positionH relativeFrom="margin">
              <wp:align>center</wp:align>
            </wp:positionH>
            <wp:positionV relativeFrom="paragraph">
              <wp:posOffset>292735</wp:posOffset>
            </wp:positionV>
            <wp:extent cx="6111240" cy="1831340"/>
            <wp:effectExtent l="0" t="0" r="381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11240" cy="1831340"/>
                    </a:xfrm>
                    <a:prstGeom prst="rect">
                      <a:avLst/>
                    </a:prstGeom>
                    <a:noFill/>
                    <a:ln>
                      <a:noFill/>
                    </a:ln>
                  </pic:spPr>
                </pic:pic>
              </a:graphicData>
            </a:graphic>
            <wp14:sizeRelV relativeFrom="margin">
              <wp14:pctHeight>0</wp14:pctHeight>
            </wp14:sizeRelV>
          </wp:anchor>
        </w:drawing>
      </w:r>
    </w:p>
    <w:p w14:paraId="6B52F8DF" w14:textId="7357C84B" w:rsidR="00ED1700" w:rsidRDefault="00ED1700" w:rsidP="00ED1700">
      <w:r w:rsidRPr="000A59F9">
        <w:rPr>
          <w:noProof/>
        </w:rPr>
        <mc:AlternateContent>
          <mc:Choice Requires="wps">
            <w:drawing>
              <wp:anchor distT="0" distB="0" distL="114300" distR="114300" simplePos="0" relativeHeight="251663360" behindDoc="0" locked="0" layoutInCell="1" allowOverlap="1" wp14:anchorId="6922792C" wp14:editId="7B4FAD1A">
                <wp:simplePos x="0" y="0"/>
                <wp:positionH relativeFrom="margin">
                  <wp:align>center</wp:align>
                </wp:positionH>
                <wp:positionV relativeFrom="paragraph">
                  <wp:posOffset>1903730</wp:posOffset>
                </wp:positionV>
                <wp:extent cx="6111240" cy="635"/>
                <wp:effectExtent l="0" t="0" r="3810" b="0"/>
                <wp:wrapTopAndBottom/>
                <wp:docPr id="5" name="Text Box 5"/>
                <wp:cNvGraphicFramePr/>
                <a:graphic xmlns:a="http://schemas.openxmlformats.org/drawingml/2006/main">
                  <a:graphicData uri="http://schemas.microsoft.com/office/word/2010/wordprocessingShape">
                    <wps:wsp>
                      <wps:cNvSpPr txBox="1"/>
                      <wps:spPr>
                        <a:xfrm>
                          <a:off x="0" y="0"/>
                          <a:ext cx="6111240" cy="635"/>
                        </a:xfrm>
                        <a:prstGeom prst="rect">
                          <a:avLst/>
                        </a:prstGeom>
                        <a:solidFill>
                          <a:prstClr val="white"/>
                        </a:solidFill>
                        <a:ln>
                          <a:noFill/>
                        </a:ln>
                      </wps:spPr>
                      <wps:txbx>
                        <w:txbxContent>
                          <w:p w14:paraId="1418193D" w14:textId="734B17AA" w:rsidR="00ED1700" w:rsidRPr="001D3EB3" w:rsidRDefault="00ED1700" w:rsidP="00ED1700">
                            <w:pPr>
                              <w:pStyle w:val="Caption"/>
                              <w:jc w:val="both"/>
                              <w:rPr>
                                <w:rFonts w:asciiTheme="minorHAnsi" w:eastAsiaTheme="minorHAnsi" w:hAnsiTheme="minorHAnsi" w:cstheme="minorHAnsi"/>
                                <w:b/>
                                <w:bCs/>
                                <w:i w:val="0"/>
                                <w:iCs w:val="0"/>
                                <w:noProof/>
                                <w:color w:val="auto"/>
                                <w:sz w:val="20"/>
                                <w:szCs w:val="20"/>
                              </w:rPr>
                            </w:pPr>
                            <w:r w:rsidRPr="000A59F9">
                              <w:rPr>
                                <w:rFonts w:asciiTheme="minorHAnsi" w:hAnsiTheme="minorHAnsi" w:cstheme="minorHAnsi"/>
                                <w:b/>
                                <w:bCs/>
                                <w:i w:val="0"/>
                                <w:iCs w:val="0"/>
                                <w:color w:val="auto"/>
                                <w:sz w:val="20"/>
                                <w:szCs w:val="20"/>
                              </w:rPr>
                              <w:t>SUPPLEMENTARY FIGURE S</w:t>
                            </w:r>
                            <w:r w:rsidRPr="000A59F9">
                              <w:rPr>
                                <w:rFonts w:asciiTheme="minorHAnsi" w:hAnsiTheme="minorHAnsi" w:cstheme="minorHAnsi"/>
                                <w:b/>
                                <w:bCs/>
                                <w:i w:val="0"/>
                                <w:iCs w:val="0"/>
                                <w:color w:val="auto"/>
                                <w:sz w:val="20"/>
                                <w:szCs w:val="20"/>
                              </w:rPr>
                              <w:fldChar w:fldCharType="begin"/>
                            </w:r>
                            <w:r w:rsidRPr="000A59F9">
                              <w:rPr>
                                <w:rFonts w:asciiTheme="minorHAnsi" w:hAnsiTheme="minorHAnsi" w:cstheme="minorHAnsi"/>
                                <w:b/>
                                <w:bCs/>
                                <w:i w:val="0"/>
                                <w:iCs w:val="0"/>
                                <w:color w:val="auto"/>
                                <w:sz w:val="20"/>
                                <w:szCs w:val="20"/>
                              </w:rPr>
                              <w:instrText xml:space="preserve"> SEQ Fig. \* ARABIC </w:instrText>
                            </w:r>
                            <w:r w:rsidRPr="000A59F9">
                              <w:rPr>
                                <w:rFonts w:asciiTheme="minorHAnsi" w:hAnsiTheme="minorHAnsi" w:cstheme="minorHAnsi"/>
                                <w:b/>
                                <w:bCs/>
                                <w:i w:val="0"/>
                                <w:iCs w:val="0"/>
                                <w:color w:val="auto"/>
                                <w:sz w:val="20"/>
                                <w:szCs w:val="20"/>
                              </w:rPr>
                              <w:fldChar w:fldCharType="separate"/>
                            </w:r>
                            <w:r w:rsidR="004A428A">
                              <w:rPr>
                                <w:rFonts w:asciiTheme="minorHAnsi" w:hAnsiTheme="minorHAnsi" w:cstheme="minorHAnsi"/>
                                <w:b/>
                                <w:bCs/>
                                <w:i w:val="0"/>
                                <w:iCs w:val="0"/>
                                <w:noProof/>
                                <w:color w:val="auto"/>
                                <w:sz w:val="20"/>
                                <w:szCs w:val="20"/>
                              </w:rPr>
                              <w:t>2</w:t>
                            </w:r>
                            <w:r w:rsidRPr="000A59F9">
                              <w:rPr>
                                <w:rFonts w:asciiTheme="minorHAnsi" w:hAnsiTheme="minorHAnsi" w:cstheme="minorHAnsi"/>
                                <w:b/>
                                <w:bCs/>
                                <w:i w:val="0"/>
                                <w:iCs w:val="0"/>
                                <w:color w:val="auto"/>
                                <w:sz w:val="20"/>
                                <w:szCs w:val="20"/>
                              </w:rPr>
                              <w:fldChar w:fldCharType="end"/>
                            </w:r>
                            <w:r w:rsidRPr="000A59F9">
                              <w:rPr>
                                <w:rFonts w:asciiTheme="minorHAnsi" w:hAnsiTheme="minorHAnsi" w:cstheme="minorHAnsi"/>
                                <w:b/>
                                <w:bCs/>
                                <w:i w:val="0"/>
                                <w:iCs w:val="0"/>
                                <w:color w:val="auto"/>
                                <w:sz w:val="20"/>
                                <w:szCs w:val="20"/>
                              </w:rPr>
                              <w:t>. Proof-of-concept image of the three-material decomposition. On the left there is total energy (TE) image for refence. For each of the three materials, there are concentration map images and profiles. The articular cartilage surface can be seen in the upper part of the images and the bone is in the lower part of the images. The dotted red line indicates roughly where the cartilage ends, and the calcified cartilage starts.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922792C" id="Text Box 5" o:spid="_x0000_s1027" type="#_x0000_t202" style="position:absolute;margin-left:0;margin-top:149.9pt;width:481.2pt;height:.05pt;z-index:251663360;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" stroked="f">
                <v:textbox style="mso-fit-shape-to-text:t" inset="0,0,0,0">
                  <w:txbxContent>
                    <w:p w14:paraId="1418193D" w14:textId="734B17AA" w:rsidR="00ED1700" w:rsidRPr="001D3EB3" w:rsidRDefault="00ED1700" w:rsidP="00ED1700">
                      <w:pPr>
                        <w:pStyle w:val="Caption"/>
                        <w:jc w:val="both"/>
                        <w:rPr>
                          <w:rFonts w:asciiTheme="minorHAnsi" w:eastAsiaTheme="minorHAnsi" w:hAnsiTheme="minorHAnsi" w:cstheme="minorHAnsi"/>
                          <w:b/>
                          <w:bCs/>
                          <w:i w:val="0"/>
                          <w:iCs w:val="0"/>
                          <w:noProof/>
                          <w:color w:val="auto"/>
                          <w:sz w:val="20"/>
                          <w:szCs w:val="20"/>
                        </w:rPr>
                      </w:pPr>
                      <w:r w:rsidRPr="000A59F9">
                        <w:rPr>
                          <w:rFonts w:asciiTheme="minorHAnsi" w:hAnsiTheme="minorHAnsi" w:cstheme="minorHAnsi"/>
                          <w:b/>
                          <w:bCs/>
                          <w:i w:val="0"/>
                          <w:iCs w:val="0"/>
                          <w:color w:val="auto"/>
                          <w:sz w:val="20"/>
                          <w:szCs w:val="20"/>
                        </w:rPr>
                        <w:t>SUPPLEMENTARY FIGURE S</w:t>
                      </w:r>
                      <w:r w:rsidRPr="000A59F9">
                        <w:rPr>
                          <w:rFonts w:asciiTheme="minorHAnsi" w:hAnsiTheme="minorHAnsi" w:cstheme="minorHAnsi"/>
                          <w:b/>
                          <w:bCs/>
                          <w:i w:val="0"/>
                          <w:iCs w:val="0"/>
                          <w:color w:val="auto"/>
                          <w:sz w:val="20"/>
                          <w:szCs w:val="20"/>
                        </w:rPr>
                        <w:fldChar w:fldCharType="begin"/>
                      </w:r>
                      <w:r w:rsidRPr="000A59F9">
                        <w:rPr>
                          <w:rFonts w:asciiTheme="minorHAnsi" w:hAnsiTheme="minorHAnsi" w:cstheme="minorHAnsi"/>
                          <w:b/>
                          <w:bCs/>
                          <w:i w:val="0"/>
                          <w:iCs w:val="0"/>
                          <w:color w:val="auto"/>
                          <w:sz w:val="20"/>
                          <w:szCs w:val="20"/>
                        </w:rPr>
                        <w:instrText xml:space="preserve"> SEQ Fig. \* ARABIC </w:instrText>
                      </w:r>
                      <w:r w:rsidRPr="000A59F9">
                        <w:rPr>
                          <w:rFonts w:asciiTheme="minorHAnsi" w:hAnsiTheme="minorHAnsi" w:cstheme="minorHAnsi"/>
                          <w:b/>
                          <w:bCs/>
                          <w:i w:val="0"/>
                          <w:iCs w:val="0"/>
                          <w:color w:val="auto"/>
                          <w:sz w:val="20"/>
                          <w:szCs w:val="20"/>
                        </w:rPr>
                        <w:fldChar w:fldCharType="separate"/>
                      </w:r>
                      <w:r w:rsidR="004A428A">
                        <w:rPr>
                          <w:rFonts w:asciiTheme="minorHAnsi" w:hAnsiTheme="minorHAnsi" w:cstheme="minorHAnsi"/>
                          <w:b/>
                          <w:bCs/>
                          <w:i w:val="0"/>
                          <w:iCs w:val="0"/>
                          <w:noProof/>
                          <w:color w:val="auto"/>
                          <w:sz w:val="20"/>
                          <w:szCs w:val="20"/>
                        </w:rPr>
                        <w:t>2</w:t>
                      </w:r>
                      <w:r w:rsidRPr="000A59F9">
                        <w:rPr>
                          <w:rFonts w:asciiTheme="minorHAnsi" w:hAnsiTheme="minorHAnsi" w:cstheme="minorHAnsi"/>
                          <w:b/>
                          <w:bCs/>
                          <w:i w:val="0"/>
                          <w:iCs w:val="0"/>
                          <w:color w:val="auto"/>
                          <w:sz w:val="20"/>
                          <w:szCs w:val="20"/>
                        </w:rPr>
                        <w:fldChar w:fldCharType="end"/>
                      </w:r>
                      <w:r w:rsidRPr="000A59F9">
                        <w:rPr>
                          <w:rFonts w:asciiTheme="minorHAnsi" w:hAnsiTheme="minorHAnsi" w:cstheme="minorHAnsi"/>
                          <w:b/>
                          <w:bCs/>
                          <w:i w:val="0"/>
                          <w:iCs w:val="0"/>
                          <w:color w:val="auto"/>
                          <w:sz w:val="20"/>
                          <w:szCs w:val="20"/>
                        </w:rPr>
                        <w:t>. Proof-of-concept image of the three-material decomposition. On the left there is total energy (TE) image for refence. For each of the three materials, there are concentration map images and profiles. The articular cartilage surface can be seen in the upper part of the images and the bone is in the lower part of the images. The dotted red line indicates roughly where the cartilage ends, and the calcified cartilage starts.</w:t>
                      </w:r>
                    </w:p>
                  </w:txbxContent>
                </v:textbox>
                <w10:wrap type="topAndBottom" anchorx="margin"/>
              </v:shape>
            </w:pict>
          </mc:Fallback>
        </mc:AlternateContent>
      </w:r>
    </w:p>
    <w:p w14:paraId="23BCA3D0" w14:textId="59B88884" w:rsidR="00483469" w:rsidRDefault="00483469"/>
    <w:p w14:paraId="65B315C7" w14:textId="664E55FC" w:rsidR="004A428A" w:rsidRDefault="004A428A">
      <w:r>
        <w:br w:type="page"/>
      </w:r>
    </w:p>
    <w:p w14:paraId="0FABE42D" w14:textId="45E76F4F" w:rsidR="004A428A" w:rsidRDefault="002911F0">
      <w:r>
        <w:rPr>
          <w:noProof/>
        </w:rPr>
        <w:lastRenderedPageBreak/>
        <w:drawing>
          <wp:anchor distT="0" distB="0" distL="114300" distR="114300" simplePos="0" relativeHeight="251664384" behindDoc="0" locked="0" layoutInCell="1" allowOverlap="1" wp14:anchorId="36307557" wp14:editId="15E22E22">
            <wp:simplePos x="0" y="0"/>
            <wp:positionH relativeFrom="margin">
              <wp:align>center</wp:align>
            </wp:positionH>
            <wp:positionV relativeFrom="paragraph">
              <wp:posOffset>181610</wp:posOffset>
            </wp:positionV>
            <wp:extent cx="5158105" cy="2901315"/>
            <wp:effectExtent l="0" t="0" r="4445"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158105" cy="2901315"/>
                    </a:xfrm>
                    <a:prstGeom prst="rect">
                      <a:avLst/>
                    </a:prstGeom>
                    <a:noFill/>
                    <a:ln>
                      <a:noFill/>
                    </a:ln>
                  </pic:spPr>
                </pic:pic>
              </a:graphicData>
            </a:graphic>
          </wp:anchor>
        </w:drawing>
      </w:r>
    </w:p>
    <w:p w14:paraId="240A8FD0" w14:textId="2A71DC1F" w:rsidR="004A428A" w:rsidRDefault="004A428A">
      <w:r>
        <w:rPr>
          <w:noProof/>
        </w:rPr>
        <mc:AlternateContent>
          <mc:Choice Requires="wps">
            <w:drawing>
              <wp:anchor distT="0" distB="0" distL="114300" distR="114300" simplePos="0" relativeHeight="251666432" behindDoc="0" locked="0" layoutInCell="1" allowOverlap="1" wp14:anchorId="4AAFB6D5" wp14:editId="7C05F447">
                <wp:simplePos x="0" y="0"/>
                <wp:positionH relativeFrom="margin">
                  <wp:align>center</wp:align>
                </wp:positionH>
                <wp:positionV relativeFrom="paragraph">
                  <wp:posOffset>2957195</wp:posOffset>
                </wp:positionV>
                <wp:extent cx="5158740" cy="635"/>
                <wp:effectExtent l="0" t="0" r="3810" b="1270"/>
                <wp:wrapTopAndBottom/>
                <wp:docPr id="8" name="Text Box 8"/>
                <wp:cNvGraphicFramePr/>
                <a:graphic xmlns:a="http://schemas.openxmlformats.org/drawingml/2006/main">
                  <a:graphicData uri="http://schemas.microsoft.com/office/word/2010/wordprocessingShape">
                    <wps:wsp>
                      <wps:cNvSpPr txBox="1"/>
                      <wps:spPr>
                        <a:xfrm>
                          <a:off x="0" y="0"/>
                          <a:ext cx="5158740" cy="635"/>
                        </a:xfrm>
                        <a:prstGeom prst="rect">
                          <a:avLst/>
                        </a:prstGeom>
                        <a:solidFill>
                          <a:prstClr val="white"/>
                        </a:solidFill>
                        <a:ln>
                          <a:noFill/>
                        </a:ln>
                      </wps:spPr>
                      <wps:txbx>
                        <w:txbxContent>
                          <w:p w14:paraId="08791C96" w14:textId="32B81065" w:rsidR="004A428A" w:rsidRPr="004A428A" w:rsidRDefault="004A428A" w:rsidP="009572F2">
                            <w:pPr>
                              <w:pStyle w:val="Caption"/>
                              <w:jc w:val="both"/>
                            </w:pPr>
                            <w:bookmarkStart w:id="33" w:name="_Hlk61875662"/>
                            <w:bookmarkStart w:id="34" w:name="_Hlk61875663"/>
                            <w:r w:rsidRPr="000A59F9">
                              <w:rPr>
                                <w:rFonts w:asciiTheme="minorHAnsi" w:hAnsiTheme="minorHAnsi" w:cstheme="minorHAnsi"/>
                                <w:b/>
                                <w:bCs/>
                                <w:i w:val="0"/>
                                <w:iCs w:val="0"/>
                                <w:color w:val="auto"/>
                                <w:sz w:val="20"/>
                                <w:szCs w:val="20"/>
                              </w:rPr>
                              <w:t xml:space="preserve">SUPPLEMENTARY </w:t>
                            </w:r>
                            <w:r w:rsidRPr="004A428A">
                              <w:rPr>
                                <w:rFonts w:asciiTheme="minorHAnsi" w:hAnsiTheme="minorHAnsi" w:cstheme="minorHAnsi"/>
                                <w:b/>
                                <w:bCs/>
                                <w:i w:val="0"/>
                                <w:iCs w:val="0"/>
                                <w:color w:val="auto"/>
                                <w:sz w:val="20"/>
                                <w:szCs w:val="20"/>
                              </w:rPr>
                              <w:t xml:space="preserve">FIGURE </w:t>
                            </w:r>
                            <w:r>
                              <w:rPr>
                                <w:rFonts w:asciiTheme="minorHAnsi" w:hAnsiTheme="minorHAnsi" w:cstheme="minorHAnsi"/>
                                <w:b/>
                                <w:bCs/>
                                <w:i w:val="0"/>
                                <w:iCs w:val="0"/>
                                <w:color w:val="auto"/>
                                <w:sz w:val="20"/>
                                <w:szCs w:val="20"/>
                              </w:rPr>
                              <w:t>S</w:t>
                            </w:r>
                            <w:r w:rsidRPr="004A428A">
                              <w:rPr>
                                <w:rFonts w:asciiTheme="minorHAnsi" w:hAnsiTheme="minorHAnsi" w:cstheme="minorHAnsi"/>
                                <w:b/>
                                <w:bCs/>
                                <w:i w:val="0"/>
                                <w:iCs w:val="0"/>
                                <w:color w:val="auto"/>
                                <w:sz w:val="20"/>
                                <w:szCs w:val="20"/>
                              </w:rPr>
                              <w:fldChar w:fldCharType="begin"/>
                            </w:r>
                            <w:r w:rsidRPr="004A428A">
                              <w:rPr>
                                <w:rFonts w:asciiTheme="minorHAnsi" w:hAnsiTheme="minorHAnsi" w:cstheme="minorHAnsi"/>
                                <w:b/>
                                <w:bCs/>
                                <w:i w:val="0"/>
                                <w:iCs w:val="0"/>
                                <w:color w:val="auto"/>
                                <w:sz w:val="20"/>
                                <w:szCs w:val="20"/>
                              </w:rPr>
                              <w:instrText xml:space="preserve"> SEQ Fig. \* ARABIC </w:instrText>
                            </w:r>
                            <w:r w:rsidRPr="004A428A">
                              <w:rPr>
                                <w:rFonts w:asciiTheme="minorHAnsi" w:hAnsiTheme="minorHAnsi" w:cstheme="minorHAnsi"/>
                                <w:b/>
                                <w:bCs/>
                                <w:i w:val="0"/>
                                <w:iCs w:val="0"/>
                                <w:color w:val="auto"/>
                                <w:sz w:val="20"/>
                                <w:szCs w:val="20"/>
                              </w:rPr>
                              <w:fldChar w:fldCharType="separate"/>
                            </w:r>
                            <w:r w:rsidRPr="004A428A">
                              <w:rPr>
                                <w:rFonts w:asciiTheme="minorHAnsi" w:hAnsiTheme="minorHAnsi" w:cstheme="minorHAnsi"/>
                                <w:b/>
                                <w:bCs/>
                                <w:i w:val="0"/>
                                <w:iCs w:val="0"/>
                                <w:noProof/>
                                <w:color w:val="auto"/>
                                <w:sz w:val="20"/>
                                <w:szCs w:val="20"/>
                              </w:rPr>
                              <w:t>3</w:t>
                            </w:r>
                            <w:r w:rsidRPr="004A428A">
                              <w:rPr>
                                <w:rFonts w:asciiTheme="minorHAnsi" w:hAnsiTheme="minorHAnsi" w:cstheme="minorHAnsi"/>
                                <w:b/>
                                <w:bCs/>
                                <w:i w:val="0"/>
                                <w:iCs w:val="0"/>
                                <w:color w:val="auto"/>
                                <w:sz w:val="20"/>
                                <w:szCs w:val="20"/>
                              </w:rPr>
                              <w:fldChar w:fldCharType="end"/>
                            </w:r>
                            <w:r>
                              <w:rPr>
                                <w:rFonts w:asciiTheme="minorHAnsi" w:hAnsiTheme="minorHAnsi" w:cstheme="minorHAnsi"/>
                                <w:b/>
                                <w:bCs/>
                                <w:i w:val="0"/>
                                <w:iCs w:val="0"/>
                                <w:color w:val="auto"/>
                                <w:sz w:val="20"/>
                                <w:szCs w:val="20"/>
                              </w:rPr>
                              <w:t xml:space="preserve">. </w:t>
                            </w:r>
                            <w:bookmarkStart w:id="35" w:name="_Hlk61875702"/>
                            <w:r w:rsidR="00E53FFB">
                              <w:rPr>
                                <w:rFonts w:asciiTheme="minorHAnsi" w:hAnsiTheme="minorHAnsi" w:cstheme="minorHAnsi"/>
                                <w:b/>
                                <w:bCs/>
                                <w:i w:val="0"/>
                                <w:iCs w:val="0"/>
                                <w:color w:val="auto"/>
                                <w:sz w:val="20"/>
                                <w:szCs w:val="20"/>
                              </w:rPr>
                              <w:t>The</w:t>
                            </w:r>
                            <w:r w:rsidR="008154EE">
                              <w:rPr>
                                <w:rFonts w:asciiTheme="minorHAnsi" w:hAnsiTheme="minorHAnsi" w:cstheme="minorHAnsi"/>
                                <w:b/>
                                <w:bCs/>
                                <w:i w:val="0"/>
                                <w:iCs w:val="0"/>
                                <w:color w:val="auto"/>
                                <w:sz w:val="20"/>
                                <w:szCs w:val="20"/>
                              </w:rPr>
                              <w:t xml:space="preserve"> modulation transfer function (MTF)</w:t>
                            </w:r>
                            <w:r w:rsidR="00E53FFB">
                              <w:rPr>
                                <w:rFonts w:asciiTheme="minorHAnsi" w:hAnsiTheme="minorHAnsi" w:cstheme="minorHAnsi"/>
                                <w:b/>
                                <w:bCs/>
                                <w:i w:val="0"/>
                                <w:iCs w:val="0"/>
                                <w:color w:val="auto"/>
                                <w:sz w:val="20"/>
                                <w:szCs w:val="20"/>
                              </w:rPr>
                              <w:t xml:space="preserve"> profile was used to estimate the spatial resolution of the imaging system</w:t>
                            </w:r>
                            <w:r w:rsidR="00EA0123" w:rsidRPr="00EA0123">
                              <w:t xml:space="preserve"> </w:t>
                            </w:r>
                            <w:r w:rsidR="00EA0123" w:rsidRPr="00EA0123">
                              <w:rPr>
                                <w:rFonts w:asciiTheme="minorHAnsi" w:hAnsiTheme="minorHAnsi" w:cstheme="minorHAnsi"/>
                                <w:b/>
                                <w:bCs/>
                                <w:i w:val="0"/>
                                <w:iCs w:val="0"/>
                                <w:color w:val="auto"/>
                                <w:sz w:val="20"/>
                                <w:szCs w:val="20"/>
                              </w:rPr>
                              <w:t>MTF was determined from a total energy image of a high contrast iodine tube.</w:t>
                            </w:r>
                            <w:r w:rsidR="00EA0123">
                              <w:rPr>
                                <w:rFonts w:asciiTheme="minorHAnsi" w:hAnsiTheme="minorHAnsi" w:cstheme="minorHAnsi"/>
                                <w:b/>
                                <w:bCs/>
                                <w:i w:val="0"/>
                                <w:iCs w:val="0"/>
                                <w:color w:val="auto"/>
                                <w:sz w:val="20"/>
                                <w:szCs w:val="20"/>
                              </w:rPr>
                              <w:t xml:space="preserve"> </w:t>
                            </w:r>
                            <w:r w:rsidR="00075775">
                              <w:rPr>
                                <w:rFonts w:asciiTheme="minorHAnsi" w:hAnsiTheme="minorHAnsi" w:cstheme="minorHAnsi"/>
                                <w:b/>
                                <w:bCs/>
                                <w:i w:val="0"/>
                                <w:iCs w:val="0"/>
                                <w:color w:val="auto"/>
                                <w:sz w:val="20"/>
                                <w:szCs w:val="20"/>
                              </w:rPr>
                              <w:t>Total of 40 locations from five adjacent slices</w:t>
                            </w:r>
                            <w:r w:rsidR="006376ED" w:rsidRPr="006376ED">
                              <w:rPr>
                                <w:rFonts w:asciiTheme="minorHAnsi" w:hAnsiTheme="minorHAnsi" w:cstheme="minorHAnsi"/>
                                <w:b/>
                                <w:bCs/>
                                <w:i w:val="0"/>
                                <w:iCs w:val="0"/>
                                <w:color w:val="auto"/>
                                <w:sz w:val="20"/>
                                <w:szCs w:val="20"/>
                              </w:rPr>
                              <w:t xml:space="preserve"> </w:t>
                            </w:r>
                            <w:r w:rsidR="006376ED">
                              <w:rPr>
                                <w:rFonts w:asciiTheme="minorHAnsi" w:hAnsiTheme="minorHAnsi" w:cstheme="minorHAnsi"/>
                                <w:b/>
                                <w:bCs/>
                                <w:i w:val="0"/>
                                <w:iCs w:val="0"/>
                                <w:color w:val="auto"/>
                                <w:sz w:val="20"/>
                                <w:szCs w:val="20"/>
                              </w:rPr>
                              <w:t>were used in the analysis</w:t>
                            </w:r>
                            <w:r w:rsidR="00075775">
                              <w:rPr>
                                <w:rFonts w:asciiTheme="minorHAnsi" w:hAnsiTheme="minorHAnsi" w:cstheme="minorHAnsi"/>
                                <w:b/>
                                <w:bCs/>
                                <w:i w:val="0"/>
                                <w:iCs w:val="0"/>
                                <w:color w:val="auto"/>
                                <w:sz w:val="20"/>
                                <w:szCs w:val="20"/>
                              </w:rPr>
                              <w:t>.</w:t>
                            </w:r>
                            <w:r w:rsidR="00E53FFB">
                              <w:rPr>
                                <w:rFonts w:asciiTheme="minorHAnsi" w:hAnsiTheme="minorHAnsi" w:cstheme="minorHAnsi"/>
                                <w:b/>
                                <w:bCs/>
                                <w:i w:val="0"/>
                                <w:iCs w:val="0"/>
                                <w:color w:val="auto"/>
                                <w:sz w:val="20"/>
                                <w:szCs w:val="20"/>
                              </w:rPr>
                              <w:t xml:space="preserve"> </w:t>
                            </w:r>
                            <w:r w:rsidR="00E53FFB" w:rsidRPr="00E53FFB">
                              <w:rPr>
                                <w:rFonts w:asciiTheme="minorHAnsi" w:hAnsiTheme="minorHAnsi" w:cstheme="minorHAnsi"/>
                                <w:b/>
                                <w:bCs/>
                                <w:i w:val="0"/>
                                <w:iCs w:val="0"/>
                                <w:color w:val="auto"/>
                                <w:sz w:val="20"/>
                                <w:szCs w:val="20"/>
                              </w:rPr>
                              <w:t>The MTF50% and MTF10% values were 2.43 1/mm and 4.27 1/mm, respectively</w:t>
                            </w:r>
                            <w:r w:rsidR="00E53FFB">
                              <w:rPr>
                                <w:rFonts w:asciiTheme="minorHAnsi" w:hAnsiTheme="minorHAnsi" w:cstheme="minorHAnsi"/>
                                <w:b/>
                                <w:bCs/>
                                <w:i w:val="0"/>
                                <w:iCs w:val="0"/>
                                <w:color w:val="auto"/>
                                <w:sz w:val="20"/>
                                <w:szCs w:val="20"/>
                              </w:rPr>
                              <w:t>.</w:t>
                            </w:r>
                            <w:bookmarkEnd w:id="33"/>
                            <w:bookmarkEnd w:id="34"/>
                            <w:bookmarkEnd w:id="3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AAFB6D5" id="Text Box 8" o:spid="_x0000_s1028" type="#_x0000_t202" style="position:absolute;margin-left:0;margin-top:232.85pt;width:406.2pt;height:.05pt;z-index:251666432;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" stroked="f">
                <v:textbox style="mso-fit-shape-to-text:t" inset="0,0,0,0">
                  <w:txbxContent>
                    <w:p w14:paraId="08791C96" w14:textId="32B81065" w:rsidR="004A428A" w:rsidRPr="004A428A" w:rsidRDefault="004A428A" w:rsidP="009572F2">
                      <w:pPr>
                        <w:pStyle w:val="Caption"/>
                        <w:jc w:val="both"/>
                      </w:pPr>
                      <w:bookmarkStart w:id="36" w:name="_Hlk61875662"/>
                      <w:bookmarkStart w:id="37" w:name="_Hlk61875663"/>
                      <w:r w:rsidRPr="000A59F9">
                        <w:rPr>
                          <w:rFonts w:asciiTheme="minorHAnsi" w:hAnsiTheme="minorHAnsi" w:cstheme="minorHAnsi"/>
                          <w:b/>
                          <w:bCs/>
                          <w:i w:val="0"/>
                          <w:iCs w:val="0"/>
                          <w:color w:val="auto"/>
                          <w:sz w:val="20"/>
                          <w:szCs w:val="20"/>
                        </w:rPr>
                        <w:t xml:space="preserve">SUPPLEMENTARY </w:t>
                      </w:r>
                      <w:r w:rsidRPr="004A428A">
                        <w:rPr>
                          <w:rFonts w:asciiTheme="minorHAnsi" w:hAnsiTheme="minorHAnsi" w:cstheme="minorHAnsi"/>
                          <w:b/>
                          <w:bCs/>
                          <w:i w:val="0"/>
                          <w:iCs w:val="0"/>
                          <w:color w:val="auto"/>
                          <w:sz w:val="20"/>
                          <w:szCs w:val="20"/>
                        </w:rPr>
                        <w:t xml:space="preserve">FIGURE </w:t>
                      </w:r>
                      <w:r>
                        <w:rPr>
                          <w:rFonts w:asciiTheme="minorHAnsi" w:hAnsiTheme="minorHAnsi" w:cstheme="minorHAnsi"/>
                          <w:b/>
                          <w:bCs/>
                          <w:i w:val="0"/>
                          <w:iCs w:val="0"/>
                          <w:color w:val="auto"/>
                          <w:sz w:val="20"/>
                          <w:szCs w:val="20"/>
                        </w:rPr>
                        <w:t>S</w:t>
                      </w:r>
                      <w:r w:rsidRPr="004A428A">
                        <w:rPr>
                          <w:rFonts w:asciiTheme="minorHAnsi" w:hAnsiTheme="minorHAnsi" w:cstheme="minorHAnsi"/>
                          <w:b/>
                          <w:bCs/>
                          <w:i w:val="0"/>
                          <w:iCs w:val="0"/>
                          <w:color w:val="auto"/>
                          <w:sz w:val="20"/>
                          <w:szCs w:val="20"/>
                        </w:rPr>
                        <w:fldChar w:fldCharType="begin"/>
                      </w:r>
                      <w:r w:rsidRPr="004A428A">
                        <w:rPr>
                          <w:rFonts w:asciiTheme="minorHAnsi" w:hAnsiTheme="minorHAnsi" w:cstheme="minorHAnsi"/>
                          <w:b/>
                          <w:bCs/>
                          <w:i w:val="0"/>
                          <w:iCs w:val="0"/>
                          <w:color w:val="auto"/>
                          <w:sz w:val="20"/>
                          <w:szCs w:val="20"/>
                        </w:rPr>
                        <w:instrText xml:space="preserve"> SEQ Fig. \* ARABIC </w:instrText>
                      </w:r>
                      <w:r w:rsidRPr="004A428A">
                        <w:rPr>
                          <w:rFonts w:asciiTheme="minorHAnsi" w:hAnsiTheme="minorHAnsi" w:cstheme="minorHAnsi"/>
                          <w:b/>
                          <w:bCs/>
                          <w:i w:val="0"/>
                          <w:iCs w:val="0"/>
                          <w:color w:val="auto"/>
                          <w:sz w:val="20"/>
                          <w:szCs w:val="20"/>
                        </w:rPr>
                        <w:fldChar w:fldCharType="separate"/>
                      </w:r>
                      <w:r w:rsidRPr="004A428A">
                        <w:rPr>
                          <w:rFonts w:asciiTheme="minorHAnsi" w:hAnsiTheme="minorHAnsi" w:cstheme="minorHAnsi"/>
                          <w:b/>
                          <w:bCs/>
                          <w:i w:val="0"/>
                          <w:iCs w:val="0"/>
                          <w:noProof/>
                          <w:color w:val="auto"/>
                          <w:sz w:val="20"/>
                          <w:szCs w:val="20"/>
                        </w:rPr>
                        <w:t>3</w:t>
                      </w:r>
                      <w:r w:rsidRPr="004A428A">
                        <w:rPr>
                          <w:rFonts w:asciiTheme="minorHAnsi" w:hAnsiTheme="minorHAnsi" w:cstheme="minorHAnsi"/>
                          <w:b/>
                          <w:bCs/>
                          <w:i w:val="0"/>
                          <w:iCs w:val="0"/>
                          <w:color w:val="auto"/>
                          <w:sz w:val="20"/>
                          <w:szCs w:val="20"/>
                        </w:rPr>
                        <w:fldChar w:fldCharType="end"/>
                      </w:r>
                      <w:r>
                        <w:rPr>
                          <w:rFonts w:asciiTheme="minorHAnsi" w:hAnsiTheme="minorHAnsi" w:cstheme="minorHAnsi"/>
                          <w:b/>
                          <w:bCs/>
                          <w:i w:val="0"/>
                          <w:iCs w:val="0"/>
                          <w:color w:val="auto"/>
                          <w:sz w:val="20"/>
                          <w:szCs w:val="20"/>
                        </w:rPr>
                        <w:t xml:space="preserve">. </w:t>
                      </w:r>
                      <w:bookmarkStart w:id="38" w:name="_Hlk61875702"/>
                      <w:r w:rsidR="00E53FFB">
                        <w:rPr>
                          <w:rFonts w:asciiTheme="minorHAnsi" w:hAnsiTheme="minorHAnsi" w:cstheme="minorHAnsi"/>
                          <w:b/>
                          <w:bCs/>
                          <w:i w:val="0"/>
                          <w:iCs w:val="0"/>
                          <w:color w:val="auto"/>
                          <w:sz w:val="20"/>
                          <w:szCs w:val="20"/>
                        </w:rPr>
                        <w:t>The</w:t>
                      </w:r>
                      <w:r w:rsidR="008154EE">
                        <w:rPr>
                          <w:rFonts w:asciiTheme="minorHAnsi" w:hAnsiTheme="minorHAnsi" w:cstheme="minorHAnsi"/>
                          <w:b/>
                          <w:bCs/>
                          <w:i w:val="0"/>
                          <w:iCs w:val="0"/>
                          <w:color w:val="auto"/>
                          <w:sz w:val="20"/>
                          <w:szCs w:val="20"/>
                        </w:rPr>
                        <w:t xml:space="preserve"> modulation transfer function (MTF)</w:t>
                      </w:r>
                      <w:r w:rsidR="00E53FFB">
                        <w:rPr>
                          <w:rFonts w:asciiTheme="minorHAnsi" w:hAnsiTheme="minorHAnsi" w:cstheme="minorHAnsi"/>
                          <w:b/>
                          <w:bCs/>
                          <w:i w:val="0"/>
                          <w:iCs w:val="0"/>
                          <w:color w:val="auto"/>
                          <w:sz w:val="20"/>
                          <w:szCs w:val="20"/>
                        </w:rPr>
                        <w:t xml:space="preserve"> profile was used to estimate the spatial resolution of the imaging system</w:t>
                      </w:r>
                      <w:r w:rsidR="00EA0123" w:rsidRPr="00EA0123">
                        <w:t xml:space="preserve"> </w:t>
                      </w:r>
                      <w:r w:rsidR="00EA0123" w:rsidRPr="00EA0123">
                        <w:rPr>
                          <w:rFonts w:asciiTheme="minorHAnsi" w:hAnsiTheme="minorHAnsi" w:cstheme="minorHAnsi"/>
                          <w:b/>
                          <w:bCs/>
                          <w:i w:val="0"/>
                          <w:iCs w:val="0"/>
                          <w:color w:val="auto"/>
                          <w:sz w:val="20"/>
                          <w:szCs w:val="20"/>
                        </w:rPr>
                        <w:t>MTF was determined from a total energy image of a high contrast iodine tube.</w:t>
                      </w:r>
                      <w:r w:rsidR="00EA0123">
                        <w:rPr>
                          <w:rFonts w:asciiTheme="minorHAnsi" w:hAnsiTheme="minorHAnsi" w:cstheme="minorHAnsi"/>
                          <w:b/>
                          <w:bCs/>
                          <w:i w:val="0"/>
                          <w:iCs w:val="0"/>
                          <w:color w:val="auto"/>
                          <w:sz w:val="20"/>
                          <w:szCs w:val="20"/>
                        </w:rPr>
                        <w:t xml:space="preserve"> </w:t>
                      </w:r>
                      <w:r w:rsidR="00075775">
                        <w:rPr>
                          <w:rFonts w:asciiTheme="minorHAnsi" w:hAnsiTheme="minorHAnsi" w:cstheme="minorHAnsi"/>
                          <w:b/>
                          <w:bCs/>
                          <w:i w:val="0"/>
                          <w:iCs w:val="0"/>
                          <w:color w:val="auto"/>
                          <w:sz w:val="20"/>
                          <w:szCs w:val="20"/>
                        </w:rPr>
                        <w:t>Total of 40 locations from five adjacent slices</w:t>
                      </w:r>
                      <w:r w:rsidR="006376ED" w:rsidRPr="006376ED">
                        <w:rPr>
                          <w:rFonts w:asciiTheme="minorHAnsi" w:hAnsiTheme="minorHAnsi" w:cstheme="minorHAnsi"/>
                          <w:b/>
                          <w:bCs/>
                          <w:i w:val="0"/>
                          <w:iCs w:val="0"/>
                          <w:color w:val="auto"/>
                          <w:sz w:val="20"/>
                          <w:szCs w:val="20"/>
                        </w:rPr>
                        <w:t xml:space="preserve"> </w:t>
                      </w:r>
                      <w:r w:rsidR="006376ED">
                        <w:rPr>
                          <w:rFonts w:asciiTheme="minorHAnsi" w:hAnsiTheme="minorHAnsi" w:cstheme="minorHAnsi"/>
                          <w:b/>
                          <w:bCs/>
                          <w:i w:val="0"/>
                          <w:iCs w:val="0"/>
                          <w:color w:val="auto"/>
                          <w:sz w:val="20"/>
                          <w:szCs w:val="20"/>
                        </w:rPr>
                        <w:t>were used in the analysis</w:t>
                      </w:r>
                      <w:r w:rsidR="00075775">
                        <w:rPr>
                          <w:rFonts w:asciiTheme="minorHAnsi" w:hAnsiTheme="minorHAnsi" w:cstheme="minorHAnsi"/>
                          <w:b/>
                          <w:bCs/>
                          <w:i w:val="0"/>
                          <w:iCs w:val="0"/>
                          <w:color w:val="auto"/>
                          <w:sz w:val="20"/>
                          <w:szCs w:val="20"/>
                        </w:rPr>
                        <w:t>.</w:t>
                      </w:r>
                      <w:r w:rsidR="00E53FFB">
                        <w:rPr>
                          <w:rFonts w:asciiTheme="minorHAnsi" w:hAnsiTheme="minorHAnsi" w:cstheme="minorHAnsi"/>
                          <w:b/>
                          <w:bCs/>
                          <w:i w:val="0"/>
                          <w:iCs w:val="0"/>
                          <w:color w:val="auto"/>
                          <w:sz w:val="20"/>
                          <w:szCs w:val="20"/>
                        </w:rPr>
                        <w:t xml:space="preserve"> </w:t>
                      </w:r>
                      <w:r w:rsidR="00E53FFB" w:rsidRPr="00E53FFB">
                        <w:rPr>
                          <w:rFonts w:asciiTheme="minorHAnsi" w:hAnsiTheme="minorHAnsi" w:cstheme="minorHAnsi"/>
                          <w:b/>
                          <w:bCs/>
                          <w:i w:val="0"/>
                          <w:iCs w:val="0"/>
                          <w:color w:val="auto"/>
                          <w:sz w:val="20"/>
                          <w:szCs w:val="20"/>
                        </w:rPr>
                        <w:t>The MTF50% and MTF10% values were 2.43 1/mm and 4.27 1/mm, respectively</w:t>
                      </w:r>
                      <w:r w:rsidR="00E53FFB">
                        <w:rPr>
                          <w:rFonts w:asciiTheme="minorHAnsi" w:hAnsiTheme="minorHAnsi" w:cstheme="minorHAnsi"/>
                          <w:b/>
                          <w:bCs/>
                          <w:i w:val="0"/>
                          <w:iCs w:val="0"/>
                          <w:color w:val="auto"/>
                          <w:sz w:val="20"/>
                          <w:szCs w:val="20"/>
                        </w:rPr>
                        <w:t>.</w:t>
                      </w:r>
                      <w:bookmarkEnd w:id="36"/>
                      <w:bookmarkEnd w:id="37"/>
                      <w:bookmarkEnd w:id="38"/>
                    </w:p>
                  </w:txbxContent>
                </v:textbox>
                <w10:wrap type="topAndBottom" anchorx="margin"/>
              </v:shape>
            </w:pict>
          </mc:Fallback>
        </mc:AlternateContent>
      </w:r>
    </w:p>
    <w:p w14:paraId="46125A03" w14:textId="1699DC4C" w:rsidR="004A428A" w:rsidRDefault="004A428A"/>
    <w:p w14:paraId="1EA947D3" w14:textId="5D19DF13" w:rsidR="004A428A" w:rsidRDefault="004A428A"/>
    <w:sectPr w:rsidR="004A428A" w:rsidSect="009F46D7">
      <w:footerReference w:type="default" r:id="rId10"/>
      <w:pgSz w:w="11906" w:h="16838"/>
      <w:pgMar w:top="1418" w:right="1134" w:bottom="1418" w:left="1134" w:header="709" w:footer="709" w:gutter="0"/>
      <w:lnNumType w:countBy="1" w:restart="continuous"/>
      <w:cols w:space="56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FF8F70" w14:textId="77777777" w:rsidR="00900BA6" w:rsidRDefault="00900BA6" w:rsidP="00ED1700">
      <w:pPr>
        <w:spacing w:after="0" w:line="240" w:lineRule="auto"/>
      </w:pPr>
      <w:r>
        <w:separator/>
      </w:r>
    </w:p>
  </w:endnote>
  <w:endnote w:type="continuationSeparator" w:id="0">
    <w:p w14:paraId="1A8112D1" w14:textId="77777777" w:rsidR="00900BA6" w:rsidRDefault="00900BA6" w:rsidP="00ED1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6555215"/>
      <w:docPartObj>
        <w:docPartGallery w:val="Page Numbers (Bottom of Page)"/>
        <w:docPartUnique/>
      </w:docPartObj>
    </w:sdtPr>
    <w:sdtEndPr>
      <w:rPr>
        <w:noProof/>
      </w:rPr>
    </w:sdtEndPr>
    <w:sdtContent>
      <w:p w14:paraId="086B8CF4" w14:textId="40832B9A" w:rsidR="00ED1700" w:rsidRDefault="00ED170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C49D72" w14:textId="77777777" w:rsidR="00ED1700" w:rsidRDefault="00ED17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039AE" w14:textId="77777777" w:rsidR="00900BA6" w:rsidRDefault="00900BA6" w:rsidP="00ED1700">
      <w:pPr>
        <w:spacing w:after="0" w:line="240" w:lineRule="auto"/>
      </w:pPr>
      <w:r>
        <w:separator/>
      </w:r>
    </w:p>
  </w:footnote>
  <w:footnote w:type="continuationSeparator" w:id="0">
    <w:p w14:paraId="0BB371CC" w14:textId="77777777" w:rsidR="00900BA6" w:rsidRDefault="00900BA6" w:rsidP="00ED170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CIgszIwNLI0NLUxMzUyUdpeDU4uLM/DyQAmPLWgDsxVHvLQAAAA=="/>
  </w:docVars>
  <w:rsids>
    <w:rsidRoot w:val="00F87873"/>
    <w:rsid w:val="00012706"/>
    <w:rsid w:val="00020164"/>
    <w:rsid w:val="00021A36"/>
    <w:rsid w:val="00024DD4"/>
    <w:rsid w:val="00027529"/>
    <w:rsid w:val="00035D73"/>
    <w:rsid w:val="00044C8C"/>
    <w:rsid w:val="000543B0"/>
    <w:rsid w:val="000632BC"/>
    <w:rsid w:val="00064C2B"/>
    <w:rsid w:val="0007519A"/>
    <w:rsid w:val="00075775"/>
    <w:rsid w:val="000775FF"/>
    <w:rsid w:val="00082EE9"/>
    <w:rsid w:val="000835D4"/>
    <w:rsid w:val="00085350"/>
    <w:rsid w:val="000A59F9"/>
    <w:rsid w:val="000C5CF4"/>
    <w:rsid w:val="000C73F2"/>
    <w:rsid w:val="000F08FB"/>
    <w:rsid w:val="00115B66"/>
    <w:rsid w:val="0015513C"/>
    <w:rsid w:val="001606A6"/>
    <w:rsid w:val="00174DA6"/>
    <w:rsid w:val="00183735"/>
    <w:rsid w:val="00186B48"/>
    <w:rsid w:val="00192960"/>
    <w:rsid w:val="001A1049"/>
    <w:rsid w:val="001A3612"/>
    <w:rsid w:val="001C129F"/>
    <w:rsid w:val="001D11B6"/>
    <w:rsid w:val="001D1228"/>
    <w:rsid w:val="001D3EB3"/>
    <w:rsid w:val="001E1E3F"/>
    <w:rsid w:val="002144B5"/>
    <w:rsid w:val="00227680"/>
    <w:rsid w:val="00230620"/>
    <w:rsid w:val="00233D72"/>
    <w:rsid w:val="0024375A"/>
    <w:rsid w:val="002548F3"/>
    <w:rsid w:val="00262F32"/>
    <w:rsid w:val="00275CBB"/>
    <w:rsid w:val="002807E2"/>
    <w:rsid w:val="002846C9"/>
    <w:rsid w:val="00286BBE"/>
    <w:rsid w:val="00290434"/>
    <w:rsid w:val="002911F0"/>
    <w:rsid w:val="002B6479"/>
    <w:rsid w:val="002B68ED"/>
    <w:rsid w:val="002B7BE6"/>
    <w:rsid w:val="002C74C3"/>
    <w:rsid w:val="002C7C3C"/>
    <w:rsid w:val="002D2A0E"/>
    <w:rsid w:val="002E4BFB"/>
    <w:rsid w:val="002F6189"/>
    <w:rsid w:val="002F7C98"/>
    <w:rsid w:val="003101B9"/>
    <w:rsid w:val="0031314B"/>
    <w:rsid w:val="00321D93"/>
    <w:rsid w:val="003427B7"/>
    <w:rsid w:val="00357BD6"/>
    <w:rsid w:val="0039287C"/>
    <w:rsid w:val="003A2522"/>
    <w:rsid w:val="003A594F"/>
    <w:rsid w:val="003B199F"/>
    <w:rsid w:val="003B5D37"/>
    <w:rsid w:val="003C1149"/>
    <w:rsid w:val="003C2B58"/>
    <w:rsid w:val="0043654F"/>
    <w:rsid w:val="00444E81"/>
    <w:rsid w:val="00473BCD"/>
    <w:rsid w:val="00482AE6"/>
    <w:rsid w:val="00483469"/>
    <w:rsid w:val="00485E7C"/>
    <w:rsid w:val="0049494C"/>
    <w:rsid w:val="0049565F"/>
    <w:rsid w:val="004A22A5"/>
    <w:rsid w:val="004A428A"/>
    <w:rsid w:val="004A757D"/>
    <w:rsid w:val="004B0DC3"/>
    <w:rsid w:val="004B2F59"/>
    <w:rsid w:val="004E352F"/>
    <w:rsid w:val="00501DA0"/>
    <w:rsid w:val="00506EE3"/>
    <w:rsid w:val="005131E5"/>
    <w:rsid w:val="00525D24"/>
    <w:rsid w:val="00532ED1"/>
    <w:rsid w:val="00537883"/>
    <w:rsid w:val="00543F65"/>
    <w:rsid w:val="0055292B"/>
    <w:rsid w:val="00565D66"/>
    <w:rsid w:val="0058444E"/>
    <w:rsid w:val="005905B3"/>
    <w:rsid w:val="005A25D4"/>
    <w:rsid w:val="005A42F2"/>
    <w:rsid w:val="005A6C51"/>
    <w:rsid w:val="005C2749"/>
    <w:rsid w:val="005C31C1"/>
    <w:rsid w:val="005C607F"/>
    <w:rsid w:val="005D682F"/>
    <w:rsid w:val="005E7E2A"/>
    <w:rsid w:val="005F3B44"/>
    <w:rsid w:val="005F72CE"/>
    <w:rsid w:val="00600FA6"/>
    <w:rsid w:val="00610C40"/>
    <w:rsid w:val="00632C1D"/>
    <w:rsid w:val="006376ED"/>
    <w:rsid w:val="00647A27"/>
    <w:rsid w:val="0065357A"/>
    <w:rsid w:val="0065592B"/>
    <w:rsid w:val="00672350"/>
    <w:rsid w:val="00693BDC"/>
    <w:rsid w:val="006A3162"/>
    <w:rsid w:val="006A4B9E"/>
    <w:rsid w:val="006A5453"/>
    <w:rsid w:val="006C0F99"/>
    <w:rsid w:val="006C28CD"/>
    <w:rsid w:val="006F41B1"/>
    <w:rsid w:val="006F79D6"/>
    <w:rsid w:val="00700569"/>
    <w:rsid w:val="007054A1"/>
    <w:rsid w:val="00711519"/>
    <w:rsid w:val="00725056"/>
    <w:rsid w:val="007313A9"/>
    <w:rsid w:val="007464C5"/>
    <w:rsid w:val="00752990"/>
    <w:rsid w:val="00770660"/>
    <w:rsid w:val="007809B8"/>
    <w:rsid w:val="00780E86"/>
    <w:rsid w:val="007B3B4F"/>
    <w:rsid w:val="007C308E"/>
    <w:rsid w:val="007D4B32"/>
    <w:rsid w:val="007D5256"/>
    <w:rsid w:val="007D56EF"/>
    <w:rsid w:val="007F638F"/>
    <w:rsid w:val="007F7ED7"/>
    <w:rsid w:val="00804ABC"/>
    <w:rsid w:val="00810543"/>
    <w:rsid w:val="008154EE"/>
    <w:rsid w:val="00816275"/>
    <w:rsid w:val="008223E1"/>
    <w:rsid w:val="008350BD"/>
    <w:rsid w:val="00836010"/>
    <w:rsid w:val="00845E7D"/>
    <w:rsid w:val="00846834"/>
    <w:rsid w:val="00847AD1"/>
    <w:rsid w:val="00854020"/>
    <w:rsid w:val="00890FCA"/>
    <w:rsid w:val="00891DC3"/>
    <w:rsid w:val="008B27BC"/>
    <w:rsid w:val="008B70F8"/>
    <w:rsid w:val="008C0942"/>
    <w:rsid w:val="008C0B3A"/>
    <w:rsid w:val="008C2659"/>
    <w:rsid w:val="008F3CFC"/>
    <w:rsid w:val="008F56F6"/>
    <w:rsid w:val="00900BA6"/>
    <w:rsid w:val="009055A4"/>
    <w:rsid w:val="00914517"/>
    <w:rsid w:val="00921F92"/>
    <w:rsid w:val="00936DE3"/>
    <w:rsid w:val="00940253"/>
    <w:rsid w:val="009446B9"/>
    <w:rsid w:val="009454BA"/>
    <w:rsid w:val="00947E07"/>
    <w:rsid w:val="009544F1"/>
    <w:rsid w:val="00956EF5"/>
    <w:rsid w:val="009572F2"/>
    <w:rsid w:val="00964DC4"/>
    <w:rsid w:val="0097148E"/>
    <w:rsid w:val="00985F71"/>
    <w:rsid w:val="009916B3"/>
    <w:rsid w:val="009A1475"/>
    <w:rsid w:val="009A2F89"/>
    <w:rsid w:val="009A6180"/>
    <w:rsid w:val="009B3751"/>
    <w:rsid w:val="009C0D94"/>
    <w:rsid w:val="009C3CF2"/>
    <w:rsid w:val="009D1A2E"/>
    <w:rsid w:val="009D235F"/>
    <w:rsid w:val="009D297A"/>
    <w:rsid w:val="009F46D7"/>
    <w:rsid w:val="00A10531"/>
    <w:rsid w:val="00A2171B"/>
    <w:rsid w:val="00A40C41"/>
    <w:rsid w:val="00A52D75"/>
    <w:rsid w:val="00A901DD"/>
    <w:rsid w:val="00AA20F9"/>
    <w:rsid w:val="00AB4983"/>
    <w:rsid w:val="00AD0D7C"/>
    <w:rsid w:val="00AD19D8"/>
    <w:rsid w:val="00AD5B22"/>
    <w:rsid w:val="00B066FD"/>
    <w:rsid w:val="00B34CB3"/>
    <w:rsid w:val="00B42CBC"/>
    <w:rsid w:val="00B4473F"/>
    <w:rsid w:val="00B462D8"/>
    <w:rsid w:val="00B6214C"/>
    <w:rsid w:val="00B87F96"/>
    <w:rsid w:val="00B92521"/>
    <w:rsid w:val="00B94F9D"/>
    <w:rsid w:val="00BE3936"/>
    <w:rsid w:val="00C127E2"/>
    <w:rsid w:val="00C21840"/>
    <w:rsid w:val="00C35937"/>
    <w:rsid w:val="00C70F97"/>
    <w:rsid w:val="00C85E70"/>
    <w:rsid w:val="00C97498"/>
    <w:rsid w:val="00CA2A77"/>
    <w:rsid w:val="00CD4C1E"/>
    <w:rsid w:val="00CE0455"/>
    <w:rsid w:val="00CE5157"/>
    <w:rsid w:val="00CF3F43"/>
    <w:rsid w:val="00D02057"/>
    <w:rsid w:val="00D03D4E"/>
    <w:rsid w:val="00D11F2F"/>
    <w:rsid w:val="00D524C3"/>
    <w:rsid w:val="00D546EB"/>
    <w:rsid w:val="00D556A4"/>
    <w:rsid w:val="00D60DF4"/>
    <w:rsid w:val="00D71986"/>
    <w:rsid w:val="00D774E7"/>
    <w:rsid w:val="00D85404"/>
    <w:rsid w:val="00DB3488"/>
    <w:rsid w:val="00DD024A"/>
    <w:rsid w:val="00DD3AB6"/>
    <w:rsid w:val="00DD3F4F"/>
    <w:rsid w:val="00DD783A"/>
    <w:rsid w:val="00DD7BFA"/>
    <w:rsid w:val="00E00D64"/>
    <w:rsid w:val="00E034A0"/>
    <w:rsid w:val="00E16055"/>
    <w:rsid w:val="00E30C3F"/>
    <w:rsid w:val="00E35AAB"/>
    <w:rsid w:val="00E5180A"/>
    <w:rsid w:val="00E53FFB"/>
    <w:rsid w:val="00E571F7"/>
    <w:rsid w:val="00E72B19"/>
    <w:rsid w:val="00E823CB"/>
    <w:rsid w:val="00E83537"/>
    <w:rsid w:val="00EA0123"/>
    <w:rsid w:val="00EA0BF5"/>
    <w:rsid w:val="00EA13A0"/>
    <w:rsid w:val="00EA7C3C"/>
    <w:rsid w:val="00EB6C29"/>
    <w:rsid w:val="00EC23D5"/>
    <w:rsid w:val="00EC6964"/>
    <w:rsid w:val="00ED1700"/>
    <w:rsid w:val="00ED365A"/>
    <w:rsid w:val="00EE5A69"/>
    <w:rsid w:val="00F02180"/>
    <w:rsid w:val="00F36463"/>
    <w:rsid w:val="00F36CD0"/>
    <w:rsid w:val="00F40961"/>
    <w:rsid w:val="00F52244"/>
    <w:rsid w:val="00F575A6"/>
    <w:rsid w:val="00F63DAF"/>
    <w:rsid w:val="00F772D9"/>
    <w:rsid w:val="00F803BB"/>
    <w:rsid w:val="00F8252B"/>
    <w:rsid w:val="00F8632D"/>
    <w:rsid w:val="00F87873"/>
    <w:rsid w:val="00FA3078"/>
    <w:rsid w:val="00FB3969"/>
    <w:rsid w:val="00FB73B3"/>
    <w:rsid w:val="00FB7850"/>
    <w:rsid w:val="00FC21D6"/>
    <w:rsid w:val="00FC4995"/>
    <w:rsid w:val="00FC7A1B"/>
    <w:rsid w:val="00FD1B21"/>
    <w:rsid w:val="00FD3660"/>
    <w:rsid w:val="00FD5412"/>
    <w:rsid w:val="00FD717C"/>
    <w:rsid w:val="00FE1B7F"/>
    <w:rsid w:val="00FE24EF"/>
    <w:rsid w:val="00FE4C5A"/>
    <w:rsid w:val="00FF4DFA"/>
  </w:rsids>
  <m:mathPr>
    <m:mathFont m:val="Cambria Math"/>
    <m:brkBin m:val="before"/>
    <m:brkBinSub m:val="--"/>
    <m:smallFrac m:val="0"/>
    <m:dispDef/>
    <m:lMargin m:val="0"/>
    <m:rMargin m:val="0"/>
    <m:defJc m:val="centerGroup"/>
    <m:wrapIndent m:val="1440"/>
    <m:intLim m:val="subSup"/>
    <m:naryLim m:val="undOvr"/>
  </m:mathPr>
  <w:themeFontLang w:val="fi-FI"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7DCF0"/>
  <w15:chartTrackingRefBased/>
  <w15:docId w15:val="{F048C6AF-1A24-4F2B-9F0E-3EA9D79DC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8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87873"/>
    <w:pPr>
      <w:spacing w:after="0" w:line="240" w:lineRule="auto"/>
    </w:pPr>
  </w:style>
  <w:style w:type="paragraph" w:styleId="Caption">
    <w:name w:val="caption"/>
    <w:basedOn w:val="Normal"/>
    <w:next w:val="Normal"/>
    <w:unhideWhenUsed/>
    <w:qFormat/>
    <w:rsid w:val="00F87873"/>
    <w:pPr>
      <w:spacing w:after="200" w:line="240" w:lineRule="auto"/>
    </w:pPr>
    <w:rPr>
      <w:rFonts w:ascii="Times New Roman" w:eastAsia="Times New Roman" w:hAnsi="Times New Roman" w:cs="Times New Roman"/>
      <w:i/>
      <w:iCs/>
      <w:color w:val="44546A" w:themeColor="text2"/>
      <w:sz w:val="18"/>
      <w:szCs w:val="18"/>
    </w:rPr>
  </w:style>
  <w:style w:type="paragraph" w:styleId="Title">
    <w:name w:val="Title"/>
    <w:basedOn w:val="Normal"/>
    <w:next w:val="Normal"/>
    <w:link w:val="TitleChar"/>
    <w:uiPriority w:val="10"/>
    <w:qFormat/>
    <w:rsid w:val="005E7E2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7E2A"/>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qFormat/>
    <w:rsid w:val="00174DA6"/>
    <w:rPr>
      <w:sz w:val="16"/>
      <w:szCs w:val="16"/>
    </w:rPr>
  </w:style>
  <w:style w:type="paragraph" w:styleId="CommentText">
    <w:name w:val="annotation text"/>
    <w:basedOn w:val="Normal"/>
    <w:link w:val="CommentTextChar"/>
    <w:uiPriority w:val="99"/>
    <w:unhideWhenUsed/>
    <w:qFormat/>
    <w:rsid w:val="00174DA6"/>
    <w:pPr>
      <w:spacing w:line="240" w:lineRule="auto"/>
    </w:pPr>
    <w:rPr>
      <w:sz w:val="20"/>
      <w:szCs w:val="20"/>
    </w:rPr>
  </w:style>
  <w:style w:type="character" w:customStyle="1" w:styleId="CommentTextChar">
    <w:name w:val="Comment Text Char"/>
    <w:basedOn w:val="DefaultParagraphFont"/>
    <w:link w:val="CommentText"/>
    <w:uiPriority w:val="99"/>
    <w:qFormat/>
    <w:rsid w:val="00174DA6"/>
    <w:rPr>
      <w:sz w:val="20"/>
      <w:szCs w:val="20"/>
    </w:rPr>
  </w:style>
  <w:style w:type="paragraph" w:styleId="CommentSubject">
    <w:name w:val="annotation subject"/>
    <w:basedOn w:val="CommentText"/>
    <w:next w:val="CommentText"/>
    <w:link w:val="CommentSubjectChar"/>
    <w:uiPriority w:val="99"/>
    <w:semiHidden/>
    <w:unhideWhenUsed/>
    <w:rsid w:val="00174DA6"/>
    <w:rPr>
      <w:b/>
      <w:bCs/>
    </w:rPr>
  </w:style>
  <w:style w:type="character" w:customStyle="1" w:styleId="CommentSubjectChar">
    <w:name w:val="Comment Subject Char"/>
    <w:basedOn w:val="CommentTextChar"/>
    <w:link w:val="CommentSubject"/>
    <w:uiPriority w:val="99"/>
    <w:semiHidden/>
    <w:rsid w:val="00174DA6"/>
    <w:rPr>
      <w:b/>
      <w:bCs/>
      <w:sz w:val="20"/>
      <w:szCs w:val="20"/>
    </w:rPr>
  </w:style>
  <w:style w:type="paragraph" w:styleId="BalloonText">
    <w:name w:val="Balloon Text"/>
    <w:basedOn w:val="Normal"/>
    <w:link w:val="BalloonTextChar"/>
    <w:uiPriority w:val="99"/>
    <w:semiHidden/>
    <w:unhideWhenUsed/>
    <w:rsid w:val="00174D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4DA6"/>
    <w:rPr>
      <w:rFonts w:ascii="Segoe UI" w:hAnsi="Segoe UI" w:cs="Segoe UI"/>
      <w:sz w:val="18"/>
      <w:szCs w:val="18"/>
    </w:rPr>
  </w:style>
  <w:style w:type="character" w:styleId="LineNumber">
    <w:name w:val="line number"/>
    <w:basedOn w:val="DefaultParagraphFont"/>
    <w:uiPriority w:val="99"/>
    <w:semiHidden/>
    <w:unhideWhenUsed/>
    <w:rsid w:val="004E352F"/>
  </w:style>
  <w:style w:type="paragraph" w:styleId="Revision">
    <w:name w:val="Revision"/>
    <w:hidden/>
    <w:uiPriority w:val="99"/>
    <w:semiHidden/>
    <w:rsid w:val="007054A1"/>
    <w:pPr>
      <w:spacing w:after="0" w:line="240" w:lineRule="auto"/>
    </w:pPr>
  </w:style>
  <w:style w:type="character" w:styleId="Strong">
    <w:name w:val="Strong"/>
    <w:basedOn w:val="DefaultParagraphFont"/>
    <w:uiPriority w:val="22"/>
    <w:qFormat/>
    <w:rsid w:val="00770660"/>
    <w:rPr>
      <w:b/>
      <w:bCs/>
    </w:rPr>
  </w:style>
  <w:style w:type="character" w:customStyle="1" w:styleId="PlainTextChar">
    <w:name w:val="Plain Text Char"/>
    <w:basedOn w:val="DefaultParagraphFont"/>
    <w:link w:val="PlainText"/>
    <w:uiPriority w:val="99"/>
    <w:qFormat/>
    <w:rsid w:val="00CD4C1E"/>
    <w:rPr>
      <w:rFonts w:ascii="Calibri" w:hAnsi="Calibri"/>
      <w:szCs w:val="21"/>
    </w:rPr>
  </w:style>
  <w:style w:type="paragraph" w:styleId="PlainText">
    <w:name w:val="Plain Text"/>
    <w:basedOn w:val="Normal"/>
    <w:link w:val="PlainTextChar"/>
    <w:uiPriority w:val="99"/>
    <w:unhideWhenUsed/>
    <w:qFormat/>
    <w:rsid w:val="00CD4C1E"/>
    <w:pPr>
      <w:spacing w:after="0" w:line="240" w:lineRule="auto"/>
    </w:pPr>
    <w:rPr>
      <w:rFonts w:ascii="Calibri" w:hAnsi="Calibri"/>
      <w:szCs w:val="21"/>
    </w:rPr>
  </w:style>
  <w:style w:type="character" w:customStyle="1" w:styleId="PlainTextChar1">
    <w:name w:val="Plain Text Char1"/>
    <w:basedOn w:val="DefaultParagraphFont"/>
    <w:uiPriority w:val="99"/>
    <w:semiHidden/>
    <w:rsid w:val="00CD4C1E"/>
    <w:rPr>
      <w:rFonts w:ascii="Consolas" w:hAnsi="Consolas"/>
      <w:sz w:val="21"/>
      <w:szCs w:val="21"/>
    </w:rPr>
  </w:style>
  <w:style w:type="paragraph" w:styleId="Header">
    <w:name w:val="header"/>
    <w:basedOn w:val="Normal"/>
    <w:link w:val="HeaderChar"/>
    <w:uiPriority w:val="99"/>
    <w:unhideWhenUsed/>
    <w:rsid w:val="00ED1700"/>
    <w:pPr>
      <w:tabs>
        <w:tab w:val="center" w:pos="4986"/>
        <w:tab w:val="right" w:pos="9972"/>
      </w:tabs>
      <w:spacing w:after="0" w:line="240" w:lineRule="auto"/>
    </w:pPr>
  </w:style>
  <w:style w:type="character" w:customStyle="1" w:styleId="HeaderChar">
    <w:name w:val="Header Char"/>
    <w:basedOn w:val="DefaultParagraphFont"/>
    <w:link w:val="Header"/>
    <w:uiPriority w:val="99"/>
    <w:rsid w:val="00ED1700"/>
  </w:style>
  <w:style w:type="paragraph" w:styleId="Footer">
    <w:name w:val="footer"/>
    <w:basedOn w:val="Normal"/>
    <w:link w:val="FooterChar"/>
    <w:uiPriority w:val="99"/>
    <w:unhideWhenUsed/>
    <w:rsid w:val="00ED1700"/>
    <w:pPr>
      <w:tabs>
        <w:tab w:val="center" w:pos="4986"/>
        <w:tab w:val="right" w:pos="9972"/>
      </w:tabs>
      <w:spacing w:after="0" w:line="240" w:lineRule="auto"/>
    </w:pPr>
  </w:style>
  <w:style w:type="character" w:customStyle="1" w:styleId="FooterChar">
    <w:name w:val="Footer Char"/>
    <w:basedOn w:val="DefaultParagraphFont"/>
    <w:link w:val="Footer"/>
    <w:uiPriority w:val="99"/>
    <w:rsid w:val="00ED1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C3BE2-A90E-4DFE-9224-0A37637A8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7</Pages>
  <Words>10198</Words>
  <Characters>58130</Characters>
  <Application>Microsoft Office Word</Application>
  <DocSecurity>0</DocSecurity>
  <Lines>484</Lines>
  <Paragraphs>136</Paragraphs>
  <ScaleCrop>false</ScaleCrop>
  <HeadingPairs>
    <vt:vector size="4" baseType="variant">
      <vt:variant>
        <vt:lpstr>Title</vt:lpstr>
      </vt:variant>
      <vt:variant>
        <vt:i4>1</vt:i4>
      </vt:variant>
      <vt:variant>
        <vt:lpstr>Otsikko</vt:lpstr>
      </vt:variant>
      <vt:variant>
        <vt:i4>1</vt:i4>
      </vt:variant>
    </vt:vector>
  </HeadingPairs>
  <TitlesOfParts>
    <vt:vector size="2" baseType="lpstr">
      <vt:lpstr/>
      <vt:lpstr/>
    </vt:vector>
  </TitlesOfParts>
  <Company/>
  <LinksUpToDate>false</LinksUpToDate>
  <CharactersWithSpaces>68192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Petri Paakkari</dc:creator>
  <cp:keywords/>
  <dc:description/>
  <cp:lastModifiedBy>Petri Paakkari</cp:lastModifiedBy>
  <cp:revision>13</cp:revision>
  <dcterms:created xsi:type="dcterms:W3CDTF">2021-01-18T09:09:00Z</dcterms:created>
  <dcterms:modified xsi:type="dcterms:W3CDTF">2021-01-19T13:00:00Z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http://csl.mendeley.com/styles/524110781/american-medical-association-2</vt:lpwstr>
  </property>
  <property fmtid="{D5CDD505-2E9C-101B-9397-08002B2CF9AE}" pid="5" name="Mendeley Recent Style Name 1_1">
    <vt:lpwstr>American Medical Association - PP</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http://www.zotero.org/styles/annals-of-biomedical-engineering</vt:lpwstr>
  </property>
  <property fmtid="{D5CDD505-2E9C-101B-9397-08002B2CF9AE}" pid="9" name="Mendeley Recent Style Name 3_1">
    <vt:lpwstr>Annals of Biomedical Engineering</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https://csl.mendeley.com/styles/524110781/ieee-2</vt:lpwstr>
  </property>
  <property fmtid="{D5CDD505-2E9C-101B-9397-08002B2CF9AE}" pid="17" name="Mendeley Recent Style Name 7_1">
    <vt:lpwstr>IEEE - PP</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http://www.zotero.org/styles/springer-vancouver</vt:lpwstr>
  </property>
  <property fmtid="{D5CDD505-2E9C-101B-9397-08002B2CF9AE}" pid="21" name="Mendeley Recent Style Name 9_1">
    <vt:lpwstr>Springer - Vancouver</vt:lpwstr>
  </property>
  <property fmtid="{D5CDD505-2E9C-101B-9397-08002B2CF9AE}" pid="22" name="Mendeley Document_1">
    <vt:lpwstr>True</vt:lpwstr>
  </property>
  <property fmtid="{D5CDD505-2E9C-101B-9397-08002B2CF9AE}" pid="23" name="Mendeley Unique User Id_1">
    <vt:lpwstr>f071a570-1a90-3df2-a612-530966a270ff</vt:lpwstr>
  </property>
  <property fmtid="{D5CDD505-2E9C-101B-9397-08002B2CF9AE}" pid="24" name="Mendeley Citation Style_1">
    <vt:lpwstr>http://www.zotero.org/styles/nature</vt:lpwstr>
  </property>
</Properties>
</file>