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DF9F1" w14:textId="2770D799" w:rsidR="00773FE2" w:rsidRPr="00773FE2" w:rsidRDefault="00773FE2" w:rsidP="00773FE2">
      <w:pPr>
        <w:spacing w:after="0" w:line="240" w:lineRule="auto"/>
        <w:rPr>
          <w:b/>
          <w:color w:val="000000"/>
          <w:lang w:val="en-GB"/>
        </w:rPr>
      </w:pPr>
      <w:bookmarkStart w:id="0" w:name="_GoBack"/>
      <w:bookmarkEnd w:id="0"/>
      <w:r w:rsidRPr="00415F0D">
        <w:rPr>
          <w:b/>
          <w:color w:val="000000"/>
          <w:u w:val="single"/>
          <w:lang w:val="en-GB"/>
        </w:rPr>
        <w:t>Title:</w:t>
      </w:r>
    </w:p>
    <w:p w14:paraId="0FBA3E89" w14:textId="77777777" w:rsidR="00773FE2" w:rsidRDefault="00773FE2" w:rsidP="00773FE2">
      <w:pPr>
        <w:spacing w:after="0" w:line="240" w:lineRule="auto"/>
        <w:rPr>
          <w:rFonts w:eastAsia="Times New Roman" w:cs="Calibri"/>
        </w:rPr>
      </w:pPr>
    </w:p>
    <w:p w14:paraId="76FDD925" w14:textId="77777777" w:rsidR="00773FE2" w:rsidRDefault="00773FE2" w:rsidP="00773FE2">
      <w:pPr>
        <w:spacing w:after="0" w:line="240" w:lineRule="auto"/>
        <w:rPr>
          <w:rFonts w:eastAsia="Times New Roman" w:cs="Calibri"/>
        </w:rPr>
      </w:pPr>
      <w:r>
        <w:rPr>
          <w:color w:val="000000"/>
          <w:lang w:val="en-GB"/>
        </w:rPr>
        <w:t>Elevated levels of mitochondrial CoQ</w:t>
      </w:r>
      <w:r w:rsidRPr="00E71485">
        <w:rPr>
          <w:color w:val="000000"/>
          <w:vertAlign w:val="subscript"/>
          <w:lang w:val="en-GB"/>
        </w:rPr>
        <w:t>10</w:t>
      </w:r>
      <w:r>
        <w:rPr>
          <w:color w:val="000000"/>
          <w:lang w:val="en-GB"/>
        </w:rPr>
        <w:t xml:space="preserve"> induce ROS-mediated</w:t>
      </w:r>
      <w:r w:rsidRPr="000023D4">
        <w:rPr>
          <w:color w:val="000000"/>
          <w:lang w:val="en-GB"/>
        </w:rPr>
        <w:t xml:space="preserve"> </w:t>
      </w:r>
      <w:r>
        <w:rPr>
          <w:color w:val="000000"/>
          <w:lang w:val="en-GB"/>
        </w:rPr>
        <w:t>apoptosis in pancreatic cancer</w:t>
      </w:r>
    </w:p>
    <w:p w14:paraId="0380564F" w14:textId="77777777" w:rsidR="00773FE2" w:rsidRPr="003C1904" w:rsidRDefault="00773FE2" w:rsidP="00773FE2">
      <w:pPr>
        <w:spacing w:after="0" w:line="240" w:lineRule="auto"/>
        <w:rPr>
          <w:rFonts w:eastAsia="Times New Roman" w:cs="Calibri"/>
        </w:rPr>
      </w:pPr>
    </w:p>
    <w:p w14:paraId="6D7BBD88" w14:textId="77777777" w:rsidR="00773FE2" w:rsidRPr="003C1904" w:rsidRDefault="00773FE2" w:rsidP="00773FE2">
      <w:pPr>
        <w:spacing w:after="0" w:line="240" w:lineRule="auto"/>
        <w:rPr>
          <w:rFonts w:eastAsia="Times New Roman" w:cs="Calibri"/>
        </w:rPr>
      </w:pPr>
    </w:p>
    <w:p w14:paraId="3F230A62" w14:textId="77777777" w:rsidR="00773FE2" w:rsidRDefault="00773FE2" w:rsidP="00773FE2">
      <w:pPr>
        <w:spacing w:after="0" w:line="360" w:lineRule="auto"/>
        <w:rPr>
          <w:color w:val="000000"/>
          <w:lang w:val="en-GB"/>
        </w:rPr>
      </w:pPr>
    </w:p>
    <w:p w14:paraId="3E5234BB" w14:textId="77777777" w:rsidR="00773FE2" w:rsidRPr="000023D4" w:rsidRDefault="00773FE2" w:rsidP="00773FE2">
      <w:pPr>
        <w:spacing w:after="0" w:line="360" w:lineRule="auto"/>
        <w:rPr>
          <w:color w:val="000000"/>
          <w:lang w:val="en-GB"/>
        </w:rPr>
      </w:pPr>
      <w:r w:rsidRPr="0044194C">
        <w:rPr>
          <w:b/>
          <w:bCs/>
          <w:color w:val="000000"/>
          <w:lang w:val="en-GB"/>
        </w:rPr>
        <w:t>Author Block:</w:t>
      </w:r>
      <w:r>
        <w:rPr>
          <w:color w:val="000000"/>
          <w:lang w:val="en-GB"/>
        </w:rPr>
        <w:t xml:space="preserve"> </w:t>
      </w:r>
      <w:r w:rsidRPr="007A0A7D">
        <w:rPr>
          <w:color w:val="000000" w:themeColor="text1"/>
        </w:rPr>
        <w:t xml:space="preserve">Tulin </w:t>
      </w:r>
      <w:proofErr w:type="spellStart"/>
      <w:r w:rsidRPr="007A0A7D">
        <w:rPr>
          <w:color w:val="000000" w:themeColor="text1"/>
        </w:rPr>
        <w:t>Dadali</w:t>
      </w:r>
      <w:proofErr w:type="spellEnd"/>
      <w:r w:rsidRPr="00536FBF">
        <w:rPr>
          <w:rFonts w:cs="Calibri"/>
          <w:color w:val="000000"/>
          <w:vertAlign w:val="superscript"/>
          <w:lang w:val="en-GB"/>
        </w:rPr>
        <w:t>†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 Anne R. Diers</w:t>
      </w:r>
      <w:r w:rsidRPr="00536FBF">
        <w:rPr>
          <w:rFonts w:cs="Calibri"/>
          <w:color w:val="000000"/>
          <w:vertAlign w:val="superscript"/>
          <w:lang w:val="en-GB"/>
        </w:rPr>
        <w:t>†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</w:t>
      </w:r>
      <w:r w:rsidRPr="005F1D96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Pr="00470D71">
        <w:rPr>
          <w:color w:val="000000" w:themeColor="text1"/>
        </w:rPr>
        <w:t xml:space="preserve">hiva </w:t>
      </w:r>
      <w:r>
        <w:rPr>
          <w:color w:val="000000" w:themeColor="text1"/>
        </w:rPr>
        <w:t>K</w:t>
      </w:r>
      <w:r w:rsidRPr="00470D71">
        <w:rPr>
          <w:color w:val="000000" w:themeColor="text1"/>
        </w:rPr>
        <w:t>azerounian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>Senthil</w:t>
      </w:r>
      <w:r>
        <w:rPr>
          <w:color w:val="000000" w:themeColor="text1"/>
        </w:rPr>
        <w:t xml:space="preserve"> K. </w:t>
      </w:r>
      <w:r w:rsidRPr="007A0A7D">
        <w:rPr>
          <w:color w:val="000000" w:themeColor="text1"/>
        </w:rPr>
        <w:t>Muthuswamy</w:t>
      </w:r>
      <w:r w:rsidRPr="00235AB0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>Pallavi Awate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 Ryan Ng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 xml:space="preserve">, </w:t>
      </w:r>
      <w:proofErr w:type="spellStart"/>
      <w:r w:rsidRPr="007A0A7D">
        <w:rPr>
          <w:color w:val="000000" w:themeColor="text1"/>
        </w:rPr>
        <w:t>Saie</w:t>
      </w:r>
      <w:proofErr w:type="spellEnd"/>
      <w:r w:rsidRPr="007A0A7D">
        <w:rPr>
          <w:color w:val="000000" w:themeColor="text1"/>
        </w:rPr>
        <w:t xml:space="preserve"> Mogre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 xml:space="preserve">, </w:t>
      </w:r>
      <w:r>
        <w:rPr>
          <w:color w:val="000000" w:themeColor="text1"/>
        </w:rPr>
        <w:t>Carrie Spencer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,</w:t>
      </w:r>
      <w:r w:rsidRPr="00470D71">
        <w:rPr>
          <w:color w:val="000000" w:themeColor="text1"/>
        </w:rPr>
        <w:t xml:space="preserve"> </w:t>
      </w:r>
      <w:r>
        <w:rPr>
          <w:color w:val="000000" w:themeColor="text1"/>
        </w:rPr>
        <w:t>Katerina Krumova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 xml:space="preserve">Hannah </w:t>
      </w:r>
      <w:r>
        <w:rPr>
          <w:color w:val="000000" w:themeColor="text1"/>
        </w:rPr>
        <w:t xml:space="preserve">E. </w:t>
      </w:r>
      <w:r w:rsidRPr="007A0A7D">
        <w:rPr>
          <w:color w:val="000000" w:themeColor="text1"/>
        </w:rPr>
        <w:t>Rockwell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7A0A7D">
        <w:rPr>
          <w:color w:val="000000" w:themeColor="text1"/>
        </w:rPr>
        <w:t>Justice McDaniel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 xml:space="preserve">, Emily </w:t>
      </w:r>
      <w:r>
        <w:rPr>
          <w:color w:val="000000" w:themeColor="text1"/>
        </w:rPr>
        <w:t xml:space="preserve">Y. </w:t>
      </w:r>
      <w:r w:rsidRPr="007A0A7D">
        <w:rPr>
          <w:color w:val="000000" w:themeColor="text1"/>
        </w:rPr>
        <w:t>Chen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</w:t>
      </w:r>
      <w:r w:rsidRPr="007A0A7D">
        <w:t xml:space="preserve"> </w:t>
      </w:r>
      <w:r w:rsidRPr="007A0A7D">
        <w:rPr>
          <w:color w:val="000000" w:themeColor="text1"/>
        </w:rPr>
        <w:t>Fei Gao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 xml:space="preserve">, Karl </w:t>
      </w:r>
      <w:r>
        <w:rPr>
          <w:color w:val="000000" w:themeColor="text1"/>
        </w:rPr>
        <w:t xml:space="preserve">T. </w:t>
      </w:r>
      <w:r w:rsidRPr="007A0A7D">
        <w:rPr>
          <w:color w:val="000000" w:themeColor="text1"/>
        </w:rPr>
        <w:t>Diedrich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,</w:t>
      </w:r>
      <w:r w:rsidRPr="007A0A7D">
        <w:t xml:space="preserve"> </w:t>
      </w:r>
      <w:proofErr w:type="spellStart"/>
      <w:r>
        <w:rPr>
          <w:color w:val="000000" w:themeColor="text1"/>
        </w:rPr>
        <w:t>V</w:t>
      </w:r>
      <w:r w:rsidRPr="007A0A7D">
        <w:rPr>
          <w:color w:val="000000" w:themeColor="text1"/>
        </w:rPr>
        <w:t>ijetha</w:t>
      </w:r>
      <w:proofErr w:type="spellEnd"/>
      <w:r w:rsidRPr="007A0A7D">
        <w:rPr>
          <w:color w:val="000000" w:themeColor="text1"/>
        </w:rPr>
        <w:t xml:space="preserve"> </w:t>
      </w:r>
      <w:r>
        <w:rPr>
          <w:color w:val="000000" w:themeColor="text1"/>
        </w:rPr>
        <w:t>V</w:t>
      </w:r>
      <w:r w:rsidRPr="007A0A7D">
        <w:rPr>
          <w:color w:val="000000" w:themeColor="text1"/>
        </w:rPr>
        <w:t>emulapalli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Leonardo O. </w:t>
      </w:r>
      <w:r w:rsidRPr="00470D71">
        <w:rPr>
          <w:color w:val="000000" w:themeColor="text1"/>
        </w:rPr>
        <w:t>Rodrigues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proofErr w:type="spellStart"/>
      <w:r w:rsidRPr="00470D71">
        <w:rPr>
          <w:color w:val="000000" w:themeColor="text1"/>
        </w:rPr>
        <w:t>Viatcheslav</w:t>
      </w:r>
      <w:proofErr w:type="spellEnd"/>
      <w:r w:rsidRPr="00470D71">
        <w:rPr>
          <w:color w:val="000000" w:themeColor="text1"/>
        </w:rPr>
        <w:t xml:space="preserve"> R.</w:t>
      </w:r>
      <w:r>
        <w:rPr>
          <w:color w:val="000000" w:themeColor="text1"/>
        </w:rPr>
        <w:t xml:space="preserve"> </w:t>
      </w:r>
      <w:r w:rsidRPr="00470D71">
        <w:rPr>
          <w:color w:val="000000" w:themeColor="text1"/>
        </w:rPr>
        <w:t>Akmaev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proofErr w:type="spellStart"/>
      <w:r w:rsidRPr="001C6688">
        <w:rPr>
          <w:color w:val="000000" w:themeColor="text1"/>
        </w:rPr>
        <w:t>Khampaseuth</w:t>
      </w:r>
      <w:proofErr w:type="spellEnd"/>
      <w:r w:rsidRPr="001C6688">
        <w:rPr>
          <w:color w:val="000000" w:themeColor="text1"/>
        </w:rPr>
        <w:t xml:space="preserve"> Thapa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>Manuel Hidalgo</w:t>
      </w:r>
      <w:r w:rsidRPr="00235AB0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 xml:space="preserve">Arindam </w:t>
      </w:r>
      <w:r>
        <w:rPr>
          <w:color w:val="000000" w:themeColor="text1"/>
        </w:rPr>
        <w:t>Bose</w:t>
      </w:r>
      <w:r w:rsidRPr="00235AB0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>Vivek K. Vishnudas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, A. James Moser</w:t>
      </w:r>
      <w:r w:rsidRPr="00235AB0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</w:t>
      </w:r>
      <w:r w:rsidRPr="00225B77">
        <w:rPr>
          <w:color w:val="000000" w:themeColor="text1"/>
        </w:rPr>
        <w:t>Elder Granger</w:t>
      </w:r>
      <w:r w:rsidRPr="00225B77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r w:rsidRPr="007A0A7D">
        <w:rPr>
          <w:color w:val="000000" w:themeColor="text1"/>
        </w:rPr>
        <w:t xml:space="preserve">Michael </w:t>
      </w:r>
      <w:r>
        <w:rPr>
          <w:color w:val="000000" w:themeColor="text1"/>
        </w:rPr>
        <w:t xml:space="preserve">A. </w:t>
      </w:r>
      <w:r w:rsidRPr="007A0A7D">
        <w:rPr>
          <w:color w:val="000000" w:themeColor="text1"/>
        </w:rPr>
        <w:t>Kiebish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 Stephane Gesta</w:t>
      </w:r>
      <w:r w:rsidRPr="00235AB0">
        <w:rPr>
          <w:color w:val="000000" w:themeColor="text1"/>
          <w:vertAlign w:val="superscript"/>
        </w:rPr>
        <w:t>1</w:t>
      </w:r>
      <w:r w:rsidRPr="007A0A7D">
        <w:rPr>
          <w:color w:val="000000" w:themeColor="text1"/>
        </w:rPr>
        <w:t>, Niven R. Narain</w:t>
      </w:r>
      <w:r w:rsidRPr="00235AB0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, </w:t>
      </w:r>
      <w:proofErr w:type="spellStart"/>
      <w:r w:rsidRPr="007A0A7D">
        <w:rPr>
          <w:color w:val="000000" w:themeColor="text1"/>
        </w:rPr>
        <w:t>Rangaprasad</w:t>
      </w:r>
      <w:proofErr w:type="spellEnd"/>
      <w:r w:rsidRPr="007A0A7D">
        <w:rPr>
          <w:color w:val="000000" w:themeColor="text1"/>
        </w:rPr>
        <w:t xml:space="preserve"> Sarangarajan</w:t>
      </w:r>
      <w:r>
        <w:rPr>
          <w:color w:val="000000" w:themeColor="text1"/>
        </w:rPr>
        <w:t>*</w:t>
      </w:r>
      <w:r w:rsidRPr="00235AB0">
        <w:rPr>
          <w:color w:val="000000" w:themeColor="text1"/>
          <w:vertAlign w:val="superscript"/>
        </w:rPr>
        <w:t>1</w:t>
      </w:r>
    </w:p>
    <w:p w14:paraId="72BDCFAF" w14:textId="77777777" w:rsidR="00773FE2" w:rsidRPr="00235AB0" w:rsidRDefault="00773FE2" w:rsidP="00773FE2">
      <w:pPr>
        <w:spacing w:after="0" w:line="360" w:lineRule="auto"/>
        <w:rPr>
          <w:color w:val="000000"/>
          <w:lang w:val="en-GB"/>
        </w:rPr>
      </w:pPr>
      <w:r w:rsidRPr="00536FBF">
        <w:rPr>
          <w:rFonts w:cs="Calibri"/>
          <w:color w:val="000000"/>
          <w:vertAlign w:val="superscript"/>
          <w:lang w:val="en-GB"/>
        </w:rPr>
        <w:t>†</w:t>
      </w:r>
      <w:r w:rsidRPr="00235AB0">
        <w:rPr>
          <w:color w:val="000000"/>
          <w:lang w:val="en-GB"/>
        </w:rPr>
        <w:t>Designates joint first authorship</w:t>
      </w:r>
    </w:p>
    <w:p w14:paraId="76D56009" w14:textId="77777777" w:rsidR="00773FE2" w:rsidRPr="00536FBF" w:rsidRDefault="00773FE2" w:rsidP="00773FE2">
      <w:pPr>
        <w:spacing w:after="0" w:line="360" w:lineRule="auto"/>
        <w:rPr>
          <w:bCs/>
          <w:color w:val="000000"/>
          <w:lang w:val="en-GB"/>
        </w:rPr>
      </w:pPr>
      <w:r w:rsidRPr="00536FBF">
        <w:rPr>
          <w:bCs/>
          <w:color w:val="000000"/>
          <w:vertAlign w:val="superscript"/>
          <w:lang w:val="en-GB"/>
        </w:rPr>
        <w:t>1</w:t>
      </w:r>
      <w:r w:rsidRPr="00536FBF">
        <w:rPr>
          <w:bCs/>
          <w:color w:val="000000"/>
          <w:lang w:val="en-GB"/>
        </w:rPr>
        <w:t>BERG LLC, Framingham, MA, 01701, USA</w:t>
      </w:r>
    </w:p>
    <w:p w14:paraId="72D23606" w14:textId="77777777" w:rsidR="00773FE2" w:rsidRPr="00D51007" w:rsidRDefault="00773FE2" w:rsidP="00773FE2">
      <w:pPr>
        <w:spacing w:after="0" w:line="240" w:lineRule="auto"/>
        <w:rPr>
          <w:bCs/>
          <w:color w:val="000000"/>
          <w:lang w:val="en-GB"/>
        </w:rPr>
      </w:pPr>
      <w:r w:rsidRPr="00E71485">
        <w:rPr>
          <w:bCs/>
          <w:color w:val="000000"/>
          <w:vertAlign w:val="superscript"/>
          <w:lang w:val="en-GB"/>
        </w:rPr>
        <w:t>2</w:t>
      </w:r>
      <w:r w:rsidRPr="00D51007">
        <w:rPr>
          <w:bCs/>
          <w:color w:val="000000"/>
          <w:lang w:val="en-GB"/>
        </w:rPr>
        <w:t xml:space="preserve">Department of Medicine, Cancer Research Institute, Beth Israel Deaconess Medical </w:t>
      </w:r>
      <w:proofErr w:type="spellStart"/>
      <w:r w:rsidRPr="00D51007">
        <w:rPr>
          <w:bCs/>
          <w:color w:val="000000"/>
          <w:lang w:val="en-GB"/>
        </w:rPr>
        <w:t>Center</w:t>
      </w:r>
      <w:proofErr w:type="spellEnd"/>
      <w:r w:rsidRPr="00D51007">
        <w:rPr>
          <w:bCs/>
          <w:color w:val="000000"/>
          <w:lang w:val="en-GB"/>
        </w:rPr>
        <w:t>, Harvard Medical School, Boston, M</w:t>
      </w:r>
      <w:r>
        <w:rPr>
          <w:bCs/>
          <w:color w:val="000000"/>
          <w:lang w:val="en-GB"/>
        </w:rPr>
        <w:t>A, 02215, USA</w:t>
      </w:r>
      <w:r w:rsidRPr="00D51007">
        <w:rPr>
          <w:bCs/>
          <w:color w:val="000000"/>
          <w:lang w:val="en-GB"/>
        </w:rPr>
        <w:t>.</w:t>
      </w:r>
    </w:p>
    <w:p w14:paraId="056F6EA8" w14:textId="77777777" w:rsidR="00773FE2" w:rsidRPr="00E71485" w:rsidRDefault="00773FE2" w:rsidP="00773FE2">
      <w:pPr>
        <w:spacing w:after="0" w:line="240" w:lineRule="auto"/>
        <w:ind w:left="-360"/>
        <w:rPr>
          <w:rFonts w:ascii="Segoe UI" w:eastAsia="Times New Roman" w:hAnsi="Segoe UI" w:cs="Segoe UI"/>
          <w:color w:val="212121"/>
          <w:sz w:val="24"/>
          <w:szCs w:val="24"/>
        </w:rPr>
      </w:pPr>
    </w:p>
    <w:p w14:paraId="1EF4DADB" w14:textId="77777777" w:rsidR="00773FE2" w:rsidRPr="00E71485" w:rsidRDefault="00773FE2" w:rsidP="00773F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27CC366" w14:textId="77777777" w:rsidR="00773FE2" w:rsidRPr="000023D4" w:rsidRDefault="00773FE2" w:rsidP="00773FE2">
      <w:pPr>
        <w:spacing w:after="0" w:line="360" w:lineRule="auto"/>
        <w:rPr>
          <w:b/>
          <w:color w:val="000000"/>
          <w:lang w:val="en-GB"/>
        </w:rPr>
      </w:pPr>
      <w:r>
        <w:rPr>
          <w:b/>
          <w:color w:val="000000"/>
          <w:lang w:val="en-GB"/>
        </w:rPr>
        <w:t xml:space="preserve"> </w:t>
      </w:r>
    </w:p>
    <w:p w14:paraId="7760F099" w14:textId="77777777" w:rsidR="00773FE2" w:rsidRPr="000023D4" w:rsidRDefault="00773FE2" w:rsidP="00773FE2">
      <w:pPr>
        <w:rPr>
          <w:color w:val="000000"/>
          <w:lang w:val="en-GB"/>
        </w:rPr>
      </w:pPr>
    </w:p>
    <w:p w14:paraId="5CFB27E6" w14:textId="77777777" w:rsidR="00773FE2" w:rsidRPr="0044194C" w:rsidRDefault="00773FE2" w:rsidP="00773FE2">
      <w:pPr>
        <w:spacing w:line="240" w:lineRule="auto"/>
        <w:contextualSpacing/>
        <w:rPr>
          <w:b/>
          <w:bCs/>
          <w:color w:val="000000"/>
          <w:lang w:val="en-GB"/>
        </w:rPr>
      </w:pPr>
      <w:r w:rsidRPr="0044194C">
        <w:rPr>
          <w:b/>
          <w:bCs/>
          <w:color w:val="000000"/>
          <w:lang w:val="en-GB"/>
        </w:rPr>
        <w:t>Corresponding Author</w:t>
      </w:r>
    </w:p>
    <w:p w14:paraId="2A368862" w14:textId="77777777" w:rsidR="00773FE2" w:rsidRDefault="00773FE2" w:rsidP="00773FE2">
      <w:pPr>
        <w:spacing w:line="240" w:lineRule="auto"/>
        <w:contextualSpacing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Rangaprasad</w:t>
      </w:r>
      <w:proofErr w:type="spellEnd"/>
      <w:r>
        <w:rPr>
          <w:color w:val="000000"/>
          <w:lang w:val="en-GB"/>
        </w:rPr>
        <w:t xml:space="preserve"> Sarangarajan, Ph.D.</w:t>
      </w:r>
    </w:p>
    <w:p w14:paraId="091AEBAD" w14:textId="77777777" w:rsidR="00773FE2" w:rsidRDefault="00773FE2" w:rsidP="00773FE2">
      <w:pPr>
        <w:spacing w:line="240" w:lineRule="auto"/>
        <w:contextualSpacing/>
        <w:rPr>
          <w:color w:val="000000"/>
          <w:lang w:val="en-GB"/>
        </w:rPr>
      </w:pPr>
      <w:r>
        <w:rPr>
          <w:color w:val="000000"/>
          <w:lang w:val="en-GB"/>
        </w:rPr>
        <w:t xml:space="preserve">500 Old Connecticut Path, </w:t>
      </w:r>
      <w:proofErr w:type="spellStart"/>
      <w:r>
        <w:rPr>
          <w:color w:val="000000"/>
          <w:lang w:val="en-GB"/>
        </w:rPr>
        <w:t>Bldg</w:t>
      </w:r>
      <w:proofErr w:type="spellEnd"/>
      <w:r>
        <w:rPr>
          <w:color w:val="000000"/>
          <w:lang w:val="en-GB"/>
        </w:rPr>
        <w:t xml:space="preserve"> B, 3</w:t>
      </w:r>
      <w:r w:rsidRPr="0044194C">
        <w:rPr>
          <w:color w:val="000000"/>
          <w:vertAlign w:val="superscript"/>
          <w:lang w:val="en-GB"/>
        </w:rPr>
        <w:t>rd</w:t>
      </w:r>
      <w:r>
        <w:rPr>
          <w:color w:val="000000"/>
          <w:lang w:val="en-GB"/>
        </w:rPr>
        <w:t xml:space="preserve"> Floor</w:t>
      </w:r>
    </w:p>
    <w:p w14:paraId="68CFF7AE" w14:textId="77777777" w:rsidR="00773FE2" w:rsidRDefault="00773FE2" w:rsidP="00773FE2">
      <w:pPr>
        <w:spacing w:after="0" w:line="240" w:lineRule="auto"/>
        <w:contextualSpacing/>
        <w:rPr>
          <w:color w:val="000000"/>
          <w:lang w:val="en-GB"/>
        </w:rPr>
      </w:pPr>
      <w:r>
        <w:rPr>
          <w:color w:val="000000"/>
          <w:lang w:val="en-GB"/>
        </w:rPr>
        <w:t>Framingham, MA 01710</w:t>
      </w:r>
    </w:p>
    <w:p w14:paraId="0D5DB205" w14:textId="77777777" w:rsidR="00773FE2" w:rsidRDefault="00773FE2" w:rsidP="00773FE2">
      <w:pPr>
        <w:spacing w:after="0" w:line="240" w:lineRule="auto"/>
        <w:contextualSpacing/>
        <w:rPr>
          <w:color w:val="000000"/>
          <w:lang w:val="en-GB"/>
        </w:rPr>
      </w:pPr>
      <w:r>
        <w:rPr>
          <w:color w:val="000000"/>
          <w:lang w:val="en-GB"/>
        </w:rPr>
        <w:t xml:space="preserve">Email: </w:t>
      </w:r>
      <w:hyperlink r:id="rId4" w:history="1">
        <w:r w:rsidRPr="000F5F85">
          <w:rPr>
            <w:rStyle w:val="Hyperlink"/>
            <w:lang w:val="en-GB"/>
          </w:rPr>
          <w:t>Rangaprasad.Sarangarajan@BergHealth.com</w:t>
        </w:r>
      </w:hyperlink>
    </w:p>
    <w:p w14:paraId="5E831B31" w14:textId="77777777" w:rsidR="00773FE2" w:rsidRPr="0044194C" w:rsidRDefault="00773FE2" w:rsidP="00773FE2">
      <w:pPr>
        <w:spacing w:after="0" w:line="240" w:lineRule="auto"/>
        <w:rPr>
          <w:color w:val="000000"/>
          <w:lang w:val="en-GB"/>
        </w:rPr>
      </w:pPr>
      <w:r>
        <w:rPr>
          <w:color w:val="000000"/>
          <w:lang w:val="en-GB"/>
        </w:rPr>
        <w:t>Phone: 617-588-2164</w:t>
      </w:r>
      <w:r w:rsidRPr="000023D4">
        <w:rPr>
          <w:b/>
          <w:color w:val="000000"/>
          <w:lang w:val="en-GB"/>
        </w:rPr>
        <w:br w:type="page"/>
      </w:r>
    </w:p>
    <w:p w14:paraId="4D251E84" w14:textId="2F0BD60F" w:rsidR="00811540" w:rsidRPr="000023D4" w:rsidRDefault="00773FE2" w:rsidP="00811540">
      <w:pPr>
        <w:widowControl w:val="0"/>
        <w:spacing w:after="120" w:line="360" w:lineRule="auto"/>
        <w:outlineLvl w:val="0"/>
        <w:rPr>
          <w:b/>
          <w:color w:val="000000"/>
          <w:lang w:val="en-GB"/>
        </w:rPr>
      </w:pPr>
      <w:r>
        <w:rPr>
          <w:b/>
          <w:color w:val="000000"/>
          <w:lang w:val="en-GB"/>
        </w:rPr>
        <w:lastRenderedPageBreak/>
        <w:t>S</w:t>
      </w:r>
      <w:r w:rsidR="00811540" w:rsidRPr="000023D4">
        <w:rPr>
          <w:b/>
          <w:color w:val="000000"/>
          <w:lang w:val="en-GB"/>
        </w:rPr>
        <w:t>upplemental Figure</w:t>
      </w:r>
      <w:r w:rsidR="00811540">
        <w:rPr>
          <w:b/>
          <w:color w:val="000000"/>
          <w:lang w:val="en-GB"/>
        </w:rPr>
        <w:t>s</w:t>
      </w:r>
      <w:r w:rsidR="00811540" w:rsidRPr="000023D4">
        <w:rPr>
          <w:b/>
          <w:color w:val="000000"/>
          <w:lang w:val="en-GB"/>
        </w:rPr>
        <w:t xml:space="preserve"> and Table Legends</w:t>
      </w:r>
    </w:p>
    <w:p w14:paraId="35ACEFA8" w14:textId="76E8F063" w:rsidR="00CF0FEF" w:rsidRPr="004E0BA0" w:rsidRDefault="00CF0FEF" w:rsidP="004E0BA0">
      <w:pPr>
        <w:widowControl w:val="0"/>
        <w:spacing w:after="0" w:line="360" w:lineRule="auto"/>
        <w:rPr>
          <w:color w:val="000000"/>
          <w:szCs w:val="16"/>
          <w:lang w:val="en-GB"/>
        </w:rPr>
      </w:pPr>
      <w:r>
        <w:rPr>
          <w:b/>
          <w:color w:val="000000"/>
          <w:lang w:val="en-GB"/>
        </w:rPr>
        <w:t xml:space="preserve">Supplemental </w:t>
      </w:r>
      <w:r w:rsidRPr="000023D4">
        <w:rPr>
          <w:b/>
          <w:color w:val="000000"/>
          <w:lang w:val="en-GB"/>
        </w:rPr>
        <w:t>Table 1.</w:t>
      </w:r>
      <w:r w:rsidRPr="000023D4">
        <w:rPr>
          <w:color w:val="000000"/>
          <w:lang w:val="en-GB"/>
        </w:rPr>
        <w:t xml:space="preserve"> </w:t>
      </w:r>
      <w:r w:rsidRPr="004337DA">
        <w:rPr>
          <w:i/>
          <w:iCs/>
          <w:color w:val="000000"/>
          <w:lang w:val="en-GB"/>
        </w:rPr>
        <w:t>Cellular delivery of CoQ</w:t>
      </w:r>
      <w:r w:rsidRPr="004337DA">
        <w:rPr>
          <w:i/>
          <w:iCs/>
          <w:color w:val="000000"/>
          <w:vertAlign w:val="subscript"/>
          <w:lang w:val="en-GB"/>
        </w:rPr>
        <w:t>10</w:t>
      </w:r>
      <w:r w:rsidRPr="004337DA">
        <w:rPr>
          <w:i/>
          <w:iCs/>
          <w:color w:val="000000"/>
          <w:lang w:val="en-GB"/>
        </w:rPr>
        <w:t xml:space="preserve"> by BPM31510 accumulates in the mitochondria of MIA PaCa-2 and PANC1 cells in a time-dependent manner</w:t>
      </w:r>
      <w:r w:rsidR="004337DA" w:rsidRPr="00CF0FEF">
        <w:rPr>
          <w:i/>
          <w:iCs/>
          <w:color w:val="000000"/>
          <w:szCs w:val="16"/>
          <w:lang w:val="en-GB"/>
        </w:rPr>
        <w:t>.</w:t>
      </w:r>
      <w:r w:rsidR="004337DA" w:rsidRPr="00CF0FEF">
        <w:rPr>
          <w:color w:val="000000"/>
          <w:szCs w:val="16"/>
          <w:lang w:val="en-GB"/>
        </w:rPr>
        <w:t xml:space="preserve"> Cells were treated with BPM31510 (EC</w:t>
      </w:r>
      <w:r w:rsidR="004337DA" w:rsidRPr="00CF0FEF">
        <w:rPr>
          <w:color w:val="000000"/>
          <w:szCs w:val="16"/>
          <w:vertAlign w:val="subscript"/>
          <w:lang w:val="en-GB"/>
        </w:rPr>
        <w:t>50</w:t>
      </w:r>
      <w:r w:rsidR="004337DA" w:rsidRPr="00CF0FEF">
        <w:rPr>
          <w:color w:val="000000"/>
          <w:szCs w:val="16"/>
          <w:lang w:val="en-GB"/>
        </w:rPr>
        <w:t>) for 24 or 48 h, washed, and lysed. Subcellular fractionation was carried out by sucrose gradient centrifugation. Total CoQ</w:t>
      </w:r>
      <w:r w:rsidR="004337DA" w:rsidRPr="00CF0FEF">
        <w:rPr>
          <w:color w:val="000000"/>
          <w:szCs w:val="16"/>
          <w:vertAlign w:val="subscript"/>
          <w:lang w:val="en-GB"/>
        </w:rPr>
        <w:t>10</w:t>
      </w:r>
      <w:r w:rsidR="004337DA" w:rsidRPr="00CF0FEF">
        <w:rPr>
          <w:color w:val="000000"/>
          <w:szCs w:val="16"/>
          <w:lang w:val="en-GB"/>
        </w:rPr>
        <w:t xml:space="preserve"> levels were measured by LC MS/MS. The data represent the means + SEM of total protein (nmol/mg) from six independent experiments. The data were analysed by one-way ANOVA followed by Tukey’s post hoc test</w:t>
      </w:r>
      <w:r w:rsidR="004337DA">
        <w:rPr>
          <w:color w:val="000000"/>
          <w:szCs w:val="16"/>
          <w:lang w:val="en-GB"/>
        </w:rPr>
        <w:t>.</w:t>
      </w:r>
    </w:p>
    <w:p w14:paraId="241091AF" w14:textId="39100A6C" w:rsidR="00811540" w:rsidRPr="000023D4" w:rsidRDefault="00811540" w:rsidP="00811540">
      <w:pPr>
        <w:widowControl w:val="0"/>
        <w:spacing w:after="120" w:line="360" w:lineRule="auto"/>
        <w:rPr>
          <w:color w:val="000000"/>
          <w:lang w:val="en-GB"/>
        </w:rPr>
      </w:pPr>
      <w:r w:rsidRPr="000023D4">
        <w:rPr>
          <w:b/>
          <w:color w:val="000000"/>
          <w:lang w:val="en-GB"/>
        </w:rPr>
        <w:t>Supplemental Figure 1.</w:t>
      </w:r>
      <w:r w:rsidRPr="000023D4">
        <w:rPr>
          <w:color w:val="000000"/>
          <w:lang w:val="en-GB"/>
        </w:rPr>
        <w:t xml:space="preserve"> </w:t>
      </w:r>
      <w:r w:rsidRPr="009D488B">
        <w:rPr>
          <w:i/>
          <w:color w:val="000000"/>
          <w:lang w:val="en-GB"/>
        </w:rPr>
        <w:t xml:space="preserve">Time-dependent </w:t>
      </w:r>
      <w:r>
        <w:rPr>
          <w:i/>
          <w:color w:val="000000"/>
          <w:lang w:val="en-GB"/>
        </w:rPr>
        <w:t>s</w:t>
      </w:r>
      <w:r w:rsidRPr="000023D4">
        <w:rPr>
          <w:i/>
          <w:color w:val="000000"/>
          <w:lang w:val="en-GB"/>
        </w:rPr>
        <w:t>ubstrate-specific driven H</w:t>
      </w:r>
      <w:r w:rsidRPr="000023D4">
        <w:rPr>
          <w:i/>
          <w:color w:val="000000"/>
          <w:vertAlign w:val="subscript"/>
          <w:lang w:val="en-GB"/>
        </w:rPr>
        <w:t>2</w:t>
      </w:r>
      <w:r w:rsidRPr="000023D4">
        <w:rPr>
          <w:i/>
          <w:color w:val="000000"/>
          <w:lang w:val="en-GB"/>
        </w:rPr>
        <w:t>O</w:t>
      </w:r>
      <w:r w:rsidRPr="000023D4">
        <w:rPr>
          <w:i/>
          <w:color w:val="000000"/>
          <w:vertAlign w:val="subscript"/>
          <w:lang w:val="en-GB"/>
        </w:rPr>
        <w:t>2</w:t>
      </w:r>
      <w:r w:rsidRPr="000023D4">
        <w:rPr>
          <w:i/>
          <w:color w:val="000000"/>
          <w:lang w:val="en-GB"/>
        </w:rPr>
        <w:t xml:space="preserve"> production </w:t>
      </w:r>
      <w:r>
        <w:rPr>
          <w:i/>
          <w:color w:val="000000"/>
          <w:lang w:val="en-GB"/>
        </w:rPr>
        <w:t>using the</w:t>
      </w:r>
      <w:r w:rsidRPr="000023D4">
        <w:rPr>
          <w:i/>
          <w:color w:val="000000"/>
          <w:lang w:val="en-GB"/>
        </w:rPr>
        <w:t xml:space="preserve"> Amplex</w:t>
      </w:r>
      <w:r>
        <w:rPr>
          <w:i/>
          <w:color w:val="000000"/>
          <w:lang w:val="en-GB"/>
        </w:rPr>
        <w:t>® R</w:t>
      </w:r>
      <w:r w:rsidRPr="000023D4">
        <w:rPr>
          <w:i/>
          <w:color w:val="000000"/>
          <w:lang w:val="en-GB"/>
        </w:rPr>
        <w:t xml:space="preserve">ed assay. </w:t>
      </w:r>
      <w:r w:rsidRPr="000023D4">
        <w:rPr>
          <w:color w:val="000000"/>
          <w:lang w:val="en-GB"/>
        </w:rPr>
        <w:t>(</w:t>
      </w:r>
      <w:r w:rsidRPr="000023D4">
        <w:rPr>
          <w:b/>
          <w:color w:val="000000"/>
          <w:lang w:val="en-GB"/>
        </w:rPr>
        <w:t>a</w:t>
      </w:r>
      <w:r w:rsidRPr="000023D4">
        <w:rPr>
          <w:color w:val="000000"/>
          <w:lang w:val="en-GB"/>
        </w:rPr>
        <w:t xml:space="preserve">) </w:t>
      </w:r>
      <w:r>
        <w:rPr>
          <w:color w:val="000000"/>
          <w:lang w:val="en-GB"/>
        </w:rPr>
        <w:t>Dose and time effects of menadione on</w:t>
      </w:r>
      <w:r w:rsidRPr="000023D4">
        <w:rPr>
          <w:color w:val="000000"/>
          <w:lang w:val="en-GB"/>
        </w:rPr>
        <w:t xml:space="preserve"> pyruvate-driven H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>O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 xml:space="preserve"> production assessed </w:t>
      </w:r>
      <w:r>
        <w:rPr>
          <w:color w:val="000000"/>
          <w:lang w:val="en-GB"/>
        </w:rPr>
        <w:t>by</w:t>
      </w:r>
      <w:r w:rsidRPr="000023D4">
        <w:rPr>
          <w:color w:val="000000"/>
          <w:lang w:val="en-GB"/>
        </w:rPr>
        <w:t xml:space="preserve"> modified Amplex</w:t>
      </w:r>
      <w:r>
        <w:rPr>
          <w:color w:val="000000"/>
          <w:lang w:val="en-GB"/>
        </w:rPr>
        <w:t>®</w:t>
      </w:r>
      <w:r w:rsidRPr="000023D4">
        <w:rPr>
          <w:color w:val="000000"/>
          <w:lang w:val="en-GB"/>
        </w:rPr>
        <w:t xml:space="preserve"> </w:t>
      </w:r>
      <w:r>
        <w:rPr>
          <w:color w:val="000000"/>
          <w:lang w:val="en-GB"/>
        </w:rPr>
        <w:t>R</w:t>
      </w:r>
      <w:r w:rsidRPr="000023D4">
        <w:rPr>
          <w:color w:val="000000"/>
          <w:lang w:val="en-GB"/>
        </w:rPr>
        <w:t>ed assay in MIA PaCa-2 pancreatic cancer cells. The H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>O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 xml:space="preserve"> standard curve is shown in the inset. The data represent </w:t>
      </w:r>
      <w:r>
        <w:rPr>
          <w:color w:val="000000"/>
          <w:lang w:val="en-GB"/>
        </w:rPr>
        <w:t>three</w:t>
      </w:r>
      <w:r w:rsidRPr="000023D4">
        <w:rPr>
          <w:color w:val="000000"/>
          <w:lang w:val="en-GB"/>
        </w:rPr>
        <w:t xml:space="preserve"> independent experiments. (</w:t>
      </w:r>
      <w:r w:rsidRPr="000023D4">
        <w:rPr>
          <w:b/>
          <w:color w:val="000000"/>
          <w:lang w:val="en-GB"/>
        </w:rPr>
        <w:t>b</w:t>
      </w:r>
      <w:r w:rsidRPr="000023D4">
        <w:rPr>
          <w:color w:val="000000"/>
          <w:lang w:val="en-GB"/>
        </w:rPr>
        <w:t xml:space="preserve">) </w:t>
      </w:r>
      <w:r>
        <w:rPr>
          <w:color w:val="000000"/>
          <w:lang w:val="en-GB"/>
        </w:rPr>
        <w:t>Dose effects of menadione on</w:t>
      </w:r>
      <w:r w:rsidRPr="000023D4">
        <w:rPr>
          <w:color w:val="000000"/>
          <w:lang w:val="en-GB"/>
        </w:rPr>
        <w:t xml:space="preserve"> pyruvate-mediated H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>O</w:t>
      </w:r>
      <w:r w:rsidRPr="000023D4">
        <w:rPr>
          <w:color w:val="000000"/>
          <w:vertAlign w:val="subscript"/>
          <w:lang w:val="en-GB"/>
        </w:rPr>
        <w:t xml:space="preserve">2 </w:t>
      </w:r>
      <w:r w:rsidRPr="000023D4">
        <w:rPr>
          <w:color w:val="000000"/>
          <w:lang w:val="en-GB"/>
        </w:rPr>
        <w:t>generation at 90 min</w:t>
      </w:r>
      <w:r>
        <w:rPr>
          <w:color w:val="000000"/>
          <w:lang w:val="en-GB"/>
        </w:rPr>
        <w:t xml:space="preserve"> post treatment</w:t>
      </w:r>
      <w:r w:rsidRPr="000023D4">
        <w:rPr>
          <w:color w:val="000000"/>
          <w:lang w:val="en-GB"/>
        </w:rPr>
        <w:t>.</w:t>
      </w:r>
      <w:r>
        <w:rPr>
          <w:color w:val="000000"/>
          <w:lang w:val="en-GB"/>
        </w:rPr>
        <w:t xml:space="preserve"> (</w:t>
      </w:r>
      <w:r w:rsidRPr="00370F85">
        <w:rPr>
          <w:b/>
          <w:color w:val="000000"/>
          <w:lang w:val="en-GB"/>
        </w:rPr>
        <w:t>c-d</w:t>
      </w:r>
      <w:r>
        <w:rPr>
          <w:color w:val="000000"/>
          <w:lang w:val="en-GB"/>
        </w:rPr>
        <w:t xml:space="preserve">) </w:t>
      </w:r>
      <w:r w:rsidRPr="000023D4">
        <w:rPr>
          <w:color w:val="000000"/>
          <w:lang w:val="en-GB"/>
        </w:rPr>
        <w:t>Kinetic graphs illustrating substrate-specific H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>O</w:t>
      </w:r>
      <w:r w:rsidRPr="000023D4">
        <w:rPr>
          <w:color w:val="000000"/>
          <w:vertAlign w:val="subscript"/>
          <w:lang w:val="en-GB"/>
        </w:rPr>
        <w:t>2</w:t>
      </w:r>
      <w:r w:rsidRPr="000023D4">
        <w:rPr>
          <w:color w:val="000000"/>
          <w:lang w:val="en-GB"/>
        </w:rPr>
        <w:t xml:space="preserve"> generation with or without BPM31510 treatment assessed over 90 min in (</w:t>
      </w:r>
      <w:r w:rsidRPr="000023D4">
        <w:rPr>
          <w:b/>
          <w:color w:val="000000"/>
          <w:lang w:val="en-GB"/>
        </w:rPr>
        <w:t>c</w:t>
      </w:r>
      <w:r w:rsidRPr="000023D4">
        <w:rPr>
          <w:color w:val="000000"/>
          <w:lang w:val="en-GB"/>
        </w:rPr>
        <w:t>) MIA PaCa-2 and (</w:t>
      </w:r>
      <w:r w:rsidRPr="000023D4">
        <w:rPr>
          <w:b/>
          <w:color w:val="000000"/>
          <w:lang w:val="en-GB"/>
        </w:rPr>
        <w:t>d</w:t>
      </w:r>
      <w:r w:rsidRPr="000023D4">
        <w:rPr>
          <w:color w:val="000000"/>
          <w:lang w:val="en-GB"/>
        </w:rPr>
        <w:t>) PANC1 cells. UD = undetected.</w:t>
      </w:r>
    </w:p>
    <w:p w14:paraId="2AB1B759" w14:textId="77777777" w:rsidR="00811540" w:rsidRPr="000023D4" w:rsidRDefault="00811540" w:rsidP="00811540">
      <w:pPr>
        <w:widowControl w:val="0"/>
        <w:spacing w:after="120" w:line="360" w:lineRule="auto"/>
        <w:rPr>
          <w:color w:val="000000"/>
          <w:lang w:val="en-GB"/>
        </w:rPr>
      </w:pPr>
      <w:r w:rsidRPr="000023D4">
        <w:rPr>
          <w:b/>
          <w:color w:val="000000"/>
          <w:lang w:val="en-GB"/>
        </w:rPr>
        <w:t>Supplemental Figure 2.</w:t>
      </w:r>
      <w:r w:rsidRPr="000023D4">
        <w:rPr>
          <w:color w:val="000000"/>
          <w:lang w:val="en-GB"/>
        </w:rPr>
        <w:t xml:space="preserve"> </w:t>
      </w:r>
      <w:r w:rsidRPr="000023D4">
        <w:rPr>
          <w:i/>
          <w:color w:val="000000"/>
          <w:lang w:val="en-GB"/>
        </w:rPr>
        <w:t>Tumour enrichment and substrate driven respiration.</w:t>
      </w:r>
      <w:r w:rsidRPr="000023D4">
        <w:rPr>
          <w:color w:val="000000"/>
          <w:lang w:val="en-GB"/>
        </w:rPr>
        <w:t xml:space="preserve"> (</w:t>
      </w:r>
      <w:r w:rsidRPr="000023D4">
        <w:rPr>
          <w:b/>
          <w:color w:val="000000"/>
          <w:lang w:val="en-GB"/>
        </w:rPr>
        <w:t>a</w:t>
      </w:r>
      <w:r w:rsidRPr="000023D4">
        <w:rPr>
          <w:color w:val="000000"/>
          <w:lang w:val="en-GB"/>
        </w:rPr>
        <w:t xml:space="preserve">) Enrichment of epithelial cancer cells from immunocompromised mice with MIA PaCa-2 xenografts. Representative </w:t>
      </w:r>
      <w:r>
        <w:rPr>
          <w:color w:val="000000"/>
          <w:lang w:val="en-GB"/>
        </w:rPr>
        <w:t>scatter plots showing</w:t>
      </w:r>
      <w:r w:rsidRPr="000023D4">
        <w:rPr>
          <w:color w:val="000000"/>
          <w:lang w:val="en-GB"/>
        </w:rPr>
        <w:t xml:space="preserve"> the gating strategy of fibroblast specific (FSP-1), CD44 and CD31-positive stained cells. (</w:t>
      </w:r>
      <w:r w:rsidRPr="000023D4">
        <w:rPr>
          <w:b/>
          <w:color w:val="000000"/>
          <w:lang w:val="en-GB"/>
        </w:rPr>
        <w:t>b</w:t>
      </w:r>
      <w:r w:rsidRPr="000023D4">
        <w:rPr>
          <w:color w:val="000000"/>
          <w:lang w:val="en-GB"/>
        </w:rPr>
        <w:t xml:space="preserve">) Table </w:t>
      </w:r>
      <w:r>
        <w:rPr>
          <w:color w:val="000000"/>
          <w:lang w:val="en-GB"/>
        </w:rPr>
        <w:t>reportin</w:t>
      </w:r>
      <w:r w:rsidRPr="000023D4">
        <w:rPr>
          <w:color w:val="000000"/>
          <w:lang w:val="en-GB"/>
        </w:rPr>
        <w:t>g the percentage of CD44-positive cells plated for subsequent Seahorse assays. Cells plated to measure substrate-driven respiration were predominantly from the epithelial-derived cancer cell population. (</w:t>
      </w:r>
      <w:r w:rsidRPr="000023D4">
        <w:rPr>
          <w:b/>
          <w:color w:val="000000"/>
          <w:lang w:val="en-GB"/>
        </w:rPr>
        <w:t>c</w:t>
      </w:r>
      <w:r w:rsidRPr="000023D4">
        <w:rPr>
          <w:color w:val="000000"/>
          <w:lang w:val="en-GB"/>
        </w:rPr>
        <w:t>) Complex II-</w:t>
      </w:r>
      <w:r>
        <w:rPr>
          <w:color w:val="000000"/>
          <w:lang w:val="en-GB"/>
        </w:rPr>
        <w:t>dependent</w:t>
      </w:r>
      <w:r w:rsidRPr="000023D4">
        <w:rPr>
          <w:color w:val="000000"/>
          <w:lang w:val="en-GB"/>
        </w:rPr>
        <w:t xml:space="preserve"> and (</w:t>
      </w:r>
      <w:r w:rsidRPr="000023D4">
        <w:rPr>
          <w:b/>
          <w:color w:val="000000"/>
          <w:lang w:val="en-GB"/>
        </w:rPr>
        <w:t>d</w:t>
      </w:r>
      <w:r w:rsidRPr="000023D4">
        <w:rPr>
          <w:color w:val="000000"/>
          <w:lang w:val="en-GB"/>
        </w:rPr>
        <w:t xml:space="preserve">) Complex IV-dependent respiration assessed in tumours from control and BPM31510-treated mice. </w:t>
      </w:r>
      <w:r>
        <w:rPr>
          <w:color w:val="000000"/>
          <w:lang w:val="en-GB"/>
        </w:rPr>
        <w:t>The d</w:t>
      </w:r>
      <w:r w:rsidRPr="000023D4">
        <w:rPr>
          <w:color w:val="000000"/>
          <w:lang w:val="en-GB"/>
        </w:rPr>
        <w:t xml:space="preserve">ata represent </w:t>
      </w:r>
      <w:r>
        <w:rPr>
          <w:color w:val="000000"/>
          <w:lang w:val="en-GB"/>
        </w:rPr>
        <w:t>mean + SEM of n=6</w:t>
      </w:r>
      <w:r w:rsidRPr="000023D4">
        <w:rPr>
          <w:color w:val="000000"/>
          <w:lang w:val="en-GB"/>
        </w:rPr>
        <w:t xml:space="preserve"> saline</w:t>
      </w:r>
      <w:r>
        <w:rPr>
          <w:color w:val="000000"/>
          <w:lang w:val="en-GB"/>
        </w:rPr>
        <w:t>-treated</w:t>
      </w:r>
      <w:r w:rsidRPr="000023D4">
        <w:rPr>
          <w:color w:val="000000"/>
          <w:lang w:val="en-GB"/>
        </w:rPr>
        <w:t xml:space="preserve"> (control) and </w:t>
      </w:r>
      <w:r>
        <w:rPr>
          <w:color w:val="000000"/>
          <w:lang w:val="en-GB"/>
        </w:rPr>
        <w:t>n=5</w:t>
      </w:r>
      <w:r w:rsidRPr="000023D4">
        <w:rPr>
          <w:color w:val="000000"/>
          <w:lang w:val="en-GB"/>
        </w:rPr>
        <w:t xml:space="preserve"> BPM31510</w:t>
      </w:r>
      <w:r>
        <w:rPr>
          <w:color w:val="000000"/>
          <w:lang w:val="en-GB"/>
        </w:rPr>
        <w:t>-</w:t>
      </w:r>
      <w:r w:rsidRPr="000023D4">
        <w:rPr>
          <w:color w:val="000000"/>
          <w:lang w:val="en-GB"/>
        </w:rPr>
        <w:t>treated mice.</w:t>
      </w:r>
      <w:r>
        <w:rPr>
          <w:color w:val="000000"/>
          <w:lang w:val="en-GB"/>
        </w:rPr>
        <w:t xml:space="preserve"> </w:t>
      </w:r>
    </w:p>
    <w:p w14:paraId="7ED3A3D3" w14:textId="77777777" w:rsidR="00811540" w:rsidRPr="000023D4" w:rsidRDefault="00811540" w:rsidP="00811540">
      <w:pPr>
        <w:widowControl w:val="0"/>
        <w:spacing w:after="120" w:line="360" w:lineRule="auto"/>
        <w:rPr>
          <w:i/>
          <w:color w:val="000000"/>
          <w:lang w:val="en-GB"/>
        </w:rPr>
      </w:pPr>
      <w:r w:rsidRPr="000023D4">
        <w:rPr>
          <w:b/>
          <w:color w:val="000000"/>
          <w:lang w:val="en-GB"/>
        </w:rPr>
        <w:t>Supplemental Figure 3.</w:t>
      </w:r>
      <w:r w:rsidRPr="000023D4">
        <w:rPr>
          <w:color w:val="000000"/>
          <w:lang w:val="en-GB"/>
        </w:rPr>
        <w:t xml:space="preserve"> </w:t>
      </w:r>
      <w:r w:rsidRPr="000023D4">
        <w:rPr>
          <w:i/>
          <w:color w:val="000000"/>
          <w:lang w:val="en-GB"/>
        </w:rPr>
        <w:t>PDO image processing source code for segmentation.</w:t>
      </w:r>
    </w:p>
    <w:p w14:paraId="1840D555" w14:textId="77777777" w:rsidR="00811540" w:rsidRDefault="00811540" w:rsidP="00811540">
      <w:pPr>
        <w:spacing w:after="0" w:line="360" w:lineRule="auto"/>
        <w:rPr>
          <w:color w:val="000000"/>
          <w:lang w:val="en-GB"/>
        </w:rPr>
      </w:pPr>
      <w:r w:rsidRPr="000023D4">
        <w:rPr>
          <w:b/>
          <w:color w:val="000000"/>
          <w:lang w:val="en-GB"/>
        </w:rPr>
        <w:t xml:space="preserve">Supplemental Figure 4. </w:t>
      </w:r>
      <w:r w:rsidRPr="000023D4">
        <w:rPr>
          <w:i/>
          <w:color w:val="000000"/>
          <w:lang w:val="en-GB"/>
        </w:rPr>
        <w:t>Regression models to test for effect of treatment on PDO size.</w:t>
      </w:r>
      <w:r w:rsidRPr="000023D4">
        <w:rPr>
          <w:b/>
          <w:color w:val="000000"/>
          <w:lang w:val="en-GB"/>
        </w:rPr>
        <w:t xml:space="preserve"> </w:t>
      </w:r>
      <w:r w:rsidRPr="000023D4">
        <w:rPr>
          <w:color w:val="000000"/>
          <w:lang w:val="en-GB"/>
        </w:rPr>
        <w:t xml:space="preserve">A linear regression model was built for day 3 (left panel) and day 7 (right panel) time points using the glm() function from the base R library. </w:t>
      </w:r>
      <w:r>
        <w:rPr>
          <w:color w:val="000000"/>
          <w:lang w:val="en-GB"/>
        </w:rPr>
        <w:t>The d</w:t>
      </w:r>
      <w:r w:rsidRPr="000023D4">
        <w:rPr>
          <w:color w:val="000000"/>
          <w:lang w:val="en-GB"/>
        </w:rPr>
        <w:t>ose was modelled as a binary variable: ‘Dose – no treatment’ and ‘Dose – any treatment’. The models indicate that the PDOs tend to be larger when there is no treatment and that the difference is statistically significant based on their p-value</w:t>
      </w:r>
      <w:r>
        <w:rPr>
          <w:color w:val="000000"/>
          <w:lang w:val="en-GB"/>
        </w:rPr>
        <w:t>.</w:t>
      </w:r>
    </w:p>
    <w:p w14:paraId="0A44E524" w14:textId="5857D5E9" w:rsidR="00811540" w:rsidRDefault="00811540" w:rsidP="00811540">
      <w:pPr>
        <w:spacing w:after="0" w:line="240" w:lineRule="auto"/>
        <w:rPr>
          <w:color w:val="000000"/>
          <w:lang w:val="en-GB"/>
        </w:rPr>
      </w:pPr>
      <w:r>
        <w:rPr>
          <w:color w:val="000000"/>
          <w:lang w:val="en-GB"/>
        </w:rPr>
        <w:br w:type="page"/>
      </w:r>
    </w:p>
    <w:p w14:paraId="3CB62423" w14:textId="62F378DA" w:rsidR="00CF0FEF" w:rsidRPr="00CF0FEF" w:rsidRDefault="00CF0FEF" w:rsidP="00811540">
      <w:pPr>
        <w:spacing w:after="0" w:line="240" w:lineRule="auto"/>
        <w:rPr>
          <w:b/>
          <w:color w:val="000000"/>
          <w:lang w:val="en-GB"/>
        </w:rPr>
      </w:pPr>
      <w:r w:rsidRPr="00CF0FEF">
        <w:rPr>
          <w:b/>
          <w:color w:val="000000"/>
          <w:lang w:val="en-GB"/>
        </w:rPr>
        <w:lastRenderedPageBreak/>
        <w:t>Supplemental Table 1</w:t>
      </w:r>
    </w:p>
    <w:p w14:paraId="0A1A8D69" w14:textId="77777777" w:rsidR="004337DA" w:rsidRDefault="004337DA" w:rsidP="004337DA">
      <w:pPr>
        <w:spacing w:after="0" w:line="240" w:lineRule="auto"/>
        <w:rPr>
          <w:color w:val="000000"/>
          <w:lang w:val="en-GB"/>
        </w:rPr>
      </w:pPr>
    </w:p>
    <w:tbl>
      <w:tblPr>
        <w:tblStyle w:val="TableGrid"/>
        <w:tblW w:w="9389" w:type="dxa"/>
        <w:tblLook w:val="04A0" w:firstRow="1" w:lastRow="0" w:firstColumn="1" w:lastColumn="0" w:noHBand="0" w:noVBand="1"/>
      </w:tblPr>
      <w:tblGrid>
        <w:gridCol w:w="985"/>
        <w:gridCol w:w="1157"/>
        <w:gridCol w:w="664"/>
        <w:gridCol w:w="1350"/>
        <w:gridCol w:w="664"/>
        <w:gridCol w:w="1046"/>
        <w:gridCol w:w="720"/>
        <w:gridCol w:w="1924"/>
        <w:gridCol w:w="900"/>
      </w:tblGrid>
      <w:tr w:rsidR="004337DA" w:rsidRPr="004D414B" w14:paraId="1FDE06D6" w14:textId="77777777" w:rsidTr="00512E0B">
        <w:trPr>
          <w:trHeight w:val="300"/>
        </w:trPr>
        <w:tc>
          <w:tcPr>
            <w:tcW w:w="985" w:type="dxa"/>
            <w:vMerge w:val="restart"/>
            <w:noWrap/>
            <w:vAlign w:val="center"/>
            <w:hideMark/>
          </w:tcPr>
          <w:p w14:paraId="37AFB18A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814" w:type="dxa"/>
            <w:gridSpan w:val="4"/>
            <w:noWrap/>
            <w:vAlign w:val="center"/>
            <w:hideMark/>
          </w:tcPr>
          <w:p w14:paraId="6A3ABE0B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24 h</w:t>
            </w:r>
          </w:p>
        </w:tc>
        <w:tc>
          <w:tcPr>
            <w:tcW w:w="4590" w:type="dxa"/>
            <w:gridSpan w:val="4"/>
            <w:noWrap/>
            <w:vAlign w:val="center"/>
            <w:hideMark/>
          </w:tcPr>
          <w:p w14:paraId="6A998DB3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48 h</w:t>
            </w:r>
          </w:p>
        </w:tc>
      </w:tr>
      <w:tr w:rsidR="004337DA" w:rsidRPr="004D414B" w14:paraId="73431EE2" w14:textId="77777777" w:rsidTr="00512E0B">
        <w:trPr>
          <w:trHeight w:val="340"/>
        </w:trPr>
        <w:tc>
          <w:tcPr>
            <w:tcW w:w="985" w:type="dxa"/>
            <w:vMerge/>
            <w:vAlign w:val="center"/>
            <w:hideMark/>
          </w:tcPr>
          <w:p w14:paraId="23B90E6B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1800" w:type="dxa"/>
            <w:gridSpan w:val="2"/>
            <w:noWrap/>
            <w:vAlign w:val="center"/>
            <w:hideMark/>
          </w:tcPr>
          <w:p w14:paraId="0D6AEE13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Untreated</w:t>
            </w:r>
          </w:p>
        </w:tc>
        <w:tc>
          <w:tcPr>
            <w:tcW w:w="2014" w:type="dxa"/>
            <w:gridSpan w:val="2"/>
            <w:noWrap/>
            <w:vAlign w:val="center"/>
            <w:hideMark/>
          </w:tcPr>
          <w:p w14:paraId="5A3C0227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EC</w:t>
            </w:r>
            <w:r w:rsidRPr="004D414B">
              <w:rPr>
                <w:b/>
                <w:bCs/>
                <w:color w:val="000000"/>
                <w:sz w:val="18"/>
                <w:vertAlign w:val="subscript"/>
              </w:rPr>
              <w:t>50</w:t>
            </w:r>
          </w:p>
        </w:tc>
        <w:tc>
          <w:tcPr>
            <w:tcW w:w="1766" w:type="dxa"/>
            <w:gridSpan w:val="2"/>
            <w:noWrap/>
            <w:vAlign w:val="center"/>
            <w:hideMark/>
          </w:tcPr>
          <w:p w14:paraId="4B2B754C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Untreated</w:t>
            </w:r>
          </w:p>
        </w:tc>
        <w:tc>
          <w:tcPr>
            <w:tcW w:w="2824" w:type="dxa"/>
            <w:gridSpan w:val="2"/>
            <w:noWrap/>
            <w:vAlign w:val="center"/>
            <w:hideMark/>
          </w:tcPr>
          <w:p w14:paraId="5D3FCA5C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EC</w:t>
            </w:r>
            <w:r w:rsidRPr="004D414B">
              <w:rPr>
                <w:b/>
                <w:bCs/>
                <w:color w:val="000000"/>
                <w:sz w:val="18"/>
                <w:vertAlign w:val="subscript"/>
              </w:rPr>
              <w:t>50</w:t>
            </w:r>
          </w:p>
        </w:tc>
      </w:tr>
      <w:tr w:rsidR="004337DA" w:rsidRPr="004D414B" w14:paraId="5DD60B3B" w14:textId="77777777" w:rsidTr="00512E0B">
        <w:trPr>
          <w:trHeight w:val="865"/>
        </w:trPr>
        <w:tc>
          <w:tcPr>
            <w:tcW w:w="985" w:type="dxa"/>
            <w:vMerge/>
            <w:vAlign w:val="center"/>
            <w:hideMark/>
          </w:tcPr>
          <w:p w14:paraId="7104C0C8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1157" w:type="dxa"/>
            <w:vAlign w:val="center"/>
            <w:hideMark/>
          </w:tcPr>
          <w:p w14:paraId="5E649C16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Mean (nmol/mg) ± SEM</w:t>
            </w:r>
          </w:p>
        </w:tc>
        <w:tc>
          <w:tcPr>
            <w:tcW w:w="643" w:type="dxa"/>
            <w:noWrap/>
            <w:vAlign w:val="center"/>
            <w:hideMark/>
          </w:tcPr>
          <w:p w14:paraId="54C4D354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% of Total</w:t>
            </w:r>
          </w:p>
        </w:tc>
        <w:tc>
          <w:tcPr>
            <w:tcW w:w="1350" w:type="dxa"/>
            <w:vAlign w:val="center"/>
            <w:hideMark/>
          </w:tcPr>
          <w:p w14:paraId="1DEC2777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Mean (nmol/mg) ± SEM</w:t>
            </w:r>
          </w:p>
        </w:tc>
        <w:tc>
          <w:tcPr>
            <w:tcW w:w="664" w:type="dxa"/>
            <w:noWrap/>
            <w:vAlign w:val="center"/>
            <w:hideMark/>
          </w:tcPr>
          <w:p w14:paraId="07B2D3EE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% of Total</w:t>
            </w:r>
          </w:p>
        </w:tc>
        <w:tc>
          <w:tcPr>
            <w:tcW w:w="1046" w:type="dxa"/>
            <w:vAlign w:val="center"/>
            <w:hideMark/>
          </w:tcPr>
          <w:p w14:paraId="727900D0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Mean (nmol/mg) ± SEM</w:t>
            </w:r>
          </w:p>
        </w:tc>
        <w:tc>
          <w:tcPr>
            <w:tcW w:w="720" w:type="dxa"/>
            <w:noWrap/>
            <w:vAlign w:val="center"/>
            <w:hideMark/>
          </w:tcPr>
          <w:p w14:paraId="272123F9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% of Total</w:t>
            </w:r>
          </w:p>
        </w:tc>
        <w:tc>
          <w:tcPr>
            <w:tcW w:w="1924" w:type="dxa"/>
            <w:vAlign w:val="center"/>
            <w:hideMark/>
          </w:tcPr>
          <w:p w14:paraId="3D6DDD66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Mean (nmol/mg) ± SEM</w:t>
            </w:r>
          </w:p>
        </w:tc>
        <w:tc>
          <w:tcPr>
            <w:tcW w:w="900" w:type="dxa"/>
            <w:noWrap/>
            <w:vAlign w:val="center"/>
            <w:hideMark/>
          </w:tcPr>
          <w:p w14:paraId="3AD37902" w14:textId="77777777" w:rsidR="004337DA" w:rsidRPr="004D414B" w:rsidRDefault="004337DA" w:rsidP="00512E0B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% of Total</w:t>
            </w:r>
          </w:p>
        </w:tc>
      </w:tr>
      <w:tr w:rsidR="004337DA" w:rsidRPr="004D414B" w14:paraId="1383128F" w14:textId="77777777" w:rsidTr="00512E0B">
        <w:trPr>
          <w:trHeight w:val="170"/>
        </w:trPr>
        <w:tc>
          <w:tcPr>
            <w:tcW w:w="9389" w:type="dxa"/>
            <w:gridSpan w:val="9"/>
            <w:shd w:val="clear" w:color="auto" w:fill="E7E6E6" w:themeFill="background2"/>
            <w:noWrap/>
            <w:vAlign w:val="center"/>
            <w:hideMark/>
          </w:tcPr>
          <w:p w14:paraId="7779B78A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Cytosol</w:t>
            </w:r>
          </w:p>
        </w:tc>
      </w:tr>
      <w:tr w:rsidR="004337DA" w:rsidRPr="004D414B" w14:paraId="799DFBB7" w14:textId="77777777" w:rsidTr="00512E0B">
        <w:trPr>
          <w:trHeight w:val="340"/>
        </w:trPr>
        <w:tc>
          <w:tcPr>
            <w:tcW w:w="985" w:type="dxa"/>
            <w:noWrap/>
            <w:vAlign w:val="center"/>
            <w:hideMark/>
          </w:tcPr>
          <w:p w14:paraId="266BC14E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MIA PaCa-2</w:t>
            </w:r>
          </w:p>
        </w:tc>
        <w:tc>
          <w:tcPr>
            <w:tcW w:w="1157" w:type="dxa"/>
            <w:noWrap/>
            <w:vAlign w:val="center"/>
            <w:hideMark/>
          </w:tcPr>
          <w:p w14:paraId="0EE3A082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0.11 ± 0.03</w:t>
            </w:r>
          </w:p>
        </w:tc>
        <w:tc>
          <w:tcPr>
            <w:tcW w:w="643" w:type="dxa"/>
            <w:noWrap/>
            <w:vAlign w:val="center"/>
            <w:hideMark/>
          </w:tcPr>
          <w:p w14:paraId="4D916687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18.0%</w:t>
            </w:r>
          </w:p>
        </w:tc>
        <w:tc>
          <w:tcPr>
            <w:tcW w:w="1350" w:type="dxa"/>
            <w:noWrap/>
            <w:vAlign w:val="center"/>
            <w:hideMark/>
          </w:tcPr>
          <w:p w14:paraId="5E1737EF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5.17 ± 0.54</w:t>
            </w:r>
            <w:r w:rsidRPr="004D414B">
              <w:rPr>
                <w:color w:val="000000"/>
                <w:sz w:val="18"/>
                <w:vertAlign w:val="superscript"/>
              </w:rPr>
              <w:t>*</w:t>
            </w:r>
          </w:p>
        </w:tc>
        <w:tc>
          <w:tcPr>
            <w:tcW w:w="664" w:type="dxa"/>
            <w:noWrap/>
            <w:vAlign w:val="center"/>
            <w:hideMark/>
          </w:tcPr>
          <w:p w14:paraId="3BC9C56F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9.7%</w:t>
            </w:r>
          </w:p>
        </w:tc>
        <w:tc>
          <w:tcPr>
            <w:tcW w:w="1046" w:type="dxa"/>
            <w:noWrap/>
            <w:vAlign w:val="center"/>
            <w:hideMark/>
          </w:tcPr>
          <w:p w14:paraId="46A80598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0.19 ± 0.04</w:t>
            </w:r>
          </w:p>
        </w:tc>
        <w:tc>
          <w:tcPr>
            <w:tcW w:w="720" w:type="dxa"/>
            <w:noWrap/>
            <w:vAlign w:val="center"/>
            <w:hideMark/>
          </w:tcPr>
          <w:p w14:paraId="36EB82FE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35.2%</w:t>
            </w:r>
          </w:p>
        </w:tc>
        <w:tc>
          <w:tcPr>
            <w:tcW w:w="1924" w:type="dxa"/>
            <w:noWrap/>
            <w:vAlign w:val="center"/>
            <w:hideMark/>
          </w:tcPr>
          <w:p w14:paraId="040D1DE6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14.07 ± 2.54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++</w:t>
            </w:r>
          </w:p>
        </w:tc>
        <w:tc>
          <w:tcPr>
            <w:tcW w:w="900" w:type="dxa"/>
            <w:noWrap/>
            <w:vAlign w:val="center"/>
            <w:hideMark/>
          </w:tcPr>
          <w:p w14:paraId="0640A8F2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8.5%</w:t>
            </w:r>
          </w:p>
        </w:tc>
      </w:tr>
      <w:tr w:rsidR="004337DA" w:rsidRPr="004D414B" w14:paraId="6EC5D37F" w14:textId="77777777" w:rsidTr="00512E0B">
        <w:trPr>
          <w:trHeight w:val="340"/>
        </w:trPr>
        <w:tc>
          <w:tcPr>
            <w:tcW w:w="985" w:type="dxa"/>
            <w:noWrap/>
            <w:vAlign w:val="center"/>
            <w:hideMark/>
          </w:tcPr>
          <w:p w14:paraId="3CCE9756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PANC1</w:t>
            </w:r>
          </w:p>
        </w:tc>
        <w:tc>
          <w:tcPr>
            <w:tcW w:w="1157" w:type="dxa"/>
            <w:noWrap/>
            <w:vAlign w:val="center"/>
            <w:hideMark/>
          </w:tcPr>
          <w:p w14:paraId="5C90A1D2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0.09 ± 0.01</w:t>
            </w:r>
          </w:p>
        </w:tc>
        <w:tc>
          <w:tcPr>
            <w:tcW w:w="643" w:type="dxa"/>
            <w:noWrap/>
            <w:vAlign w:val="center"/>
            <w:hideMark/>
          </w:tcPr>
          <w:p w14:paraId="339CDE7D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15.2%</w:t>
            </w:r>
          </w:p>
        </w:tc>
        <w:tc>
          <w:tcPr>
            <w:tcW w:w="1350" w:type="dxa"/>
            <w:noWrap/>
            <w:vAlign w:val="center"/>
            <w:hideMark/>
          </w:tcPr>
          <w:p w14:paraId="24103C26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4.06 ± 0.31</w:t>
            </w:r>
            <w:r w:rsidRPr="004D414B">
              <w:rPr>
                <w:color w:val="000000"/>
                <w:sz w:val="18"/>
                <w:vertAlign w:val="superscript"/>
              </w:rPr>
              <w:t>****</w:t>
            </w:r>
          </w:p>
        </w:tc>
        <w:tc>
          <w:tcPr>
            <w:tcW w:w="664" w:type="dxa"/>
            <w:noWrap/>
            <w:vAlign w:val="center"/>
            <w:hideMark/>
          </w:tcPr>
          <w:p w14:paraId="1DE0565F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7.9%</w:t>
            </w:r>
          </w:p>
        </w:tc>
        <w:tc>
          <w:tcPr>
            <w:tcW w:w="1046" w:type="dxa"/>
            <w:noWrap/>
            <w:vAlign w:val="center"/>
            <w:hideMark/>
          </w:tcPr>
          <w:p w14:paraId="425E48D0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0.08 ± 0.01</w:t>
            </w:r>
          </w:p>
        </w:tc>
        <w:tc>
          <w:tcPr>
            <w:tcW w:w="720" w:type="dxa"/>
            <w:noWrap/>
            <w:vAlign w:val="center"/>
            <w:hideMark/>
          </w:tcPr>
          <w:p w14:paraId="361C2649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12.0%</w:t>
            </w:r>
          </w:p>
        </w:tc>
        <w:tc>
          <w:tcPr>
            <w:tcW w:w="1924" w:type="dxa"/>
            <w:noWrap/>
            <w:vAlign w:val="center"/>
            <w:hideMark/>
          </w:tcPr>
          <w:p w14:paraId="70F58660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7.01 ± 0.55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+++</w:t>
            </w:r>
          </w:p>
        </w:tc>
        <w:tc>
          <w:tcPr>
            <w:tcW w:w="900" w:type="dxa"/>
            <w:noWrap/>
            <w:vAlign w:val="center"/>
            <w:hideMark/>
          </w:tcPr>
          <w:p w14:paraId="1630F223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6.3%</w:t>
            </w:r>
          </w:p>
        </w:tc>
      </w:tr>
      <w:tr w:rsidR="004337DA" w:rsidRPr="004D414B" w14:paraId="2865A12E" w14:textId="77777777" w:rsidTr="00512E0B">
        <w:trPr>
          <w:trHeight w:val="188"/>
        </w:trPr>
        <w:tc>
          <w:tcPr>
            <w:tcW w:w="9389" w:type="dxa"/>
            <w:gridSpan w:val="9"/>
            <w:shd w:val="clear" w:color="auto" w:fill="E7E6E6" w:themeFill="background2"/>
            <w:noWrap/>
            <w:vAlign w:val="center"/>
            <w:hideMark/>
          </w:tcPr>
          <w:p w14:paraId="364FA47A" w14:textId="77777777" w:rsidR="004337DA" w:rsidRPr="004D414B" w:rsidRDefault="004337DA" w:rsidP="00512E0B">
            <w:pPr>
              <w:spacing w:after="0" w:line="240" w:lineRule="auto"/>
              <w:rPr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Nucleus/Plasma membrane</w:t>
            </w:r>
          </w:p>
        </w:tc>
      </w:tr>
      <w:tr w:rsidR="004337DA" w:rsidRPr="004D414B" w14:paraId="1046FBC5" w14:textId="77777777" w:rsidTr="00512E0B">
        <w:trPr>
          <w:trHeight w:val="340"/>
        </w:trPr>
        <w:tc>
          <w:tcPr>
            <w:tcW w:w="985" w:type="dxa"/>
            <w:noWrap/>
            <w:vAlign w:val="center"/>
            <w:hideMark/>
          </w:tcPr>
          <w:p w14:paraId="5DE538C7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MIA PaCa-2</w:t>
            </w:r>
          </w:p>
        </w:tc>
        <w:tc>
          <w:tcPr>
            <w:tcW w:w="1157" w:type="dxa"/>
            <w:noWrap/>
            <w:vAlign w:val="center"/>
            <w:hideMark/>
          </w:tcPr>
          <w:p w14:paraId="3DC006AE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0.18 ± 0.03</w:t>
            </w:r>
          </w:p>
        </w:tc>
        <w:tc>
          <w:tcPr>
            <w:tcW w:w="643" w:type="dxa"/>
            <w:noWrap/>
            <w:vAlign w:val="center"/>
            <w:hideMark/>
          </w:tcPr>
          <w:p w14:paraId="0ACD19A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30.2%</w:t>
            </w:r>
          </w:p>
        </w:tc>
        <w:tc>
          <w:tcPr>
            <w:tcW w:w="1350" w:type="dxa"/>
            <w:noWrap/>
            <w:vAlign w:val="center"/>
            <w:hideMark/>
          </w:tcPr>
          <w:p w14:paraId="795CF5D9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22.47 ± 2.97</w:t>
            </w:r>
            <w:r w:rsidRPr="004D414B">
              <w:rPr>
                <w:color w:val="000000"/>
                <w:sz w:val="18"/>
                <w:vertAlign w:val="superscript"/>
              </w:rPr>
              <w:t>*</w:t>
            </w:r>
          </w:p>
        </w:tc>
        <w:tc>
          <w:tcPr>
            <w:tcW w:w="664" w:type="dxa"/>
            <w:noWrap/>
            <w:vAlign w:val="center"/>
            <w:hideMark/>
          </w:tcPr>
          <w:p w14:paraId="7E508728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42.0%</w:t>
            </w:r>
          </w:p>
        </w:tc>
        <w:tc>
          <w:tcPr>
            <w:tcW w:w="1046" w:type="dxa"/>
            <w:noWrap/>
            <w:vAlign w:val="center"/>
            <w:hideMark/>
          </w:tcPr>
          <w:p w14:paraId="725DF726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0.14 ± 0.02</w:t>
            </w:r>
          </w:p>
        </w:tc>
        <w:tc>
          <w:tcPr>
            <w:tcW w:w="720" w:type="dxa"/>
            <w:noWrap/>
            <w:vAlign w:val="center"/>
            <w:hideMark/>
          </w:tcPr>
          <w:p w14:paraId="19DF631E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26.2%</w:t>
            </w:r>
          </w:p>
        </w:tc>
        <w:tc>
          <w:tcPr>
            <w:tcW w:w="1924" w:type="dxa"/>
            <w:noWrap/>
            <w:vAlign w:val="center"/>
            <w:hideMark/>
          </w:tcPr>
          <w:p w14:paraId="29EA488C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62.99 ± 12.19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++</w:t>
            </w:r>
          </w:p>
        </w:tc>
        <w:tc>
          <w:tcPr>
            <w:tcW w:w="900" w:type="dxa"/>
            <w:noWrap/>
            <w:vAlign w:val="center"/>
            <w:hideMark/>
          </w:tcPr>
          <w:p w14:paraId="1BEDE3C0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38.2%</w:t>
            </w:r>
          </w:p>
        </w:tc>
      </w:tr>
      <w:tr w:rsidR="004337DA" w:rsidRPr="004D414B" w14:paraId="69A33F5A" w14:textId="77777777" w:rsidTr="00512E0B">
        <w:trPr>
          <w:trHeight w:val="340"/>
        </w:trPr>
        <w:tc>
          <w:tcPr>
            <w:tcW w:w="985" w:type="dxa"/>
            <w:noWrap/>
            <w:vAlign w:val="center"/>
            <w:hideMark/>
          </w:tcPr>
          <w:p w14:paraId="0E355ED4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PANC1</w:t>
            </w:r>
          </w:p>
        </w:tc>
        <w:tc>
          <w:tcPr>
            <w:tcW w:w="1157" w:type="dxa"/>
            <w:noWrap/>
            <w:vAlign w:val="center"/>
            <w:hideMark/>
          </w:tcPr>
          <w:p w14:paraId="3083AF94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0.21 ± 0.02</w:t>
            </w:r>
          </w:p>
        </w:tc>
        <w:tc>
          <w:tcPr>
            <w:tcW w:w="643" w:type="dxa"/>
            <w:noWrap/>
            <w:vAlign w:val="center"/>
            <w:hideMark/>
          </w:tcPr>
          <w:p w14:paraId="46F37BF5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40.6%</w:t>
            </w:r>
          </w:p>
        </w:tc>
        <w:tc>
          <w:tcPr>
            <w:tcW w:w="1350" w:type="dxa"/>
            <w:noWrap/>
            <w:vAlign w:val="center"/>
            <w:hideMark/>
          </w:tcPr>
          <w:p w14:paraId="05E752E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17.72 ± 2.03</w:t>
            </w:r>
            <w:r w:rsidRPr="004D414B">
              <w:rPr>
                <w:color w:val="000000"/>
                <w:sz w:val="18"/>
                <w:vertAlign w:val="superscript"/>
              </w:rPr>
              <w:t>*</w:t>
            </w:r>
          </w:p>
        </w:tc>
        <w:tc>
          <w:tcPr>
            <w:tcW w:w="664" w:type="dxa"/>
            <w:noWrap/>
            <w:vAlign w:val="center"/>
            <w:hideMark/>
          </w:tcPr>
          <w:p w14:paraId="1663324B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34.7%</w:t>
            </w:r>
          </w:p>
        </w:tc>
        <w:tc>
          <w:tcPr>
            <w:tcW w:w="1046" w:type="dxa"/>
            <w:noWrap/>
            <w:vAlign w:val="center"/>
            <w:hideMark/>
          </w:tcPr>
          <w:p w14:paraId="768D35B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0.31 ± 0.04</w:t>
            </w:r>
          </w:p>
        </w:tc>
        <w:tc>
          <w:tcPr>
            <w:tcW w:w="720" w:type="dxa"/>
            <w:noWrap/>
            <w:vAlign w:val="center"/>
            <w:hideMark/>
          </w:tcPr>
          <w:p w14:paraId="2251CE53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41.3%</w:t>
            </w:r>
          </w:p>
        </w:tc>
        <w:tc>
          <w:tcPr>
            <w:tcW w:w="1924" w:type="dxa"/>
            <w:noWrap/>
            <w:vAlign w:val="center"/>
            <w:hideMark/>
          </w:tcPr>
          <w:p w14:paraId="376505EB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39.60 ± 8.79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</w:t>
            </w:r>
          </w:p>
        </w:tc>
        <w:tc>
          <w:tcPr>
            <w:tcW w:w="900" w:type="dxa"/>
            <w:noWrap/>
            <w:vAlign w:val="center"/>
            <w:hideMark/>
          </w:tcPr>
          <w:p w14:paraId="39A0D1F4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35.5%</w:t>
            </w:r>
          </w:p>
        </w:tc>
      </w:tr>
      <w:tr w:rsidR="004337DA" w:rsidRPr="004D414B" w14:paraId="55DDDAA7" w14:textId="77777777" w:rsidTr="00512E0B">
        <w:trPr>
          <w:trHeight w:val="188"/>
        </w:trPr>
        <w:tc>
          <w:tcPr>
            <w:tcW w:w="9389" w:type="dxa"/>
            <w:gridSpan w:val="9"/>
            <w:shd w:val="clear" w:color="auto" w:fill="E7E6E6" w:themeFill="background2"/>
            <w:noWrap/>
            <w:vAlign w:val="center"/>
            <w:hideMark/>
          </w:tcPr>
          <w:p w14:paraId="36C24500" w14:textId="77777777" w:rsidR="004337DA" w:rsidRPr="004D414B" w:rsidRDefault="004337DA" w:rsidP="00512E0B">
            <w:pPr>
              <w:spacing w:after="0" w:line="240" w:lineRule="auto"/>
              <w:rPr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Mitochondria</w:t>
            </w:r>
          </w:p>
        </w:tc>
      </w:tr>
      <w:tr w:rsidR="004337DA" w:rsidRPr="004D414B" w14:paraId="4B33E8E5" w14:textId="77777777" w:rsidTr="00512E0B">
        <w:trPr>
          <w:trHeight w:val="340"/>
        </w:trPr>
        <w:tc>
          <w:tcPr>
            <w:tcW w:w="985" w:type="dxa"/>
            <w:noWrap/>
            <w:vAlign w:val="center"/>
            <w:hideMark/>
          </w:tcPr>
          <w:p w14:paraId="3B1A27B6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MIA PaCa-2</w:t>
            </w:r>
          </w:p>
        </w:tc>
        <w:tc>
          <w:tcPr>
            <w:tcW w:w="1157" w:type="dxa"/>
            <w:noWrap/>
            <w:vAlign w:val="center"/>
            <w:hideMark/>
          </w:tcPr>
          <w:p w14:paraId="7572524C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0.31 ± 0.13</w:t>
            </w:r>
          </w:p>
        </w:tc>
        <w:tc>
          <w:tcPr>
            <w:tcW w:w="643" w:type="dxa"/>
            <w:noWrap/>
            <w:vAlign w:val="center"/>
            <w:hideMark/>
          </w:tcPr>
          <w:p w14:paraId="3DCC1E0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51.8%</w:t>
            </w:r>
          </w:p>
        </w:tc>
        <w:tc>
          <w:tcPr>
            <w:tcW w:w="1350" w:type="dxa"/>
            <w:noWrap/>
            <w:vAlign w:val="center"/>
            <w:hideMark/>
          </w:tcPr>
          <w:p w14:paraId="5AA7D185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25.90 ± 3.00</w:t>
            </w:r>
            <w:r w:rsidRPr="004D414B">
              <w:rPr>
                <w:color w:val="000000"/>
                <w:sz w:val="18"/>
                <w:vertAlign w:val="superscript"/>
              </w:rPr>
              <w:t>*</w:t>
            </w:r>
          </w:p>
        </w:tc>
        <w:tc>
          <w:tcPr>
            <w:tcW w:w="664" w:type="dxa"/>
            <w:noWrap/>
            <w:vAlign w:val="center"/>
            <w:hideMark/>
          </w:tcPr>
          <w:p w14:paraId="731DCE4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48.4%</w:t>
            </w:r>
          </w:p>
        </w:tc>
        <w:tc>
          <w:tcPr>
            <w:tcW w:w="1046" w:type="dxa"/>
            <w:noWrap/>
            <w:vAlign w:val="center"/>
            <w:hideMark/>
          </w:tcPr>
          <w:p w14:paraId="597E85E1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0.21 ± 0.01</w:t>
            </w:r>
          </w:p>
        </w:tc>
        <w:tc>
          <w:tcPr>
            <w:tcW w:w="720" w:type="dxa"/>
            <w:noWrap/>
            <w:vAlign w:val="center"/>
            <w:hideMark/>
          </w:tcPr>
          <w:p w14:paraId="65E2E2BA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38.7%</w:t>
            </w:r>
          </w:p>
        </w:tc>
        <w:tc>
          <w:tcPr>
            <w:tcW w:w="1924" w:type="dxa"/>
            <w:noWrap/>
            <w:vAlign w:val="center"/>
            <w:hideMark/>
          </w:tcPr>
          <w:p w14:paraId="4C20D92E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87.83 ± 14.06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+++</w:t>
            </w:r>
          </w:p>
        </w:tc>
        <w:tc>
          <w:tcPr>
            <w:tcW w:w="900" w:type="dxa"/>
            <w:noWrap/>
            <w:vAlign w:val="center"/>
            <w:hideMark/>
          </w:tcPr>
          <w:p w14:paraId="23388ADC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53.3%</w:t>
            </w:r>
          </w:p>
        </w:tc>
      </w:tr>
      <w:tr w:rsidR="004337DA" w:rsidRPr="004D414B" w14:paraId="6D1BB514" w14:textId="77777777" w:rsidTr="00512E0B">
        <w:trPr>
          <w:trHeight w:val="360"/>
        </w:trPr>
        <w:tc>
          <w:tcPr>
            <w:tcW w:w="985" w:type="dxa"/>
            <w:noWrap/>
            <w:vAlign w:val="center"/>
            <w:hideMark/>
          </w:tcPr>
          <w:p w14:paraId="217A8444" w14:textId="77777777" w:rsidR="004337DA" w:rsidRPr="004D414B" w:rsidRDefault="004337DA" w:rsidP="00512E0B">
            <w:pPr>
              <w:spacing w:after="0" w:line="240" w:lineRule="auto"/>
              <w:rPr>
                <w:b/>
                <w:bCs/>
                <w:color w:val="000000"/>
                <w:sz w:val="18"/>
              </w:rPr>
            </w:pPr>
            <w:r w:rsidRPr="004D414B">
              <w:rPr>
                <w:b/>
                <w:bCs/>
                <w:color w:val="000000"/>
                <w:sz w:val="18"/>
              </w:rPr>
              <w:t>PANC1</w:t>
            </w:r>
          </w:p>
        </w:tc>
        <w:tc>
          <w:tcPr>
            <w:tcW w:w="1157" w:type="dxa"/>
            <w:noWrap/>
            <w:vAlign w:val="center"/>
            <w:hideMark/>
          </w:tcPr>
          <w:p w14:paraId="7430EDD5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0.22 ± 0.21</w:t>
            </w:r>
          </w:p>
        </w:tc>
        <w:tc>
          <w:tcPr>
            <w:tcW w:w="643" w:type="dxa"/>
            <w:noWrap/>
            <w:vAlign w:val="center"/>
            <w:hideMark/>
          </w:tcPr>
          <w:p w14:paraId="1420E903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44.1%</w:t>
            </w:r>
          </w:p>
        </w:tc>
        <w:tc>
          <w:tcPr>
            <w:tcW w:w="1350" w:type="dxa"/>
            <w:noWrap/>
            <w:vAlign w:val="center"/>
            <w:hideMark/>
          </w:tcPr>
          <w:p w14:paraId="4D97C978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29.34 ± 2.39</w:t>
            </w:r>
            <w:r w:rsidRPr="004D414B">
              <w:rPr>
                <w:color w:val="000000"/>
                <w:sz w:val="18"/>
                <w:vertAlign w:val="superscript"/>
              </w:rPr>
              <w:t>**</w:t>
            </w:r>
          </w:p>
        </w:tc>
        <w:tc>
          <w:tcPr>
            <w:tcW w:w="664" w:type="dxa"/>
            <w:noWrap/>
            <w:vAlign w:val="center"/>
            <w:hideMark/>
          </w:tcPr>
          <w:p w14:paraId="5318CEF8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57.4%</w:t>
            </w:r>
          </w:p>
        </w:tc>
        <w:tc>
          <w:tcPr>
            <w:tcW w:w="1046" w:type="dxa"/>
            <w:noWrap/>
            <w:vAlign w:val="center"/>
            <w:hideMark/>
          </w:tcPr>
          <w:p w14:paraId="79C8D9C8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0.35 ± 0.04</w:t>
            </w:r>
          </w:p>
        </w:tc>
        <w:tc>
          <w:tcPr>
            <w:tcW w:w="720" w:type="dxa"/>
            <w:noWrap/>
            <w:vAlign w:val="center"/>
            <w:hideMark/>
          </w:tcPr>
          <w:p w14:paraId="2957B7C2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46.7%</w:t>
            </w:r>
          </w:p>
        </w:tc>
        <w:tc>
          <w:tcPr>
            <w:tcW w:w="1924" w:type="dxa"/>
            <w:noWrap/>
            <w:vAlign w:val="center"/>
            <w:hideMark/>
          </w:tcPr>
          <w:p w14:paraId="253148BF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64.80 ± 10.73</w:t>
            </w:r>
            <w:r w:rsidRPr="004D414B">
              <w:rPr>
                <w:color w:val="000000"/>
                <w:sz w:val="18"/>
                <w:vertAlign w:val="superscript"/>
              </w:rPr>
              <w:t>***</w:t>
            </w:r>
            <w:proofErr w:type="gramStart"/>
            <w:r w:rsidRPr="004D414B">
              <w:rPr>
                <w:color w:val="000000"/>
                <w:sz w:val="18"/>
                <w:vertAlign w:val="superscript"/>
              </w:rPr>
              <w:t>*,+</w:t>
            </w:r>
            <w:proofErr w:type="gramEnd"/>
            <w:r w:rsidRPr="004D414B">
              <w:rPr>
                <w:color w:val="000000"/>
                <w:sz w:val="18"/>
                <w:vertAlign w:val="superscript"/>
              </w:rPr>
              <w:t>++</w:t>
            </w:r>
          </w:p>
        </w:tc>
        <w:tc>
          <w:tcPr>
            <w:tcW w:w="900" w:type="dxa"/>
            <w:noWrap/>
            <w:vAlign w:val="center"/>
            <w:hideMark/>
          </w:tcPr>
          <w:p w14:paraId="6EC094DC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>58.2%</w:t>
            </w:r>
          </w:p>
        </w:tc>
      </w:tr>
      <w:tr w:rsidR="004337DA" w:rsidRPr="004D414B" w14:paraId="7886E038" w14:textId="77777777" w:rsidTr="00512E0B">
        <w:trPr>
          <w:trHeight w:val="340"/>
        </w:trPr>
        <w:tc>
          <w:tcPr>
            <w:tcW w:w="9389" w:type="dxa"/>
            <w:gridSpan w:val="9"/>
            <w:noWrap/>
            <w:vAlign w:val="center"/>
            <w:hideMark/>
          </w:tcPr>
          <w:p w14:paraId="5AFEB587" w14:textId="77777777" w:rsidR="004337DA" w:rsidRPr="004D414B" w:rsidRDefault="004337DA" w:rsidP="00512E0B">
            <w:pPr>
              <w:spacing w:after="0" w:line="240" w:lineRule="auto"/>
              <w:jc w:val="center"/>
              <w:rPr>
                <w:color w:val="000000"/>
                <w:sz w:val="18"/>
              </w:rPr>
            </w:pPr>
            <w:r w:rsidRPr="004D414B">
              <w:rPr>
                <w:color w:val="000000"/>
                <w:sz w:val="18"/>
              </w:rPr>
              <w:t xml:space="preserve">**** p&lt;0.0001 vs. untreated; +, p&lt;0.05, ++ p&lt;0.01, and +++ p&lt;0.001 vs. 24 </w:t>
            </w:r>
            <w:proofErr w:type="spellStart"/>
            <w:r w:rsidRPr="004D414B">
              <w:rPr>
                <w:color w:val="000000"/>
                <w:sz w:val="18"/>
              </w:rPr>
              <w:t>hr</w:t>
            </w:r>
            <w:proofErr w:type="spellEnd"/>
            <w:r w:rsidRPr="004D414B">
              <w:rPr>
                <w:color w:val="000000"/>
                <w:sz w:val="18"/>
              </w:rPr>
              <w:t xml:space="preserve"> EC</w:t>
            </w:r>
            <w:r w:rsidRPr="004D414B">
              <w:rPr>
                <w:color w:val="000000"/>
                <w:sz w:val="18"/>
                <w:vertAlign w:val="subscript"/>
              </w:rPr>
              <w:t>50</w:t>
            </w:r>
          </w:p>
        </w:tc>
      </w:tr>
    </w:tbl>
    <w:p w14:paraId="6954BEED" w14:textId="77777777" w:rsidR="004337DA" w:rsidRPr="004D414B" w:rsidRDefault="004337DA" w:rsidP="004337DA">
      <w:pPr>
        <w:spacing w:after="0" w:line="240" w:lineRule="auto"/>
        <w:rPr>
          <w:color w:val="000000"/>
          <w:sz w:val="11"/>
          <w:lang w:val="en-GB"/>
        </w:rPr>
      </w:pPr>
    </w:p>
    <w:p w14:paraId="732D6A3A" w14:textId="77777777" w:rsidR="004337DA" w:rsidRPr="00CF0FEF" w:rsidRDefault="004337DA" w:rsidP="004337DA">
      <w:pPr>
        <w:spacing w:after="0" w:line="240" w:lineRule="auto"/>
        <w:rPr>
          <w:color w:val="000000"/>
          <w:sz w:val="16"/>
          <w:szCs w:val="16"/>
          <w:lang w:val="en-GB"/>
        </w:rPr>
      </w:pPr>
      <w:r w:rsidRPr="00CF0FEF">
        <w:rPr>
          <w:color w:val="000000"/>
          <w:sz w:val="16"/>
          <w:szCs w:val="16"/>
          <w:lang w:val="en-GB"/>
        </w:rPr>
        <w:br w:type="page"/>
      </w:r>
    </w:p>
    <w:p w14:paraId="0CC40FB8" w14:textId="28706337" w:rsidR="00CF0FEF" w:rsidRDefault="00811540" w:rsidP="00811540">
      <w:pPr>
        <w:widowControl w:val="0"/>
        <w:rPr>
          <w:b/>
          <w:color w:val="000000"/>
          <w:lang w:val="en-GB"/>
        </w:rPr>
      </w:pPr>
      <w:r>
        <w:rPr>
          <w:b/>
          <w:color w:val="000000"/>
          <w:lang w:val="en-GB"/>
        </w:rPr>
        <w:lastRenderedPageBreak/>
        <w:t xml:space="preserve">Supplemental Figure </w:t>
      </w:r>
      <w:r w:rsidRPr="000023D4">
        <w:rPr>
          <w:b/>
          <w:color w:val="000000"/>
          <w:lang w:val="en-GB"/>
        </w:rPr>
        <w:t>1</w:t>
      </w:r>
    </w:p>
    <w:p w14:paraId="1827CBC2" w14:textId="0BD52AD7" w:rsidR="00CF0FEF" w:rsidRDefault="00CF0FEF" w:rsidP="00811540">
      <w:pPr>
        <w:widowControl w:val="0"/>
        <w:rPr>
          <w:b/>
          <w:color w:val="000000"/>
          <w:lang w:val="en-GB"/>
        </w:rPr>
        <w:sectPr w:rsidR="00CF0FEF" w:rsidSect="00CF0FEF">
          <w:pgSz w:w="12240" w:h="15840"/>
          <w:pgMar w:top="900" w:right="810" w:bottom="441" w:left="1440" w:header="720" w:footer="720" w:gutter="0"/>
          <w:cols w:space="720"/>
          <w:docGrid w:linePitch="360"/>
        </w:sectPr>
      </w:pPr>
      <w:r w:rsidRPr="00F76CDE">
        <w:rPr>
          <w:noProof/>
          <w:color w:val="000000"/>
        </w:rPr>
        <w:drawing>
          <wp:inline distT="0" distB="0" distL="0" distR="0" wp14:anchorId="69397721" wp14:editId="08C18C58">
            <wp:extent cx="5943600" cy="7916545"/>
            <wp:effectExtent l="0" t="0" r="0" b="0"/>
            <wp:docPr id="3" name="Picture 9" descr="Z:\Manuscripts in preparation\BBS Oncology\Manuscript - BPM 31510 - Pancreatic Cancer\2018_New_Version\Figure deck\SupplFig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Manuscripts in preparation\BBS Oncology\Manuscript - BPM 31510 - Pancreatic Cancer\2018_New_Version\Figure deck\SupplFigur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3007" w14:textId="77777777" w:rsidR="00811540" w:rsidRPr="000023D4" w:rsidRDefault="00811540" w:rsidP="00CF0FEF">
      <w:pPr>
        <w:widowControl w:val="0"/>
        <w:rPr>
          <w:b/>
          <w:color w:val="000000"/>
          <w:lang w:val="en-GB"/>
        </w:rPr>
      </w:pPr>
      <w:r w:rsidRPr="000023D4">
        <w:rPr>
          <w:b/>
          <w:color w:val="000000"/>
          <w:lang w:val="en-GB"/>
        </w:rPr>
        <w:lastRenderedPageBreak/>
        <w:t>Supplemental Figure 2</w:t>
      </w:r>
    </w:p>
    <w:p w14:paraId="579B8416" w14:textId="77777777" w:rsidR="00811540" w:rsidRPr="000023D4" w:rsidRDefault="00811540" w:rsidP="00811540">
      <w:pPr>
        <w:widowControl w:val="0"/>
        <w:rPr>
          <w:color w:val="000000"/>
          <w:lang w:val="en-GB"/>
        </w:rPr>
      </w:pPr>
      <w:r w:rsidRPr="00F76CDE">
        <w:rPr>
          <w:b/>
          <w:noProof/>
          <w:color w:val="000000"/>
        </w:rPr>
        <w:drawing>
          <wp:inline distT="0" distB="0" distL="0" distR="0" wp14:anchorId="431613D5" wp14:editId="41039BE2">
            <wp:extent cx="5943600" cy="7916545"/>
            <wp:effectExtent l="0" t="0" r="0" b="0"/>
            <wp:docPr id="13" name="Picture 10" descr="Z:\Manuscripts in preparation\BBS Oncology\Manuscript - BPM 31510 - Pancreatic Cancer\2018_New_Version\Figure deck\SupplFig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Manuscripts in preparation\BBS Oncology\Manuscript - BPM 31510 - Pancreatic Cancer\2018_New_Version\Figure deck\SupplFigur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3D4">
        <w:rPr>
          <w:color w:val="000000"/>
          <w:lang w:val="en-GB"/>
        </w:rPr>
        <w:br w:type="page"/>
      </w:r>
    </w:p>
    <w:p w14:paraId="04273077" w14:textId="77777777" w:rsidR="00811540" w:rsidRPr="000023D4" w:rsidRDefault="00811540" w:rsidP="00811540">
      <w:pPr>
        <w:widowControl w:val="0"/>
        <w:outlineLvl w:val="0"/>
        <w:rPr>
          <w:b/>
          <w:color w:val="000000"/>
          <w:lang w:val="en-GB"/>
        </w:rPr>
      </w:pPr>
      <w:r w:rsidRPr="000023D4">
        <w:rPr>
          <w:b/>
          <w:color w:val="000000"/>
          <w:lang w:val="en-GB"/>
        </w:rPr>
        <w:lastRenderedPageBreak/>
        <w:t>Supplemental Figure 3</w:t>
      </w:r>
    </w:p>
    <w:p w14:paraId="6E7AEAFE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Garamond"/>
          <w:b/>
          <w:lang w:val="en-GB"/>
        </w:rPr>
      </w:pPr>
      <w:r w:rsidRPr="000023D4">
        <w:rPr>
          <w:rFonts w:cs="Garamond"/>
          <w:b/>
          <w:lang w:val="en-GB"/>
        </w:rPr>
        <w:t>The Python Script for the image segmentation portion of the source code is:</w:t>
      </w:r>
    </w:p>
    <w:p w14:paraId="7C960117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self._gray = cv2.cvtColor(self._img, cv2.COLOR_BGR2GRAY)</w:t>
      </w:r>
    </w:p>
    <w:p w14:paraId="21B4C213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blurred = cv2.GaussianBlur(self._gray, (3, 3), 0)</w:t>
      </w:r>
    </w:p>
    <w:p w14:paraId="2E8609FA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edges = cv2.Canny(blurred, 25, 100, 7)</w:t>
      </w:r>
    </w:p>
    <w:p w14:paraId="673982B3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# blend edges together into objects</w:t>
      </w:r>
    </w:p>
    <w:p w14:paraId="245806CA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blurred_edges = cv2.GaussianBlur(edges, (7, 7), 0)</w:t>
      </w:r>
    </w:p>
    <w:p w14:paraId="60092D3A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kernel = np.ones((6, 6), np.uint8)</w:t>
      </w:r>
    </w:p>
    <w:p w14:paraId="5B18EC9A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blended_objects = cv2.morphologyEx(blurred_edges, cv2.MORPH_CLOSE, kernel,</w:t>
      </w:r>
      <w:r>
        <w:rPr>
          <w:rFonts w:cs="AndaleMono"/>
          <w:lang w:val="en-GB"/>
        </w:rPr>
        <w:t xml:space="preserve"> </w:t>
      </w:r>
      <w:r w:rsidRPr="000023D4">
        <w:rPr>
          <w:rFonts w:cs="AndaleMono"/>
          <w:lang w:val="en-GB"/>
        </w:rPr>
        <w:t>iterations=2)</w:t>
      </w:r>
    </w:p>
    <w:p w14:paraId="6639A450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# noise removal</w:t>
      </w:r>
    </w:p>
    <w:p w14:paraId="4C617F22" w14:textId="77777777" w:rsidR="00811540" w:rsidRPr="000023D4" w:rsidRDefault="00811540" w:rsidP="00811540">
      <w:pPr>
        <w:widowControl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kernel = np.ones((15, 15), np.uint8)</w:t>
      </w:r>
    </w:p>
    <w:p w14:paraId="53570EAC" w14:textId="77777777" w:rsidR="00811540" w:rsidRPr="000023D4" w:rsidRDefault="00811540" w:rsidP="00811540">
      <w:pPr>
        <w:widowControl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denoised_blends = cv2.morphologyEx(blended_objects, cv2.MORPH_OPEN, kernel,</w:t>
      </w:r>
      <w:r>
        <w:rPr>
          <w:rFonts w:cs="AndaleMono"/>
          <w:lang w:val="en-GB"/>
        </w:rPr>
        <w:t xml:space="preserve"> </w:t>
      </w:r>
      <w:r w:rsidRPr="000023D4">
        <w:rPr>
          <w:rFonts w:cs="AndaleMono"/>
          <w:lang w:val="en-GB"/>
        </w:rPr>
        <w:t>iterations=1)</w:t>
      </w:r>
    </w:p>
    <w:p w14:paraId="4DDAB5B9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cs="AndaleMono"/>
          <w:lang w:val="en-GB"/>
        </w:rPr>
      </w:pPr>
      <w:r w:rsidRPr="000023D4">
        <w:rPr>
          <w:rFonts w:cs="AndaleMono"/>
          <w:lang w:val="en-GB"/>
        </w:rPr>
        <w:t>filled_blends = fill_holes(denoised_blends)</w:t>
      </w:r>
    </w:p>
    <w:p w14:paraId="5A7A60DC" w14:textId="77777777" w:rsidR="00811540" w:rsidRPr="000023D4" w:rsidRDefault="00811540" w:rsidP="0081154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lang w:val="en-GB"/>
        </w:rPr>
      </w:pPr>
      <w:r w:rsidRPr="000023D4">
        <w:rPr>
          <w:rFonts w:cs="AndaleMono"/>
          <w:lang w:val="en-GB"/>
        </w:rPr>
        <w:t>fg_components = cv2.connectedComponentsWithStats(filled_blends,</w:t>
      </w:r>
      <w:r>
        <w:rPr>
          <w:rFonts w:cs="AndaleMono"/>
          <w:lang w:val="en-GB"/>
        </w:rPr>
        <w:t xml:space="preserve"> </w:t>
      </w:r>
      <w:r w:rsidRPr="000023D4">
        <w:rPr>
          <w:rFonts w:cs="AndaleMono"/>
          <w:lang w:val="en-GB"/>
        </w:rPr>
        <w:t>connectivity=self._connectivity)</w:t>
      </w:r>
    </w:p>
    <w:p w14:paraId="23E2ABEB" w14:textId="77777777" w:rsidR="00811540" w:rsidRPr="000023D4" w:rsidRDefault="00811540" w:rsidP="00811540">
      <w:pPr>
        <w:widowControl w:val="0"/>
        <w:outlineLvl w:val="0"/>
        <w:rPr>
          <w:b/>
          <w:color w:val="000000"/>
          <w:lang w:val="en-GB"/>
        </w:rPr>
      </w:pPr>
    </w:p>
    <w:p w14:paraId="49EA2199" w14:textId="77777777" w:rsidR="00811540" w:rsidRPr="000023D4" w:rsidRDefault="00811540" w:rsidP="00811540">
      <w:pPr>
        <w:widowControl w:val="0"/>
        <w:rPr>
          <w:b/>
          <w:color w:val="000000"/>
          <w:lang w:val="en-GB"/>
        </w:rPr>
      </w:pPr>
      <w:r w:rsidRPr="000023D4">
        <w:rPr>
          <w:b/>
          <w:color w:val="000000"/>
          <w:lang w:val="en-GB"/>
        </w:rPr>
        <w:br w:type="page"/>
      </w:r>
    </w:p>
    <w:p w14:paraId="3617D282" w14:textId="77777777" w:rsidR="00811540" w:rsidRPr="000023D4" w:rsidRDefault="00811540" w:rsidP="00811540">
      <w:pPr>
        <w:widowControl w:val="0"/>
        <w:outlineLvl w:val="0"/>
        <w:rPr>
          <w:b/>
          <w:color w:val="000000"/>
          <w:lang w:val="en-GB"/>
        </w:rPr>
      </w:pPr>
      <w:r w:rsidRPr="000023D4">
        <w:rPr>
          <w:b/>
          <w:color w:val="000000"/>
          <w:lang w:val="en-GB"/>
        </w:rPr>
        <w:lastRenderedPageBreak/>
        <w:t>Supplemental Figure 4</w:t>
      </w:r>
    </w:p>
    <w:p w14:paraId="4AF39C98" w14:textId="77777777" w:rsidR="00811540" w:rsidRPr="000023D4" w:rsidRDefault="00811540" w:rsidP="00811540">
      <w:pPr>
        <w:widowControl w:val="0"/>
        <w:rPr>
          <w:color w:val="000000"/>
          <w:lang w:val="en-GB"/>
        </w:rPr>
      </w:pPr>
      <w:r w:rsidRPr="00F76CDE">
        <w:rPr>
          <w:noProof/>
          <w:color w:val="000000"/>
        </w:rPr>
        <w:drawing>
          <wp:inline distT="0" distB="0" distL="0" distR="0" wp14:anchorId="42800E35" wp14:editId="45ADF0AE">
            <wp:extent cx="5943600" cy="2418080"/>
            <wp:effectExtent l="0" t="0" r="0" b="0"/>
            <wp:docPr id="1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451D" w14:textId="77777777" w:rsidR="00811540" w:rsidRPr="000023D4" w:rsidRDefault="00811540" w:rsidP="00811540">
      <w:pPr>
        <w:widowControl w:val="0"/>
        <w:rPr>
          <w:color w:val="000000"/>
          <w:lang w:val="en-GB"/>
        </w:rPr>
      </w:pPr>
    </w:p>
    <w:p w14:paraId="572757D4" w14:textId="77777777" w:rsidR="00811540" w:rsidRPr="000023D4" w:rsidRDefault="00811540" w:rsidP="00811540">
      <w:pPr>
        <w:widowControl w:val="0"/>
        <w:rPr>
          <w:color w:val="000000"/>
          <w:lang w:val="en-GB"/>
        </w:rPr>
      </w:pPr>
    </w:p>
    <w:p w14:paraId="6412A28C" w14:textId="77777777" w:rsidR="00387E5D" w:rsidRDefault="00387E5D"/>
    <w:sectPr w:rsidR="00387E5D" w:rsidSect="00CF0FEF">
      <w:pgSz w:w="12240" w:h="15840"/>
      <w:pgMar w:top="1440" w:right="1440" w:bottom="75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daleMono">
    <w:charset w:val="00"/>
    <w:family w:val="modern"/>
    <w:pitch w:val="fixed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40"/>
    <w:rsid w:val="0001221F"/>
    <w:rsid w:val="00015EDC"/>
    <w:rsid w:val="000220FF"/>
    <w:rsid w:val="0004292B"/>
    <w:rsid w:val="00086147"/>
    <w:rsid w:val="00086F05"/>
    <w:rsid w:val="00091D3C"/>
    <w:rsid w:val="000B0F11"/>
    <w:rsid w:val="000C530E"/>
    <w:rsid w:val="00111DDF"/>
    <w:rsid w:val="001310E6"/>
    <w:rsid w:val="001622FD"/>
    <w:rsid w:val="00174FBF"/>
    <w:rsid w:val="001777B9"/>
    <w:rsid w:val="001844C0"/>
    <w:rsid w:val="00187D43"/>
    <w:rsid w:val="001B3B53"/>
    <w:rsid w:val="001D1F78"/>
    <w:rsid w:val="001D2FD9"/>
    <w:rsid w:val="00214F4B"/>
    <w:rsid w:val="00215113"/>
    <w:rsid w:val="00215DBE"/>
    <w:rsid w:val="00225E96"/>
    <w:rsid w:val="00260909"/>
    <w:rsid w:val="002A3FB2"/>
    <w:rsid w:val="002A4336"/>
    <w:rsid w:val="002B5322"/>
    <w:rsid w:val="002C0407"/>
    <w:rsid w:val="002E1FDF"/>
    <w:rsid w:val="002F0064"/>
    <w:rsid w:val="00313743"/>
    <w:rsid w:val="003145B2"/>
    <w:rsid w:val="00341369"/>
    <w:rsid w:val="00351923"/>
    <w:rsid w:val="00387E5D"/>
    <w:rsid w:val="00395612"/>
    <w:rsid w:val="003B1FE3"/>
    <w:rsid w:val="003B5BFC"/>
    <w:rsid w:val="003B6E84"/>
    <w:rsid w:val="003C3380"/>
    <w:rsid w:val="003D65F5"/>
    <w:rsid w:val="003E0F99"/>
    <w:rsid w:val="003E2552"/>
    <w:rsid w:val="003F1457"/>
    <w:rsid w:val="00416148"/>
    <w:rsid w:val="0043095E"/>
    <w:rsid w:val="004337DA"/>
    <w:rsid w:val="00434423"/>
    <w:rsid w:val="00442211"/>
    <w:rsid w:val="00475665"/>
    <w:rsid w:val="004B0E62"/>
    <w:rsid w:val="004B64A5"/>
    <w:rsid w:val="004C3BEA"/>
    <w:rsid w:val="004C7782"/>
    <w:rsid w:val="004D414B"/>
    <w:rsid w:val="004D79A4"/>
    <w:rsid w:val="004E0BA0"/>
    <w:rsid w:val="004E2225"/>
    <w:rsid w:val="00500AEB"/>
    <w:rsid w:val="00507680"/>
    <w:rsid w:val="00513896"/>
    <w:rsid w:val="0053121D"/>
    <w:rsid w:val="0053781F"/>
    <w:rsid w:val="00590118"/>
    <w:rsid w:val="005B0588"/>
    <w:rsid w:val="005B54A0"/>
    <w:rsid w:val="005C3139"/>
    <w:rsid w:val="005C64CA"/>
    <w:rsid w:val="005D3393"/>
    <w:rsid w:val="005E4E0C"/>
    <w:rsid w:val="005F61D2"/>
    <w:rsid w:val="0060295A"/>
    <w:rsid w:val="006173F1"/>
    <w:rsid w:val="00620552"/>
    <w:rsid w:val="00630E3E"/>
    <w:rsid w:val="0065165B"/>
    <w:rsid w:val="006B24EA"/>
    <w:rsid w:val="006E50AC"/>
    <w:rsid w:val="006F31A4"/>
    <w:rsid w:val="006F4378"/>
    <w:rsid w:val="00700605"/>
    <w:rsid w:val="00745FD6"/>
    <w:rsid w:val="0076015F"/>
    <w:rsid w:val="00773FE2"/>
    <w:rsid w:val="0077475A"/>
    <w:rsid w:val="007753A8"/>
    <w:rsid w:val="007A1F55"/>
    <w:rsid w:val="007D28CF"/>
    <w:rsid w:val="007E11D5"/>
    <w:rsid w:val="00811540"/>
    <w:rsid w:val="00831740"/>
    <w:rsid w:val="00833314"/>
    <w:rsid w:val="00855336"/>
    <w:rsid w:val="00892302"/>
    <w:rsid w:val="008A2538"/>
    <w:rsid w:val="008C429B"/>
    <w:rsid w:val="008D608F"/>
    <w:rsid w:val="00902CD2"/>
    <w:rsid w:val="00922977"/>
    <w:rsid w:val="00963025"/>
    <w:rsid w:val="0096620E"/>
    <w:rsid w:val="00980090"/>
    <w:rsid w:val="00981FC8"/>
    <w:rsid w:val="009B6C5E"/>
    <w:rsid w:val="009D0443"/>
    <w:rsid w:val="009E2323"/>
    <w:rsid w:val="00A06730"/>
    <w:rsid w:val="00A65C43"/>
    <w:rsid w:val="00A6603F"/>
    <w:rsid w:val="00A76F00"/>
    <w:rsid w:val="00AE7B24"/>
    <w:rsid w:val="00B04FB5"/>
    <w:rsid w:val="00B82686"/>
    <w:rsid w:val="00B95C1C"/>
    <w:rsid w:val="00B964DD"/>
    <w:rsid w:val="00B96A02"/>
    <w:rsid w:val="00BA3C4A"/>
    <w:rsid w:val="00BA5E05"/>
    <w:rsid w:val="00BF6132"/>
    <w:rsid w:val="00C01F3F"/>
    <w:rsid w:val="00C119FB"/>
    <w:rsid w:val="00C5467C"/>
    <w:rsid w:val="00C83AB3"/>
    <w:rsid w:val="00C90A81"/>
    <w:rsid w:val="00CA1C45"/>
    <w:rsid w:val="00CC402E"/>
    <w:rsid w:val="00CE4AA0"/>
    <w:rsid w:val="00CF0FEF"/>
    <w:rsid w:val="00D1186A"/>
    <w:rsid w:val="00D11DD0"/>
    <w:rsid w:val="00D769AA"/>
    <w:rsid w:val="00D859BB"/>
    <w:rsid w:val="00D92EF9"/>
    <w:rsid w:val="00DB50BC"/>
    <w:rsid w:val="00DC7D75"/>
    <w:rsid w:val="00DE4FC8"/>
    <w:rsid w:val="00E545F6"/>
    <w:rsid w:val="00E556DE"/>
    <w:rsid w:val="00E601AD"/>
    <w:rsid w:val="00E74EEF"/>
    <w:rsid w:val="00EE7BED"/>
    <w:rsid w:val="00EF397B"/>
    <w:rsid w:val="00F00668"/>
    <w:rsid w:val="00F227FB"/>
    <w:rsid w:val="00F35F88"/>
    <w:rsid w:val="00F62AD2"/>
    <w:rsid w:val="00F7165A"/>
    <w:rsid w:val="00FA5C90"/>
    <w:rsid w:val="00FA7807"/>
    <w:rsid w:val="00FB6B7C"/>
    <w:rsid w:val="00FD783C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3E4E"/>
  <w15:chartTrackingRefBased/>
  <w15:docId w15:val="{78369140-84E3-A649-B9AA-FEA50BB3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540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D75"/>
    <w:pPr>
      <w:spacing w:after="0" w:line="240" w:lineRule="auto"/>
    </w:pPr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D75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4D4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3F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Rangaprasad.Sarangarajan@BergHealth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Ranga Sarangarajan</cp:lastModifiedBy>
  <cp:revision>4</cp:revision>
  <dcterms:created xsi:type="dcterms:W3CDTF">2020-08-25T13:27:00Z</dcterms:created>
  <dcterms:modified xsi:type="dcterms:W3CDTF">2020-09-03T14:19:00Z</dcterms:modified>
</cp:coreProperties>
</file>