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A67" w:rsidRPr="00DE0BE3" w:rsidRDefault="000F3A67" w:rsidP="001C37FF">
      <w:pPr>
        <w:spacing w:line="480" w:lineRule="auto"/>
        <w:jc w:val="center"/>
        <w:rPr>
          <w:b/>
          <w:lang w:val="en-US"/>
        </w:rPr>
      </w:pPr>
      <w:r w:rsidRPr="00DE0BE3">
        <w:rPr>
          <w:b/>
          <w:lang w:val="en-US"/>
        </w:rPr>
        <w:t xml:space="preserve">Efficiency of nilotinib to target chronic phase-chronic myeloid leukaemia primary mature CD34- and immature CD34+ cells </w:t>
      </w:r>
    </w:p>
    <w:p w:rsidR="001C37FF" w:rsidRPr="000F3A67" w:rsidRDefault="001C37FF" w:rsidP="001C37FF">
      <w:pPr>
        <w:spacing w:line="480" w:lineRule="auto"/>
        <w:jc w:val="center"/>
        <w:rPr>
          <w:vertAlign w:val="superscript"/>
        </w:rPr>
      </w:pPr>
      <w:r w:rsidRPr="000F3A67">
        <w:t>Marc G Berger</w:t>
      </w:r>
      <w:r w:rsidRPr="000F3A67">
        <w:rPr>
          <w:vertAlign w:val="superscript"/>
        </w:rPr>
        <w:t>1,2,3,11</w:t>
      </w:r>
      <w:r w:rsidRPr="000F3A67">
        <w:t xml:space="preserve"> , Benjamin Lebecque</w:t>
      </w:r>
      <w:r w:rsidRPr="000F3A67">
        <w:rPr>
          <w:vertAlign w:val="superscript"/>
        </w:rPr>
        <w:t>1,2</w:t>
      </w:r>
      <w:r w:rsidRPr="000F3A67">
        <w:t>, Thomas Tassin</w:t>
      </w:r>
      <w:r w:rsidRPr="000F3A67">
        <w:rPr>
          <w:vertAlign w:val="superscript"/>
        </w:rPr>
        <w:t>1,2</w:t>
      </w:r>
      <w:r w:rsidRPr="000F3A67">
        <w:t>, Louis-Thomas Dannus</w:t>
      </w:r>
      <w:r w:rsidRPr="000F3A67">
        <w:rPr>
          <w:vertAlign w:val="superscript"/>
        </w:rPr>
        <w:t>1,2</w:t>
      </w:r>
      <w:r w:rsidRPr="000F3A67">
        <w:t>, Juliette Berger</w:t>
      </w:r>
      <w:r w:rsidRPr="000F3A67">
        <w:rPr>
          <w:vertAlign w:val="superscript"/>
        </w:rPr>
        <w:t>1,2,3</w:t>
      </w:r>
      <w:r w:rsidRPr="000F3A67">
        <w:t>, Mélanie Soucal</w:t>
      </w:r>
      <w:r w:rsidRPr="000F3A67">
        <w:rPr>
          <w:vertAlign w:val="superscript"/>
        </w:rPr>
        <w:t>1,2</w:t>
      </w:r>
      <w:r w:rsidRPr="000F3A67">
        <w:t>, Agnès Guerci</w:t>
      </w:r>
      <w:r w:rsidRPr="000F3A67">
        <w:rPr>
          <w:vertAlign w:val="superscript"/>
        </w:rPr>
        <w:t>4</w:t>
      </w:r>
      <w:r w:rsidRPr="000F3A67">
        <w:t>, Pascale Cony-Makhoul</w:t>
      </w:r>
      <w:r w:rsidRPr="000F3A67">
        <w:rPr>
          <w:vertAlign w:val="superscript"/>
        </w:rPr>
        <w:t>5</w:t>
      </w:r>
      <w:r w:rsidRPr="000F3A67">
        <w:t>, Hyacinthe Johnson</w:t>
      </w:r>
      <w:r w:rsidRPr="000F3A67">
        <w:rPr>
          <w:vertAlign w:val="superscript"/>
        </w:rPr>
        <w:t>6</w:t>
      </w:r>
      <w:r w:rsidRPr="000F3A67">
        <w:t>, Gabriel Etienne</w:t>
      </w:r>
      <w:r w:rsidRPr="000F3A67">
        <w:rPr>
          <w:vertAlign w:val="superscript"/>
        </w:rPr>
        <w:t>7</w:t>
      </w:r>
      <w:r w:rsidRPr="000F3A67">
        <w:t>, Denis Guyotat</w:t>
      </w:r>
      <w:r w:rsidRPr="000F3A67">
        <w:rPr>
          <w:vertAlign w:val="superscript"/>
        </w:rPr>
        <w:t>8</w:t>
      </w:r>
      <w:r w:rsidRPr="000F3A67">
        <w:t>, Marie-Claude Gagnieu</w:t>
      </w:r>
      <w:r w:rsidRPr="000F3A67">
        <w:rPr>
          <w:vertAlign w:val="superscript"/>
        </w:rPr>
        <w:t>9</w:t>
      </w:r>
      <w:r w:rsidRPr="000F3A67">
        <w:t>, Bruno Pereira</w:t>
      </w:r>
      <w:r w:rsidRPr="000F3A67">
        <w:rPr>
          <w:vertAlign w:val="superscript"/>
        </w:rPr>
        <w:t>10</w:t>
      </w:r>
      <w:r w:rsidRPr="000F3A67">
        <w:t>, Sandrine Saugues</w:t>
      </w:r>
      <w:r w:rsidRPr="000F3A67">
        <w:rPr>
          <w:vertAlign w:val="superscript"/>
        </w:rPr>
        <w:t>2,3</w:t>
      </w:r>
      <w:r w:rsidRPr="000F3A67">
        <w:t>, Olivier Tournilhac</w:t>
      </w:r>
      <w:r w:rsidRPr="000F3A67">
        <w:rPr>
          <w:vertAlign w:val="superscript"/>
        </w:rPr>
        <w:t>2,11</w:t>
      </w:r>
      <w:r w:rsidRPr="000F3A67">
        <w:t>, Eric Hermet</w:t>
      </w:r>
      <w:r w:rsidRPr="000F3A67">
        <w:rPr>
          <w:vertAlign w:val="superscript"/>
        </w:rPr>
        <w:t>11</w:t>
      </w:r>
      <w:r w:rsidRPr="000F3A67">
        <w:t>, and Céline Bourgne</w:t>
      </w:r>
      <w:r w:rsidRPr="000F3A67">
        <w:rPr>
          <w:vertAlign w:val="superscript"/>
        </w:rPr>
        <w:t>1,2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1</w:t>
      </w:r>
      <w:r w:rsidRPr="00A5401E">
        <w:rPr>
          <w:rFonts w:eastAsia="Calibri"/>
          <w:sz w:val="20"/>
          <w:szCs w:val="20"/>
        </w:rPr>
        <w:t>Hématologie Biologique, CHU Clermont-Ferrand, Hôpital Estaing, 1 place Lucie et Raymond Aubrac, 63003 Clermont-Ferrand Cedex 1,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2</w:t>
      </w:r>
      <w:r w:rsidRPr="00A5401E">
        <w:rPr>
          <w:rFonts w:eastAsia="Calibri"/>
          <w:sz w:val="20"/>
          <w:szCs w:val="20"/>
        </w:rPr>
        <w:t>Equipe d’Accueil 7453 CHELTER, Université Clermont Auvergne, CHU Clermont-Ferrand, Hôpital Estaing, 1 place Lucie et Raymond Aubrac, 63003 Clermont-Ferrand Cedex 1,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3</w:t>
      </w:r>
      <w:r w:rsidRPr="00A5401E">
        <w:rPr>
          <w:rFonts w:eastAsia="Calibri"/>
          <w:sz w:val="20"/>
          <w:szCs w:val="20"/>
        </w:rPr>
        <w:t>CRB-Auvergne, CHU Clermont-Ferrand, Hôpital Estaing, 1 place Lucie et Raymond Aubrac, 63003 Clermont-Ferrand Cedex 1,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4</w:t>
      </w:r>
      <w:r w:rsidRPr="00A5401E">
        <w:rPr>
          <w:rFonts w:eastAsia="Calibri"/>
          <w:sz w:val="20"/>
          <w:szCs w:val="20"/>
        </w:rPr>
        <w:t>Hématologie Clinique, CHU Nancy, Hôpitaux de Brabois, Rue du Morvan, 54500 Vandoeuvre-lès-Nancy,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ind w:left="142" w:hanging="142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5</w:t>
      </w:r>
      <w:r w:rsidRPr="00A5401E">
        <w:rPr>
          <w:rFonts w:eastAsia="Calibri"/>
          <w:sz w:val="20"/>
          <w:szCs w:val="20"/>
        </w:rPr>
        <w:t>Hématologie Clinique, CH Annecy-Genevois, 1 Avenue de l’Hôpital, 74370 Metz-Tessy,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6</w:t>
      </w:r>
      <w:r w:rsidRPr="00A5401E">
        <w:rPr>
          <w:rFonts w:eastAsia="Calibri"/>
          <w:sz w:val="20"/>
          <w:szCs w:val="20"/>
        </w:rPr>
        <w:t>Institut d’Hématologie de Basse Normandie, CHU de Caen, Avenue de la Côte de Nacre, CS30001, 14033 Caen Cedex 9,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ind w:left="142" w:hanging="142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7</w:t>
      </w:r>
      <w:r w:rsidRPr="00A5401E">
        <w:rPr>
          <w:rFonts w:eastAsia="Calibri"/>
          <w:sz w:val="20"/>
          <w:szCs w:val="20"/>
        </w:rPr>
        <w:t>Hématologie Clinique, Institut Bergonié, 229 Cours de l’Argonne, 33076 Bordeaux Cedex,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8</w:t>
      </w:r>
      <w:r w:rsidRPr="00A5401E">
        <w:rPr>
          <w:rFonts w:eastAsia="Calibri"/>
          <w:sz w:val="20"/>
          <w:szCs w:val="20"/>
        </w:rPr>
        <w:t>Département d'Hématologie, Institut de Cancérologie Lucien Neuwirth, 108 Avenue Albert Raimond, 42270 Saint-Priest-en-Jarez,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9</w:t>
      </w:r>
      <w:r>
        <w:rPr>
          <w:rFonts w:eastAsia="Calibri"/>
          <w:sz w:val="20"/>
          <w:szCs w:val="20"/>
        </w:rPr>
        <w:t>Service de Biochimie et Biologie Moléculaire, UM Pharmacologie-Toxicologie, Groupement Hospitalier Sud,</w:t>
      </w:r>
      <w:r w:rsidRPr="00D856FC">
        <w:rPr>
          <w:rFonts w:eastAsia="Calibri"/>
          <w:sz w:val="20"/>
          <w:szCs w:val="20"/>
        </w:rPr>
        <w:t>165, chemin du grand Revoyet</w:t>
      </w:r>
      <w:r>
        <w:rPr>
          <w:rFonts w:eastAsia="Calibri"/>
          <w:sz w:val="20"/>
          <w:szCs w:val="20"/>
        </w:rPr>
        <w:t xml:space="preserve">, </w:t>
      </w:r>
      <w:r w:rsidRPr="00D856FC">
        <w:rPr>
          <w:rFonts w:eastAsia="Calibri"/>
          <w:sz w:val="20"/>
          <w:szCs w:val="20"/>
        </w:rPr>
        <w:t>69495 Pierre-Bénite</w:t>
      </w:r>
      <w:r>
        <w:rPr>
          <w:rFonts w:eastAsia="Calibri"/>
          <w:sz w:val="20"/>
          <w:szCs w:val="20"/>
        </w:rPr>
        <w:t>,</w:t>
      </w:r>
      <w:r w:rsidRPr="00A5401E">
        <w:rPr>
          <w:rFonts w:eastAsia="Calibri"/>
          <w:sz w:val="20"/>
          <w:szCs w:val="20"/>
        </w:rPr>
        <w:t xml:space="preserve">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10</w:t>
      </w:r>
      <w:r w:rsidRPr="00A5401E">
        <w:rPr>
          <w:rFonts w:eastAsia="Calibri"/>
          <w:sz w:val="20"/>
          <w:szCs w:val="20"/>
        </w:rPr>
        <w:t>CHU Clermont-Ferrand, Délégation à la Recherche Clinique et à l'Innovation, 63003, Clermont-Ferrand, France</w:t>
      </w:r>
    </w:p>
    <w:p w:rsidR="001C37FF" w:rsidRPr="00A5401E" w:rsidRDefault="001C37FF" w:rsidP="001C37FF">
      <w:pPr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</w:rPr>
      </w:pPr>
      <w:r w:rsidRPr="00A5401E">
        <w:rPr>
          <w:rFonts w:eastAsia="Calibri"/>
          <w:sz w:val="20"/>
          <w:szCs w:val="20"/>
          <w:vertAlign w:val="superscript"/>
        </w:rPr>
        <w:t>11</w:t>
      </w:r>
      <w:r w:rsidRPr="00A5401E">
        <w:rPr>
          <w:rFonts w:eastAsia="Calibri"/>
          <w:sz w:val="20"/>
          <w:szCs w:val="20"/>
        </w:rPr>
        <w:t>Hématologie Clinique, CHU Clermont-Ferrand, Hôpital Estaing, 1 place Lucie et Raymond Aubrac, 63003 Clermont-Ferrand, France</w:t>
      </w:r>
    </w:p>
    <w:p w:rsidR="001C37FF" w:rsidRDefault="001C37FF"/>
    <w:p w:rsidR="00BE62FE" w:rsidRPr="00BE62FE" w:rsidRDefault="00BE62FE" w:rsidP="00BE62FE">
      <w:pPr>
        <w:spacing w:line="480" w:lineRule="auto"/>
        <w:rPr>
          <w:lang w:val="en-US"/>
        </w:rPr>
      </w:pPr>
      <w:r w:rsidRPr="00BE62FE">
        <w:rPr>
          <w:b/>
          <w:lang w:val="en-US"/>
        </w:rPr>
        <w:t>Running Title:</w:t>
      </w:r>
      <w:r w:rsidRPr="00BE62FE">
        <w:rPr>
          <w:lang w:val="en-US"/>
        </w:rPr>
        <w:t xml:space="preserve"> Flow cytometry evaluation of nilotinib uptake by CML cells</w:t>
      </w:r>
    </w:p>
    <w:p w:rsidR="00BE62FE" w:rsidRPr="00171D94" w:rsidRDefault="00BE62FE" w:rsidP="00BE62FE">
      <w:pPr>
        <w:autoSpaceDE w:val="0"/>
        <w:autoSpaceDN w:val="0"/>
        <w:adjustRightInd w:val="0"/>
        <w:spacing w:line="480" w:lineRule="auto"/>
      </w:pPr>
      <w:r w:rsidRPr="00171D94">
        <w:rPr>
          <w:b/>
        </w:rPr>
        <w:t xml:space="preserve">Correspondence: </w:t>
      </w:r>
      <w:r w:rsidRPr="00171D94">
        <w:t xml:space="preserve">Dr Céline BOURGNE (PhD), Equipe d’Accueil 7453 CHELTER, Université Clermont Auvergne, Service Hématologie Biologique, </w:t>
      </w:r>
      <w:smartTag w:uri="urn:schemas-microsoft-com:office:smarttags" w:element="PersonName">
        <w:smartTagPr>
          <w:attr w:name="ProductID" w:val="CHU Estaing"/>
        </w:smartTagPr>
        <w:r w:rsidRPr="00171D94">
          <w:t>CHU Estaing</w:t>
        </w:r>
      </w:smartTag>
      <w:r w:rsidRPr="00171D94">
        <w:t xml:space="preserve">, 1 place Lucie et Raymond Aubrac, 63003 CLERMONT-FERRAND Cedex 1, France. </w:t>
      </w:r>
    </w:p>
    <w:p w:rsidR="00BE62FE" w:rsidRPr="00171D94" w:rsidRDefault="00BE62FE" w:rsidP="00BE62FE">
      <w:pPr>
        <w:autoSpaceDE w:val="0"/>
        <w:autoSpaceDN w:val="0"/>
        <w:adjustRightInd w:val="0"/>
        <w:spacing w:line="480" w:lineRule="auto"/>
      </w:pPr>
      <w:r w:rsidRPr="00171D94">
        <w:t xml:space="preserve">Tel: (33) 4 73 75 02 00. Fax: (33) 4 73 75 02 15. E-mail: </w:t>
      </w:r>
      <w:hyperlink r:id="rId6" w:history="1">
        <w:r w:rsidRPr="00171D94">
          <w:rPr>
            <w:rStyle w:val="Lienhypertexte"/>
          </w:rPr>
          <w:t>cbourgne@chu-clermontferrand.fr</w:t>
        </w:r>
      </w:hyperlink>
    </w:p>
    <w:p w:rsidR="000944D0" w:rsidRDefault="000944D0">
      <w:r>
        <w:rPr>
          <w:rFonts w:ascii="Cambria Math" w:hAnsi="Cambria Math" w:cs="Cambria Math"/>
          <w:noProof/>
          <w:lang w:eastAsia="fr-FR"/>
        </w:rPr>
        <w:lastRenderedPageBreak/>
        <w:drawing>
          <wp:inline distT="0" distB="0" distL="0" distR="0">
            <wp:extent cx="4429125" cy="3552825"/>
            <wp:effectExtent l="0" t="0" r="9525" b="9525"/>
            <wp:docPr id="1" name="Image 1" descr="SupFig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Fig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4D0" w:rsidRDefault="000944D0" w:rsidP="000944D0"/>
    <w:p w:rsidR="000944D0" w:rsidRPr="00573A76" w:rsidRDefault="000944D0" w:rsidP="000944D0">
      <w:pPr>
        <w:pStyle w:val="NormalWeb"/>
        <w:spacing w:before="0" w:beforeAutospacing="0" w:after="0" w:afterAutospacing="0" w:line="480" w:lineRule="auto"/>
        <w:textAlignment w:val="baseline"/>
        <w:rPr>
          <w:b/>
          <w:sz w:val="22"/>
        </w:rPr>
      </w:pPr>
      <w:r w:rsidRPr="00573A76">
        <w:rPr>
          <w:b/>
          <w:sz w:val="22"/>
        </w:rPr>
        <w:t>Supplementary Figure S1: Measurement of nilotinib uptake by K562 cells using flow cytometry</w:t>
      </w:r>
    </w:p>
    <w:p w:rsidR="000944D0" w:rsidRPr="00573A76" w:rsidRDefault="000944D0" w:rsidP="000944D0">
      <w:pPr>
        <w:pStyle w:val="NormalWeb"/>
        <w:spacing w:before="0" w:beforeAutospacing="0" w:after="0" w:afterAutospacing="0" w:line="480" w:lineRule="auto"/>
        <w:textAlignment w:val="baseline"/>
        <w:rPr>
          <w:sz w:val="22"/>
        </w:rPr>
      </w:pPr>
      <w:r w:rsidRPr="00573A76">
        <w:rPr>
          <w:sz w:val="22"/>
        </w:rPr>
        <w:t>A flow cytometer equipped with a UV-laser was used to detect the fluorescence emitted by nilotinib. K562 cells were first gated using a FSC-SSC dot-plot (</w:t>
      </w:r>
      <w:r w:rsidRPr="00573A76">
        <w:rPr>
          <w:b/>
          <w:sz w:val="22"/>
        </w:rPr>
        <w:t>A</w:t>
      </w:r>
      <w:r w:rsidRPr="00573A76">
        <w:rPr>
          <w:sz w:val="22"/>
        </w:rPr>
        <w:t xml:space="preserve">). Then, singlets were selected (FSC-H </w:t>
      </w:r>
      <w:r w:rsidRPr="00573A76">
        <w:rPr>
          <w:i/>
          <w:sz w:val="22"/>
        </w:rPr>
        <w:t>vs</w:t>
      </w:r>
      <w:r w:rsidRPr="00573A76">
        <w:rPr>
          <w:sz w:val="22"/>
        </w:rPr>
        <w:t xml:space="preserve"> FSC-A) (</w:t>
      </w:r>
      <w:r w:rsidRPr="00573A76">
        <w:rPr>
          <w:b/>
          <w:sz w:val="22"/>
        </w:rPr>
        <w:t>B</w:t>
      </w:r>
      <w:r w:rsidRPr="00573A76">
        <w:rPr>
          <w:sz w:val="22"/>
        </w:rPr>
        <w:t>) before selection of propidium iodide-negative (live) cells (</w:t>
      </w:r>
      <w:r w:rsidRPr="00573A76">
        <w:rPr>
          <w:b/>
          <w:sz w:val="22"/>
        </w:rPr>
        <w:t>C</w:t>
      </w:r>
      <w:r w:rsidRPr="00573A76">
        <w:rPr>
          <w:sz w:val="22"/>
        </w:rPr>
        <w:t>). The difference in the fluorescence mean intensity (linear scale) between control (untreated) and cells incubated with nilotinib was used to quantify the amount of intracellular nilotinib (</w:t>
      </w:r>
      <w:r w:rsidRPr="00573A76">
        <w:rPr>
          <w:b/>
          <w:sz w:val="22"/>
        </w:rPr>
        <w:t>D</w:t>
      </w:r>
      <w:r w:rsidRPr="00573A76">
        <w:rPr>
          <w:sz w:val="22"/>
        </w:rPr>
        <w:t xml:space="preserve">). </w:t>
      </w:r>
    </w:p>
    <w:p w:rsidR="009C4C82" w:rsidRDefault="009C4C82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</w:p>
    <w:p w:rsidR="000944D0" w:rsidRDefault="000944D0" w:rsidP="000944D0">
      <w:pPr>
        <w:rPr>
          <w:lang w:val="en-GB"/>
        </w:rPr>
      </w:pPr>
      <w:r>
        <w:rPr>
          <w:rFonts w:ascii="Cambria Math" w:hAnsi="Cambria Math" w:cs="Cambria Math"/>
          <w:b/>
          <w:noProof/>
          <w:lang w:eastAsia="fr-FR"/>
        </w:rPr>
        <w:lastRenderedPageBreak/>
        <w:drawing>
          <wp:inline distT="0" distB="0" distL="0" distR="0">
            <wp:extent cx="5760720" cy="5560761"/>
            <wp:effectExtent l="0" t="0" r="0" b="0"/>
            <wp:docPr id="2" name="Image 2" descr="SupFig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pFigS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56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4D0" w:rsidRPr="00573A76" w:rsidRDefault="000944D0" w:rsidP="000944D0">
      <w:pPr>
        <w:spacing w:line="480" w:lineRule="auto"/>
        <w:rPr>
          <w:rFonts w:ascii="Arial" w:hAnsi="Arial" w:cs="Arial"/>
          <w:lang w:val="en-US"/>
        </w:rPr>
      </w:pPr>
      <w:r w:rsidRPr="00573A76">
        <w:rPr>
          <w:rFonts w:ascii="Arial" w:hAnsi="Arial" w:cs="Arial"/>
          <w:b/>
          <w:lang w:val="en-US"/>
        </w:rPr>
        <w:t>Supplementary Figure S2: Relationship between intra- and extra-cellular amount of nilotinib in CML cell lines.</w:t>
      </w:r>
      <w:r w:rsidRPr="00573A76">
        <w:rPr>
          <w:rFonts w:ascii="Arial" w:hAnsi="Arial" w:cs="Arial"/>
          <w:lang w:val="en-US"/>
        </w:rPr>
        <w:t xml:space="preserve"> </w:t>
      </w:r>
    </w:p>
    <w:p w:rsidR="000944D0" w:rsidRPr="00573A76" w:rsidRDefault="000944D0" w:rsidP="000944D0">
      <w:pPr>
        <w:spacing w:line="480" w:lineRule="auto"/>
        <w:rPr>
          <w:rFonts w:ascii="Arial" w:hAnsi="Arial" w:cs="Arial"/>
          <w:b/>
        </w:rPr>
      </w:pPr>
      <w:r w:rsidRPr="00573A76">
        <w:rPr>
          <w:rFonts w:ascii="Arial" w:hAnsi="Arial" w:cs="Arial"/>
          <w:lang w:val="en-US"/>
        </w:rPr>
        <w:t>Nilotinib accumulation was significantly different in the three CML-derived cell lines tested (K562, KCL22 and LAMA84). When incubated with low nilotinib concentrations (0.5 µM; extracellular nilotinib), nilotinib intracellular level was significantly higher in LAMA84 than in K562 cells (2.7x10</w:t>
      </w:r>
      <w:r w:rsidRPr="00573A76">
        <w:rPr>
          <w:rFonts w:ascii="Arial" w:hAnsi="Arial" w:cs="Arial"/>
          <w:vertAlign w:val="superscript"/>
          <w:lang w:val="en-US"/>
        </w:rPr>
        <w:t>3</w:t>
      </w:r>
      <w:r w:rsidRPr="00573A76">
        <w:rPr>
          <w:rFonts w:ascii="Arial" w:hAnsi="Arial" w:cs="Arial"/>
          <w:lang w:val="en-US"/>
        </w:rPr>
        <w:t xml:space="preserve"> ± 0.8 x10</w:t>
      </w:r>
      <w:r w:rsidRPr="00573A76">
        <w:rPr>
          <w:rFonts w:ascii="Arial" w:hAnsi="Arial" w:cs="Arial"/>
          <w:vertAlign w:val="superscript"/>
          <w:lang w:val="en-US"/>
        </w:rPr>
        <w:t>3</w:t>
      </w:r>
      <w:r w:rsidRPr="00573A76">
        <w:rPr>
          <w:rFonts w:ascii="Arial" w:hAnsi="Arial" w:cs="Arial"/>
          <w:lang w:val="en-US"/>
        </w:rPr>
        <w:t xml:space="preserve"> </w:t>
      </w:r>
      <w:r w:rsidRPr="00573A76">
        <w:rPr>
          <w:rFonts w:ascii="Arial" w:hAnsi="Arial" w:cs="Arial"/>
          <w:i/>
          <w:lang w:val="en-US"/>
        </w:rPr>
        <w:t>vs</w:t>
      </w:r>
      <w:r w:rsidRPr="00573A76">
        <w:rPr>
          <w:rFonts w:ascii="Arial" w:hAnsi="Arial" w:cs="Arial"/>
          <w:lang w:val="en-US"/>
        </w:rPr>
        <w:t xml:space="preserve"> 1x10</w:t>
      </w:r>
      <w:r w:rsidRPr="00573A76">
        <w:rPr>
          <w:rFonts w:ascii="Arial" w:hAnsi="Arial" w:cs="Arial"/>
          <w:vertAlign w:val="superscript"/>
          <w:lang w:val="en-US"/>
        </w:rPr>
        <w:t>3</w:t>
      </w:r>
      <w:r w:rsidRPr="00573A76">
        <w:rPr>
          <w:rFonts w:ascii="Arial" w:hAnsi="Arial" w:cs="Arial"/>
          <w:lang w:val="en-US"/>
        </w:rPr>
        <w:t xml:space="preserve"> ± 0.3 x10</w:t>
      </w:r>
      <w:r w:rsidRPr="00573A76">
        <w:rPr>
          <w:rFonts w:ascii="Arial" w:hAnsi="Arial" w:cs="Arial"/>
          <w:vertAlign w:val="superscript"/>
          <w:lang w:val="en-US"/>
        </w:rPr>
        <w:t>3</w:t>
      </w:r>
      <w:r w:rsidRPr="00573A76">
        <w:rPr>
          <w:rFonts w:ascii="Arial" w:hAnsi="Arial" w:cs="Arial"/>
          <w:lang w:val="en-US"/>
        </w:rPr>
        <w:t xml:space="preserve"> AFU; p=0.05). Nilotinib intracellular concentration in KCL22 cells reached a plateau when cells were incubated with 2.5 </w:t>
      </w:r>
      <w:r w:rsidRPr="00573A76">
        <w:rPr>
          <w:rFonts w:ascii="Arial" w:hAnsi="Arial" w:cs="Arial"/>
        </w:rPr>
        <w:t>μ</w:t>
      </w:r>
      <w:r w:rsidRPr="00573A76">
        <w:rPr>
          <w:rFonts w:ascii="Arial" w:hAnsi="Arial" w:cs="Arial"/>
          <w:lang w:val="en-US"/>
        </w:rPr>
        <w:t xml:space="preserve">M of nilotinib, and in K562 and LAMA84 after incubation with 5 </w:t>
      </w:r>
      <w:r w:rsidRPr="00573A76">
        <w:rPr>
          <w:rFonts w:ascii="Arial" w:hAnsi="Arial" w:cs="Arial"/>
        </w:rPr>
        <w:t>μ</w:t>
      </w:r>
      <w:r w:rsidRPr="00573A76">
        <w:rPr>
          <w:rFonts w:ascii="Arial" w:hAnsi="Arial" w:cs="Arial"/>
          <w:lang w:val="en-US"/>
        </w:rPr>
        <w:t xml:space="preserve">M. </w:t>
      </w:r>
      <w:r w:rsidRPr="00573A76">
        <w:rPr>
          <w:rFonts w:ascii="Arial" w:hAnsi="Arial" w:cs="Arial"/>
        </w:rPr>
        <w:t>Results are the mean ± standard deviation.</w:t>
      </w:r>
    </w:p>
    <w:p w:rsidR="000944D0" w:rsidRPr="00573A76" w:rsidRDefault="000944D0" w:rsidP="000944D0">
      <w:pPr>
        <w:rPr>
          <w:rFonts w:ascii="Arial" w:hAnsi="Arial" w:cs="Arial"/>
          <w:b/>
          <w:bCs/>
        </w:rPr>
      </w:pPr>
      <w:r w:rsidRPr="00573A76">
        <w:rPr>
          <w:rFonts w:ascii="Arial" w:hAnsi="Arial" w:cs="Arial"/>
          <w:b/>
          <w:bCs/>
        </w:rPr>
        <w:lastRenderedPageBreak/>
        <w:t>Supplementary Table 1: Patients characteristics</w:t>
      </w:r>
    </w:p>
    <w:p w:rsidR="00402F71" w:rsidRDefault="000944D0" w:rsidP="000944D0">
      <w:pPr>
        <w:rPr>
          <w:lang w:val="en-GB"/>
        </w:rPr>
      </w:pPr>
      <w:r>
        <w:rPr>
          <w:rFonts w:ascii="Cambria Math" w:hAnsi="Cambria Math" w:cs="Cambria Math"/>
          <w:noProof/>
          <w:lang w:eastAsia="fr-FR"/>
        </w:rPr>
        <w:drawing>
          <wp:inline distT="0" distB="0" distL="0" distR="0">
            <wp:extent cx="5286375" cy="5886450"/>
            <wp:effectExtent l="0" t="0" r="9525" b="0"/>
            <wp:docPr id="3" name="Image 3" descr="SupTable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upTableS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F71" w:rsidRPr="00402F71" w:rsidRDefault="00402F71" w:rsidP="00402F71">
      <w:pPr>
        <w:rPr>
          <w:lang w:val="en-GB"/>
        </w:rPr>
      </w:pPr>
    </w:p>
    <w:p w:rsidR="00402F71" w:rsidRDefault="00402F71" w:rsidP="00402F71">
      <w:pPr>
        <w:rPr>
          <w:lang w:val="en-GB"/>
        </w:rPr>
      </w:pPr>
    </w:p>
    <w:p w:rsidR="000944D0" w:rsidRDefault="000944D0" w:rsidP="00402F71">
      <w:pPr>
        <w:ind w:firstLine="708"/>
        <w:rPr>
          <w:lang w:val="en-GB"/>
        </w:rPr>
      </w:pPr>
    </w:p>
    <w:p w:rsidR="00402F71" w:rsidRDefault="00402F71" w:rsidP="00402F71">
      <w:pPr>
        <w:ind w:firstLine="708"/>
        <w:rPr>
          <w:lang w:val="en-GB"/>
        </w:rPr>
      </w:pPr>
    </w:p>
    <w:p w:rsidR="00402F71" w:rsidRDefault="00402F71" w:rsidP="00402F71">
      <w:pPr>
        <w:ind w:firstLine="708"/>
        <w:rPr>
          <w:lang w:val="en-GB"/>
        </w:rPr>
      </w:pPr>
    </w:p>
    <w:p w:rsidR="00402F71" w:rsidRDefault="00402F71" w:rsidP="00402F71">
      <w:pPr>
        <w:ind w:firstLine="708"/>
        <w:rPr>
          <w:lang w:val="en-GB"/>
        </w:rPr>
      </w:pPr>
    </w:p>
    <w:p w:rsidR="00402F71" w:rsidRDefault="00402F71" w:rsidP="00402F71">
      <w:pPr>
        <w:ind w:firstLine="708"/>
        <w:rPr>
          <w:lang w:val="en-GB"/>
        </w:rPr>
      </w:pPr>
    </w:p>
    <w:p w:rsidR="00402F71" w:rsidRDefault="00402F71" w:rsidP="00402F71">
      <w:pPr>
        <w:ind w:firstLine="708"/>
        <w:rPr>
          <w:lang w:val="en-GB"/>
        </w:rPr>
      </w:pPr>
    </w:p>
    <w:p w:rsidR="00402F71" w:rsidRDefault="00402F71" w:rsidP="00402F71">
      <w:pPr>
        <w:ind w:firstLine="708"/>
        <w:rPr>
          <w:lang w:val="en-GB"/>
        </w:rPr>
      </w:pPr>
    </w:p>
    <w:p w:rsidR="00175600" w:rsidRPr="00DE0BE3" w:rsidRDefault="00175600" w:rsidP="00175600">
      <w:pPr>
        <w:spacing w:line="360" w:lineRule="auto"/>
        <w:rPr>
          <w:rFonts w:ascii="Arial" w:hAnsi="Arial" w:cs="Arial"/>
          <w:b/>
          <w:bCs/>
          <w:lang w:val="en-US"/>
        </w:rPr>
      </w:pPr>
      <w:r w:rsidRPr="00DE0BE3">
        <w:rPr>
          <w:rFonts w:ascii="Arial" w:hAnsi="Arial" w:cs="Arial"/>
          <w:b/>
          <w:bCs/>
          <w:lang w:val="en-US"/>
        </w:rPr>
        <w:lastRenderedPageBreak/>
        <w:t>Supplementary Table 2 : Relationship between intra- and extra-cellular amount of nilotinib in primary CML cells.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00"/>
        <w:gridCol w:w="1200"/>
        <w:gridCol w:w="1329"/>
        <w:gridCol w:w="1329"/>
        <w:gridCol w:w="1329"/>
        <w:gridCol w:w="1218"/>
      </w:tblGrid>
      <w:tr w:rsidR="00DE0BE3" w:rsidRPr="00DE0BE3" w:rsidTr="00FB0917">
        <w:trPr>
          <w:trHeight w:val="255"/>
        </w:trPr>
        <w:tc>
          <w:tcPr>
            <w:tcW w:w="1200" w:type="dxa"/>
            <w:tcBorders>
              <w:top w:val="nil"/>
              <w:left w:val="nil"/>
            </w:tcBorders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  <w:lang w:val="en-US"/>
              </w:rPr>
            </w:pPr>
          </w:p>
        </w:tc>
        <w:tc>
          <w:tcPr>
            <w:tcW w:w="1200" w:type="dxa"/>
            <w:noWrap/>
            <w:hideMark/>
          </w:tcPr>
          <w:p w:rsidR="00175600" w:rsidRPr="00DE0BE3" w:rsidRDefault="00175600" w:rsidP="00FB0917">
            <w:pPr>
              <w:jc w:val="center"/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FB0917">
            <w:pPr>
              <w:jc w:val="center"/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0.1 µM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FB0917">
            <w:pPr>
              <w:jc w:val="center"/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1 µM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FB0917">
            <w:pPr>
              <w:jc w:val="center"/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2.5 µM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FB0917">
            <w:pPr>
              <w:jc w:val="center"/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5 µM</w:t>
            </w:r>
          </w:p>
        </w:tc>
      </w:tr>
      <w:tr w:rsidR="00DE0BE3" w:rsidRPr="00DE0BE3" w:rsidTr="00A34A4D">
        <w:trPr>
          <w:trHeight w:val="255"/>
        </w:trPr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Ly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0.029±0.005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0.031±0.005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0.045±0.006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0.011±0.01</w:t>
            </w:r>
          </w:p>
        </w:tc>
      </w:tr>
      <w:tr w:rsidR="00DE0BE3" w:rsidRPr="00DE0BE3" w:rsidTr="00A34A4D">
        <w:trPr>
          <w:trHeight w:val="255"/>
        </w:trPr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Mo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0.099±0.02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0.13±0.02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0.17±0.02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0.33±0.03</w:t>
            </w:r>
          </w:p>
        </w:tc>
      </w:tr>
      <w:tr w:rsidR="00175600" w:rsidRPr="00DE0BE3" w:rsidTr="00A34A4D">
        <w:trPr>
          <w:trHeight w:val="255"/>
        </w:trPr>
        <w:tc>
          <w:tcPr>
            <w:tcW w:w="1200" w:type="dxa"/>
            <w:noWrap/>
            <w:hideMark/>
          </w:tcPr>
          <w:p w:rsidR="00175600" w:rsidRPr="00DE0BE3" w:rsidRDefault="00175600" w:rsidP="00FB0917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P</w:t>
            </w:r>
            <w:r w:rsidR="00FB0917" w:rsidRPr="00DE0BE3">
              <w:rPr>
                <w:rFonts w:ascii="Calibri" w:hAnsi="Calibri" w:cs="Consolas"/>
                <w:szCs w:val="21"/>
              </w:rPr>
              <w:t>M</w:t>
            </w:r>
            <w:r w:rsidRPr="00DE0BE3">
              <w:rPr>
                <w:rFonts w:ascii="Calibri" w:hAnsi="Calibri" w:cs="Consolas"/>
                <w:szCs w:val="21"/>
              </w:rPr>
              <w:t>N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0.13±0.02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0.20±0.02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0.31±0.03</w:t>
            </w:r>
          </w:p>
        </w:tc>
        <w:tc>
          <w:tcPr>
            <w:tcW w:w="1200" w:type="dxa"/>
            <w:noWrap/>
            <w:hideMark/>
          </w:tcPr>
          <w:p w:rsidR="00175600" w:rsidRPr="00DE0BE3" w:rsidRDefault="00175600" w:rsidP="00175600">
            <w:pPr>
              <w:rPr>
                <w:rFonts w:ascii="Calibri" w:hAnsi="Calibri" w:cs="Consolas"/>
                <w:szCs w:val="21"/>
              </w:rPr>
            </w:pPr>
            <w:r w:rsidRPr="00DE0BE3">
              <w:rPr>
                <w:rFonts w:ascii="Calibri" w:hAnsi="Calibri" w:cs="Consolas"/>
                <w:szCs w:val="21"/>
              </w:rPr>
              <w:t>0.54±0.05</w:t>
            </w:r>
          </w:p>
        </w:tc>
      </w:tr>
    </w:tbl>
    <w:p w:rsidR="00175600" w:rsidRPr="00DE0BE3" w:rsidRDefault="00175600" w:rsidP="00573A76">
      <w:pPr>
        <w:spacing w:line="360" w:lineRule="auto"/>
        <w:rPr>
          <w:rFonts w:ascii="Arial" w:hAnsi="Arial" w:cs="Arial"/>
          <w:b/>
          <w:bCs/>
          <w:lang w:val="en-US"/>
        </w:rPr>
      </w:pPr>
    </w:p>
    <w:p w:rsidR="00175600" w:rsidRPr="00DE0BE3" w:rsidRDefault="00175600" w:rsidP="00573A76">
      <w:pPr>
        <w:spacing w:line="360" w:lineRule="auto"/>
        <w:rPr>
          <w:rFonts w:ascii="Arial" w:hAnsi="Arial" w:cs="Arial"/>
          <w:bCs/>
          <w:lang w:val="en-US"/>
        </w:rPr>
      </w:pPr>
      <w:r w:rsidRPr="00DE0BE3">
        <w:rPr>
          <w:rFonts w:ascii="Arial" w:hAnsi="Arial" w:cs="Arial"/>
          <w:bCs/>
          <w:lang w:val="en-US"/>
        </w:rPr>
        <w:t>Nilotinib uptake by primary cells was evaluated by flow cytometry after 2 hours of incubation with 0.1, 1, 2.5 or 5µM of this TKI (n=60 patients). Lymphocytes (Ly), monocytes (Mo), and polymorphonuclear cells (PMN) were identified on the basis of their FSC/SSC parameters. Data are expressed as the mean ± standard deviation</w:t>
      </w:r>
    </w:p>
    <w:p w:rsidR="00175600" w:rsidRDefault="00175600" w:rsidP="00573A76">
      <w:pPr>
        <w:spacing w:line="36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br w:type="page"/>
      </w:r>
    </w:p>
    <w:p w:rsidR="00402F71" w:rsidRPr="00573A76" w:rsidRDefault="00402F71" w:rsidP="00573A76">
      <w:pPr>
        <w:spacing w:line="360" w:lineRule="auto"/>
        <w:rPr>
          <w:rFonts w:ascii="Arial" w:hAnsi="Arial" w:cs="Arial"/>
          <w:b/>
          <w:bCs/>
          <w:lang w:val="en-US"/>
        </w:rPr>
      </w:pPr>
      <w:r w:rsidRPr="00573A76">
        <w:rPr>
          <w:rFonts w:ascii="Arial" w:hAnsi="Arial" w:cs="Arial"/>
          <w:b/>
          <w:bCs/>
          <w:lang w:val="en-US"/>
        </w:rPr>
        <w:lastRenderedPageBreak/>
        <w:t xml:space="preserve">Supplementary </w:t>
      </w:r>
      <w:bookmarkStart w:id="0" w:name="_GoBack"/>
      <w:r w:rsidRPr="00DE0BE3">
        <w:rPr>
          <w:rFonts w:ascii="Arial" w:hAnsi="Arial" w:cs="Arial"/>
          <w:b/>
          <w:bCs/>
          <w:lang w:val="en-US"/>
        </w:rPr>
        <w:t xml:space="preserve">Table </w:t>
      </w:r>
      <w:r w:rsidR="00175600" w:rsidRPr="00DE0BE3">
        <w:rPr>
          <w:rFonts w:ascii="Arial" w:hAnsi="Arial" w:cs="Arial"/>
          <w:b/>
          <w:bCs/>
          <w:lang w:val="en-US"/>
        </w:rPr>
        <w:t>3</w:t>
      </w:r>
      <w:r w:rsidRPr="00DE0BE3">
        <w:rPr>
          <w:rFonts w:ascii="Arial" w:hAnsi="Arial" w:cs="Arial"/>
          <w:b/>
          <w:bCs/>
          <w:lang w:val="en-US"/>
        </w:rPr>
        <w:t xml:space="preserve">: </w:t>
      </w:r>
      <w:bookmarkEnd w:id="0"/>
      <w:r w:rsidRPr="00573A76">
        <w:rPr>
          <w:rFonts w:ascii="Arial" w:hAnsi="Arial" w:cs="Arial"/>
          <w:b/>
          <w:bCs/>
          <w:lang w:val="en-US"/>
        </w:rPr>
        <w:t>Characteristics of patients who received nilotinib as first-line treatment</w:t>
      </w:r>
    </w:p>
    <w:p w:rsidR="00402F71" w:rsidRPr="00C8133B" w:rsidRDefault="00402F71" w:rsidP="00402F71">
      <w:pPr>
        <w:rPr>
          <w:rFonts w:ascii="Cambria Math" w:hAnsi="Cambria Math" w:cs="Cambria Math"/>
          <w:lang w:val="en-US"/>
        </w:rPr>
      </w:pPr>
    </w:p>
    <w:p w:rsidR="00402F71" w:rsidRPr="00402F71" w:rsidRDefault="00402F71" w:rsidP="00402F71">
      <w:pPr>
        <w:ind w:firstLine="708"/>
        <w:rPr>
          <w:lang w:val="en-US"/>
        </w:rPr>
      </w:pPr>
      <w:r>
        <w:rPr>
          <w:rFonts w:ascii="Cambria Math" w:hAnsi="Cambria Math" w:cs="Cambria Math"/>
          <w:noProof/>
          <w:lang w:eastAsia="fr-FR"/>
        </w:rPr>
        <w:drawing>
          <wp:inline distT="0" distB="0" distL="0" distR="0">
            <wp:extent cx="5305425" cy="6457950"/>
            <wp:effectExtent l="0" t="0" r="9525" b="0"/>
            <wp:docPr id="4" name="Image 4" descr="SupTable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TableS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2F71" w:rsidRPr="00402F7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800" w:rsidRDefault="005E6800" w:rsidP="000944D0">
      <w:pPr>
        <w:spacing w:after="0" w:line="240" w:lineRule="auto"/>
      </w:pPr>
      <w:r>
        <w:separator/>
      </w:r>
    </w:p>
  </w:endnote>
  <w:endnote w:type="continuationSeparator" w:id="0">
    <w:p w:rsidR="005E6800" w:rsidRDefault="005E6800" w:rsidP="00094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158236"/>
      <w:docPartObj>
        <w:docPartGallery w:val="Page Numbers (Bottom of Page)"/>
        <w:docPartUnique/>
      </w:docPartObj>
    </w:sdtPr>
    <w:sdtEndPr/>
    <w:sdtContent>
      <w:p w:rsidR="000944D0" w:rsidRDefault="000944D0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BE3">
          <w:rPr>
            <w:noProof/>
          </w:rPr>
          <w:t>6</w:t>
        </w:r>
        <w:r>
          <w:fldChar w:fldCharType="end"/>
        </w:r>
      </w:p>
    </w:sdtContent>
  </w:sdt>
  <w:p w:rsidR="000944D0" w:rsidRDefault="000944D0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800" w:rsidRDefault="005E6800" w:rsidP="000944D0">
      <w:pPr>
        <w:spacing w:after="0" w:line="240" w:lineRule="auto"/>
      </w:pPr>
      <w:r>
        <w:separator/>
      </w:r>
    </w:p>
  </w:footnote>
  <w:footnote w:type="continuationSeparator" w:id="0">
    <w:p w:rsidR="005E6800" w:rsidRDefault="005E6800" w:rsidP="000944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96F"/>
    <w:rsid w:val="000413F3"/>
    <w:rsid w:val="000944D0"/>
    <w:rsid w:val="000F3A67"/>
    <w:rsid w:val="00175600"/>
    <w:rsid w:val="001C37FF"/>
    <w:rsid w:val="00281079"/>
    <w:rsid w:val="00402F71"/>
    <w:rsid w:val="00565DEC"/>
    <w:rsid w:val="00573A76"/>
    <w:rsid w:val="005E6800"/>
    <w:rsid w:val="0061696F"/>
    <w:rsid w:val="00646299"/>
    <w:rsid w:val="00655A17"/>
    <w:rsid w:val="006A248D"/>
    <w:rsid w:val="009C4C82"/>
    <w:rsid w:val="00AB0F46"/>
    <w:rsid w:val="00BE62FE"/>
    <w:rsid w:val="00D20A79"/>
    <w:rsid w:val="00DE0BE3"/>
    <w:rsid w:val="00FB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B623D-2334-4F24-A3A2-1373E4A5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44D0"/>
    <w:pPr>
      <w:spacing w:before="100" w:beforeAutospacing="1" w:after="100" w:afterAutospacing="1" w:line="240" w:lineRule="auto"/>
    </w:pPr>
    <w:rPr>
      <w:rFonts w:ascii="Arial" w:eastAsia="Arial" w:hAnsi="Arial" w:cs="Arial"/>
      <w:sz w:val="24"/>
      <w:szCs w:val="24"/>
      <w:lang w:val="en-GB" w:eastAsia="fr-FR"/>
    </w:rPr>
  </w:style>
  <w:style w:type="paragraph" w:styleId="En-tte">
    <w:name w:val="header"/>
    <w:basedOn w:val="Normal"/>
    <w:link w:val="En-tteCar"/>
    <w:uiPriority w:val="99"/>
    <w:unhideWhenUsed/>
    <w:rsid w:val="00094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944D0"/>
  </w:style>
  <w:style w:type="paragraph" w:styleId="Pieddepage">
    <w:name w:val="footer"/>
    <w:basedOn w:val="Normal"/>
    <w:link w:val="PieddepageCar"/>
    <w:uiPriority w:val="99"/>
    <w:unhideWhenUsed/>
    <w:rsid w:val="00094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944D0"/>
  </w:style>
  <w:style w:type="character" w:styleId="Lienhypertexte">
    <w:name w:val="Hyperlink"/>
    <w:rsid w:val="00BE62FE"/>
    <w:rPr>
      <w:color w:val="0000FF"/>
      <w:u w:val="single"/>
    </w:rPr>
  </w:style>
  <w:style w:type="table" w:styleId="Grilledutableau">
    <w:name w:val="Table Grid"/>
    <w:basedOn w:val="TableauNormal"/>
    <w:uiPriority w:val="39"/>
    <w:rsid w:val="00175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bourgne@chu-clermontferrand.f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661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de Clermont-Fd</Company>
  <LinksUpToDate>false</LinksUpToDate>
  <CharactersWithSpaces>4294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Bourgne Celine</dc:creator>
  <cp:keywords/>
  <dc:description/>
  <cp:lastModifiedBy>Bourgne Celine</cp:lastModifiedBy>
  <cp:revision>11</cp:revision>
  <dcterms:created xsi:type="dcterms:W3CDTF">2020-10-09T16:46:00Z</dcterms:created>
  <dcterms:modified xsi:type="dcterms:W3CDTF">2020-12-28T10:05:00Z</dcterms:modified>
</cp:coreProperties>
</file>