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320CB" w14:textId="77777777" w:rsidR="002B512E" w:rsidRPr="00910104" w:rsidRDefault="002B512E" w:rsidP="002B512E">
      <w:pPr>
        <w:pStyle w:val="Heading1"/>
      </w:pPr>
      <w:r w:rsidRPr="00910104">
        <w:rPr>
          <w:i/>
          <w:iCs/>
        </w:rPr>
        <w:t>Salmonella</w:t>
      </w:r>
      <w:r w:rsidRPr="00910104">
        <w:t xml:space="preserve"> Nomenclature in the Genomic Era - a Time for Change </w:t>
      </w:r>
    </w:p>
    <w:p w14:paraId="0B8DDBEC" w14:textId="77777777" w:rsidR="002B512E" w:rsidRPr="00910104" w:rsidRDefault="002B512E" w:rsidP="002B512E"/>
    <w:p w14:paraId="5C3AADD8" w14:textId="77777777" w:rsidR="002B512E" w:rsidRPr="00910104" w:rsidRDefault="002B512E" w:rsidP="002B512E">
      <w:pPr>
        <w:spacing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Marie Chattaway</w:t>
      </w:r>
      <w:r w:rsidRPr="00910104">
        <w:rPr>
          <w:sz w:val="22"/>
          <w:szCs w:val="22"/>
          <w:vertAlign w:val="superscript"/>
        </w:rPr>
        <w:t>1</w:t>
      </w:r>
      <w:r w:rsidRPr="00910104">
        <w:rPr>
          <w:sz w:val="22"/>
          <w:szCs w:val="22"/>
        </w:rPr>
        <w:t>*, Gemma C. Langridge</w:t>
      </w:r>
      <w:r w:rsidRPr="00910104">
        <w:rPr>
          <w:sz w:val="22"/>
          <w:szCs w:val="22"/>
          <w:vertAlign w:val="superscript"/>
        </w:rPr>
        <w:t>2</w:t>
      </w:r>
      <w:r w:rsidRPr="00910104">
        <w:rPr>
          <w:sz w:val="22"/>
          <w:szCs w:val="22"/>
        </w:rPr>
        <w:t xml:space="preserve"> and John Wain</w:t>
      </w:r>
      <w:r w:rsidRPr="00910104">
        <w:rPr>
          <w:sz w:val="22"/>
          <w:szCs w:val="22"/>
          <w:vertAlign w:val="superscript"/>
        </w:rPr>
        <w:t>2,3</w:t>
      </w:r>
    </w:p>
    <w:p w14:paraId="522C31C0" w14:textId="77777777" w:rsidR="002B512E" w:rsidRPr="00910104" w:rsidRDefault="002B512E" w:rsidP="002B512E">
      <w:pPr>
        <w:spacing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  <w:vertAlign w:val="superscript"/>
        </w:rPr>
        <w:t xml:space="preserve">1 </w:t>
      </w:r>
      <w:r w:rsidRPr="00910104">
        <w:rPr>
          <w:sz w:val="22"/>
          <w:szCs w:val="22"/>
        </w:rPr>
        <w:t>Gastrointestinal Bacteria Reference Unit, Public Health England, London, UK, NW9 5EQ:</w:t>
      </w:r>
    </w:p>
    <w:p w14:paraId="047D7D60" w14:textId="77777777" w:rsidR="002B512E" w:rsidRPr="00910104" w:rsidRDefault="002B512E" w:rsidP="002B512E">
      <w:pPr>
        <w:tabs>
          <w:tab w:val="left" w:pos="3320"/>
        </w:tabs>
        <w:spacing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  <w:vertAlign w:val="superscript"/>
        </w:rPr>
        <w:t>2</w:t>
      </w:r>
      <w:r w:rsidRPr="00910104">
        <w:rPr>
          <w:sz w:val="22"/>
          <w:szCs w:val="22"/>
        </w:rPr>
        <w:t xml:space="preserve"> </w:t>
      </w:r>
      <w:proofErr w:type="spellStart"/>
      <w:r w:rsidRPr="00910104">
        <w:rPr>
          <w:sz w:val="22"/>
          <w:szCs w:val="22"/>
        </w:rPr>
        <w:t>Quadram</w:t>
      </w:r>
      <w:proofErr w:type="spellEnd"/>
      <w:r w:rsidRPr="00910104">
        <w:rPr>
          <w:sz w:val="22"/>
          <w:szCs w:val="22"/>
        </w:rPr>
        <w:t xml:space="preserve"> Institute Bioscience, Norwich Research Park, UK, NR4 7UQ, </w:t>
      </w:r>
    </w:p>
    <w:p w14:paraId="5D3F918F" w14:textId="77777777" w:rsidR="002B512E" w:rsidRPr="00910104" w:rsidRDefault="002B512E" w:rsidP="002B512E">
      <w:pPr>
        <w:tabs>
          <w:tab w:val="left" w:pos="3320"/>
        </w:tabs>
        <w:spacing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  <w:vertAlign w:val="superscript"/>
        </w:rPr>
        <w:t>3</w:t>
      </w:r>
      <w:r w:rsidRPr="00910104">
        <w:rPr>
          <w:sz w:val="22"/>
          <w:szCs w:val="22"/>
        </w:rPr>
        <w:t xml:space="preserve"> Norwich Medical; School, University of East Anglia</w:t>
      </w:r>
    </w:p>
    <w:p w14:paraId="6ABFF1F0" w14:textId="77777777" w:rsidR="002B512E" w:rsidRPr="00910104" w:rsidRDefault="002B512E" w:rsidP="002B512E">
      <w:pPr>
        <w:tabs>
          <w:tab w:val="left" w:pos="3320"/>
        </w:tabs>
        <w:spacing w:line="276" w:lineRule="auto"/>
        <w:jc w:val="both"/>
        <w:rPr>
          <w:sz w:val="22"/>
          <w:szCs w:val="22"/>
        </w:rPr>
      </w:pPr>
    </w:p>
    <w:p w14:paraId="60B17FF8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*Corresponding Author</w:t>
      </w:r>
    </w:p>
    <w:p w14:paraId="148729A2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Marie Anne Chattaway</w:t>
      </w:r>
    </w:p>
    <w:p w14:paraId="2054EBD8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Gastrointestinal Bacteria Reference Unit</w:t>
      </w:r>
    </w:p>
    <w:p w14:paraId="74E87596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i/>
          <w:iCs/>
          <w:sz w:val="22"/>
          <w:szCs w:val="22"/>
        </w:rPr>
        <w:t>Salmonella</w:t>
      </w:r>
      <w:r w:rsidRPr="00910104">
        <w:rPr>
          <w:sz w:val="22"/>
          <w:szCs w:val="22"/>
        </w:rPr>
        <w:t xml:space="preserve"> Reference Service</w:t>
      </w:r>
    </w:p>
    <w:p w14:paraId="14F3FD92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Public Health England</w:t>
      </w:r>
    </w:p>
    <w:p w14:paraId="6F538A1A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>London, UK</w:t>
      </w:r>
    </w:p>
    <w:p w14:paraId="72E5ECE5" w14:textId="77777777" w:rsidR="002B512E" w:rsidRPr="00910104" w:rsidRDefault="002B512E" w:rsidP="002B512E">
      <w:pPr>
        <w:spacing w:after="0" w:line="276" w:lineRule="auto"/>
        <w:jc w:val="both"/>
        <w:rPr>
          <w:sz w:val="22"/>
          <w:szCs w:val="22"/>
        </w:rPr>
      </w:pPr>
    </w:p>
    <w:p w14:paraId="79BE0B4B" w14:textId="77777777" w:rsidR="002B512E" w:rsidRPr="00910104" w:rsidRDefault="002B512E" w:rsidP="002B512E">
      <w:pPr>
        <w:spacing w:line="276" w:lineRule="auto"/>
        <w:jc w:val="both"/>
        <w:rPr>
          <w:sz w:val="22"/>
          <w:szCs w:val="22"/>
        </w:rPr>
      </w:pPr>
      <w:r w:rsidRPr="00910104">
        <w:rPr>
          <w:sz w:val="22"/>
          <w:szCs w:val="22"/>
        </w:rPr>
        <w:t xml:space="preserve">Email: </w:t>
      </w:r>
      <w:hyperlink r:id="rId4" w:history="1">
        <w:r w:rsidRPr="00910104">
          <w:rPr>
            <w:rStyle w:val="Hyperlink"/>
            <w:sz w:val="22"/>
            <w:szCs w:val="22"/>
          </w:rPr>
          <w:t>marie.chattaway@phe.gov.uk</w:t>
        </w:r>
      </w:hyperlink>
      <w:r w:rsidRPr="00910104">
        <w:rPr>
          <w:sz w:val="22"/>
          <w:szCs w:val="22"/>
        </w:rPr>
        <w:t xml:space="preserve"> </w:t>
      </w:r>
    </w:p>
    <w:p w14:paraId="20512AD9" w14:textId="77777777" w:rsidR="002B512E" w:rsidRDefault="002B512E" w:rsidP="00707E43">
      <w:pPr>
        <w:spacing w:line="276" w:lineRule="auto"/>
        <w:jc w:val="both"/>
        <w:rPr>
          <w:b/>
          <w:bCs/>
          <w:sz w:val="22"/>
          <w:szCs w:val="22"/>
        </w:rPr>
      </w:pPr>
    </w:p>
    <w:p w14:paraId="7BCFE9C3" w14:textId="0A45516B" w:rsidR="00707E43" w:rsidRPr="00910104" w:rsidRDefault="00707E43" w:rsidP="00707E43">
      <w:pPr>
        <w:spacing w:line="276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  <w:r w:rsidRPr="00910104">
        <w:rPr>
          <w:b/>
          <w:bCs/>
          <w:sz w:val="22"/>
          <w:szCs w:val="22"/>
        </w:rPr>
        <w:t>Supplementary Figures</w:t>
      </w:r>
    </w:p>
    <w:p w14:paraId="7247DCD7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S1</w:t>
      </w:r>
      <w:r w:rsidRPr="00910104">
        <w:rPr>
          <w:sz w:val="22"/>
          <w:szCs w:val="22"/>
        </w:rPr>
        <w:t xml:space="preserve"> - Overview of genomic methods for </w:t>
      </w:r>
      <w:r w:rsidRPr="00910104">
        <w:rPr>
          <w:i/>
          <w:iCs/>
          <w:sz w:val="22"/>
          <w:szCs w:val="22"/>
        </w:rPr>
        <w:t>Salmonella</w:t>
      </w:r>
      <w:r w:rsidRPr="00910104">
        <w:rPr>
          <w:sz w:val="22"/>
          <w:szCs w:val="22"/>
        </w:rPr>
        <w:t xml:space="preserve"> serovar identification</w:t>
      </w:r>
    </w:p>
    <w:p w14:paraId="49F01FD0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S2</w:t>
      </w:r>
      <w:r w:rsidRPr="00910104">
        <w:rPr>
          <w:sz w:val="22"/>
          <w:szCs w:val="22"/>
        </w:rPr>
        <w:t xml:space="preserve"> – Phylogenetic analysis of MAC types ST49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Haifa and ST49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Saintpaul </w:t>
      </w:r>
    </w:p>
    <w:p w14:paraId="1C014435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S3</w:t>
      </w:r>
      <w:r w:rsidRPr="00910104">
        <w:rPr>
          <w:sz w:val="22"/>
          <w:szCs w:val="22"/>
        </w:rPr>
        <w:t xml:space="preserve"> - Phylogenetic analysis of MAC types ST582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Chailey and ST582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Kottbus </w:t>
      </w:r>
    </w:p>
    <w:p w14:paraId="77A27054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S4</w:t>
      </w:r>
      <w:r w:rsidRPr="00910104">
        <w:rPr>
          <w:sz w:val="22"/>
          <w:szCs w:val="22"/>
        </w:rPr>
        <w:t xml:space="preserve"> - Phylogenetic analysis of MAC types ST22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Braenderup and</w:t>
      </w:r>
      <w:r w:rsidRPr="002D6804">
        <w:rPr>
          <w:sz w:val="22"/>
          <w:szCs w:val="22"/>
        </w:rPr>
        <w:t xml:space="preserve"> </w:t>
      </w:r>
      <w:r w:rsidRPr="00910104">
        <w:rPr>
          <w:sz w:val="22"/>
          <w:szCs w:val="22"/>
        </w:rPr>
        <w:t>ST22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Larochelle </w:t>
      </w:r>
    </w:p>
    <w:p w14:paraId="2DBC46DF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S5</w:t>
      </w:r>
      <w:r w:rsidRPr="00910104">
        <w:rPr>
          <w:sz w:val="22"/>
          <w:szCs w:val="22"/>
        </w:rPr>
        <w:t xml:space="preserve"> - Phylogenetic analysis of MAC types ST241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Bredeney and</w:t>
      </w:r>
      <w:r w:rsidRPr="002D6804">
        <w:rPr>
          <w:sz w:val="22"/>
          <w:szCs w:val="22"/>
        </w:rPr>
        <w:t xml:space="preserve"> </w:t>
      </w:r>
      <w:r w:rsidRPr="00910104">
        <w:rPr>
          <w:sz w:val="22"/>
          <w:szCs w:val="22"/>
        </w:rPr>
        <w:t>ST241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Schwarzengrund </w:t>
      </w:r>
    </w:p>
    <w:p w14:paraId="2AF79255" w14:textId="77777777" w:rsidR="00707E43" w:rsidRPr="00910104" w:rsidRDefault="00707E43" w:rsidP="00707E43">
      <w:pPr>
        <w:spacing w:line="276" w:lineRule="auto"/>
        <w:jc w:val="both"/>
        <w:rPr>
          <w:b/>
          <w:sz w:val="22"/>
          <w:szCs w:val="22"/>
        </w:rPr>
      </w:pPr>
      <w:r w:rsidRPr="00910104">
        <w:rPr>
          <w:b/>
          <w:sz w:val="22"/>
          <w:szCs w:val="22"/>
        </w:rPr>
        <w:t xml:space="preserve">Figure S6 </w:t>
      </w:r>
      <w:r w:rsidRPr="00910104">
        <w:rPr>
          <w:bCs/>
          <w:sz w:val="22"/>
          <w:szCs w:val="22"/>
        </w:rPr>
        <w:t>- Phylogenetic analysis of MAC types ST897</w:t>
      </w:r>
      <w:r>
        <w:rPr>
          <w:bCs/>
          <w:sz w:val="22"/>
          <w:szCs w:val="22"/>
        </w:rPr>
        <w:t>-</w:t>
      </w:r>
      <w:r w:rsidRPr="00910104">
        <w:rPr>
          <w:bCs/>
          <w:sz w:val="22"/>
          <w:szCs w:val="22"/>
        </w:rPr>
        <w:t>Bredeney and</w:t>
      </w:r>
      <w:r w:rsidRPr="002D6804">
        <w:rPr>
          <w:bCs/>
          <w:sz w:val="22"/>
          <w:szCs w:val="22"/>
        </w:rPr>
        <w:t xml:space="preserve"> </w:t>
      </w:r>
      <w:r w:rsidRPr="00910104">
        <w:rPr>
          <w:bCs/>
          <w:sz w:val="22"/>
          <w:szCs w:val="22"/>
        </w:rPr>
        <w:t>ST897</w:t>
      </w:r>
      <w:r>
        <w:rPr>
          <w:bCs/>
          <w:sz w:val="22"/>
          <w:szCs w:val="22"/>
        </w:rPr>
        <w:t>-</w:t>
      </w:r>
      <w:r w:rsidRPr="00910104">
        <w:rPr>
          <w:bCs/>
          <w:sz w:val="22"/>
          <w:szCs w:val="22"/>
        </w:rPr>
        <w:t xml:space="preserve">Kimuenza </w:t>
      </w:r>
    </w:p>
    <w:p w14:paraId="76B59EFE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S7</w:t>
      </w:r>
      <w:r w:rsidRPr="00910104">
        <w:rPr>
          <w:sz w:val="22"/>
          <w:szCs w:val="22"/>
        </w:rPr>
        <w:t xml:space="preserve"> - Phylogenetic analysis of MAC types</w:t>
      </w:r>
      <w:r w:rsidRPr="002D6804">
        <w:rPr>
          <w:sz w:val="22"/>
          <w:szCs w:val="22"/>
        </w:rPr>
        <w:t xml:space="preserve"> </w:t>
      </w:r>
      <w:r w:rsidRPr="00910104">
        <w:rPr>
          <w:sz w:val="22"/>
          <w:szCs w:val="22"/>
        </w:rPr>
        <w:t>ST48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Panama and ST48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Miami </w:t>
      </w:r>
    </w:p>
    <w:p w14:paraId="30A1677E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S8</w:t>
      </w:r>
      <w:r w:rsidRPr="00910104">
        <w:rPr>
          <w:sz w:val="22"/>
          <w:szCs w:val="22"/>
        </w:rPr>
        <w:t xml:space="preserve"> - Phylogenetic analysis of MAC type ST2019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Napoli </w:t>
      </w:r>
      <w:r>
        <w:rPr>
          <w:sz w:val="22"/>
          <w:szCs w:val="22"/>
        </w:rPr>
        <w:t>(with serovar</w:t>
      </w:r>
      <w:r w:rsidRPr="00910104">
        <w:rPr>
          <w:sz w:val="22"/>
          <w:szCs w:val="22"/>
        </w:rPr>
        <w:t xml:space="preserve"> </w:t>
      </w:r>
      <w:proofErr w:type="spellStart"/>
      <w:r w:rsidRPr="00910104">
        <w:rPr>
          <w:sz w:val="22"/>
          <w:szCs w:val="22"/>
        </w:rPr>
        <w:t>Zaiman</w:t>
      </w:r>
      <w:proofErr w:type="spellEnd"/>
      <w:r>
        <w:rPr>
          <w:sz w:val="22"/>
          <w:szCs w:val="22"/>
        </w:rPr>
        <w:t>)</w:t>
      </w:r>
      <w:r w:rsidRPr="00910104">
        <w:rPr>
          <w:sz w:val="22"/>
          <w:szCs w:val="22"/>
        </w:rPr>
        <w:t xml:space="preserve"> </w:t>
      </w:r>
    </w:p>
    <w:p w14:paraId="3B0C11EF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S9</w:t>
      </w:r>
      <w:r w:rsidRPr="00910104">
        <w:rPr>
          <w:sz w:val="22"/>
          <w:szCs w:val="22"/>
        </w:rPr>
        <w:t xml:space="preserve"> - Phylogenetic analysis of MAC types ST226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Carrau and ST226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Gatow  </w:t>
      </w:r>
    </w:p>
    <w:p w14:paraId="5918CA66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S10</w:t>
      </w:r>
      <w:r w:rsidRPr="00910104">
        <w:rPr>
          <w:sz w:val="22"/>
          <w:szCs w:val="22"/>
        </w:rPr>
        <w:t xml:space="preserve"> - Phylogenetic analysis of MAC type ST684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Uganda (</w:t>
      </w:r>
      <w:r>
        <w:rPr>
          <w:sz w:val="22"/>
          <w:szCs w:val="22"/>
        </w:rPr>
        <w:t xml:space="preserve">with serovar </w:t>
      </w:r>
      <w:proofErr w:type="spellStart"/>
      <w:r w:rsidRPr="00910104">
        <w:rPr>
          <w:sz w:val="22"/>
          <w:szCs w:val="22"/>
        </w:rPr>
        <w:t>Sinstorf</w:t>
      </w:r>
      <w:proofErr w:type="spellEnd"/>
      <w:r w:rsidRPr="00910104">
        <w:rPr>
          <w:sz w:val="22"/>
          <w:szCs w:val="22"/>
        </w:rPr>
        <w:t>)</w:t>
      </w:r>
    </w:p>
    <w:p w14:paraId="27199D52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S11</w:t>
      </w:r>
      <w:r w:rsidRPr="00910104">
        <w:rPr>
          <w:sz w:val="22"/>
          <w:szCs w:val="22"/>
        </w:rPr>
        <w:t xml:space="preserve"> - Phylogenetic analysis of MAC types ST909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Bareilly and ST909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Richmond </w:t>
      </w:r>
    </w:p>
    <w:p w14:paraId="1CB52CB5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S12</w:t>
      </w:r>
      <w:r w:rsidRPr="00910104">
        <w:rPr>
          <w:sz w:val="22"/>
          <w:szCs w:val="22"/>
        </w:rPr>
        <w:t xml:space="preserve"> - Phylogenetic analysis of MAC type ST2256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Brunei </w:t>
      </w:r>
      <w:r>
        <w:rPr>
          <w:sz w:val="22"/>
          <w:szCs w:val="22"/>
        </w:rPr>
        <w:t>(with serovar</w:t>
      </w:r>
      <w:r w:rsidRPr="00910104">
        <w:rPr>
          <w:sz w:val="22"/>
          <w:szCs w:val="22"/>
        </w:rPr>
        <w:t xml:space="preserve"> Tananarive</w:t>
      </w:r>
      <w:r>
        <w:rPr>
          <w:sz w:val="22"/>
          <w:szCs w:val="22"/>
        </w:rPr>
        <w:t>)</w:t>
      </w:r>
    </w:p>
    <w:p w14:paraId="6D80CE07" w14:textId="77777777" w:rsidR="00707E43" w:rsidRPr="00910104" w:rsidRDefault="00707E43" w:rsidP="00707E43">
      <w:pPr>
        <w:spacing w:line="276" w:lineRule="auto"/>
        <w:jc w:val="both"/>
        <w:rPr>
          <w:sz w:val="22"/>
          <w:szCs w:val="22"/>
        </w:rPr>
      </w:pPr>
      <w:r w:rsidRPr="00910104">
        <w:rPr>
          <w:b/>
          <w:sz w:val="22"/>
          <w:szCs w:val="22"/>
        </w:rPr>
        <w:t>Figure S13</w:t>
      </w:r>
      <w:r w:rsidRPr="00910104">
        <w:rPr>
          <w:sz w:val="22"/>
          <w:szCs w:val="22"/>
        </w:rPr>
        <w:t xml:space="preserve"> - Phylogenetic analysis of MAC types ST101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>Bochum and ST101</w:t>
      </w:r>
      <w:r>
        <w:rPr>
          <w:sz w:val="22"/>
          <w:szCs w:val="22"/>
        </w:rPr>
        <w:t>-</w:t>
      </w:r>
      <w:r w:rsidRPr="00910104">
        <w:rPr>
          <w:sz w:val="22"/>
          <w:szCs w:val="22"/>
        </w:rPr>
        <w:t xml:space="preserve">Wien </w:t>
      </w:r>
    </w:p>
    <w:p w14:paraId="016CDE2E" w14:textId="77777777" w:rsidR="00707E43" w:rsidRDefault="00707E43" w:rsidP="00707E43">
      <w:pPr>
        <w:spacing w:line="276" w:lineRule="auto"/>
        <w:jc w:val="both"/>
        <w:rPr>
          <w:sz w:val="22"/>
          <w:szCs w:val="22"/>
        </w:rPr>
      </w:pPr>
      <w:r w:rsidRPr="002D6804">
        <w:rPr>
          <w:b/>
          <w:bCs/>
          <w:sz w:val="22"/>
          <w:szCs w:val="22"/>
        </w:rPr>
        <w:t>Figure S14</w:t>
      </w:r>
      <w:r w:rsidRPr="00910104">
        <w:rPr>
          <w:sz w:val="22"/>
          <w:szCs w:val="22"/>
        </w:rPr>
        <w:t xml:space="preserve"> - Phylogenetic analysis of MAC types ST241</w:t>
      </w:r>
      <w:r>
        <w:rPr>
          <w:bCs/>
          <w:sz w:val="22"/>
          <w:szCs w:val="22"/>
        </w:rPr>
        <w:t>-</w:t>
      </w:r>
      <w:r w:rsidRPr="00910104">
        <w:rPr>
          <w:bCs/>
          <w:sz w:val="22"/>
          <w:szCs w:val="22"/>
        </w:rPr>
        <w:t>Bredeney</w:t>
      </w:r>
      <w:r w:rsidRPr="00910104">
        <w:rPr>
          <w:sz w:val="22"/>
          <w:szCs w:val="22"/>
        </w:rPr>
        <w:t xml:space="preserve"> and ST897</w:t>
      </w:r>
      <w:r>
        <w:rPr>
          <w:bCs/>
          <w:sz w:val="22"/>
          <w:szCs w:val="22"/>
        </w:rPr>
        <w:t>-</w:t>
      </w:r>
      <w:r w:rsidRPr="00910104">
        <w:rPr>
          <w:bCs/>
          <w:sz w:val="22"/>
          <w:szCs w:val="22"/>
        </w:rPr>
        <w:t>Bredeney</w:t>
      </w:r>
    </w:p>
    <w:p w14:paraId="0010CD76" w14:textId="77777777" w:rsidR="001812FD" w:rsidRDefault="001812FD"/>
    <w:sectPr w:rsidR="001812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B2"/>
    <w:rsid w:val="001812FD"/>
    <w:rsid w:val="002B512E"/>
    <w:rsid w:val="00707E43"/>
    <w:rsid w:val="00DD50B2"/>
    <w:rsid w:val="00ED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D28F4"/>
  <w15:chartTrackingRefBased/>
  <w15:docId w15:val="{E2C99781-2685-4800-A677-ED43FC7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E43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12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B51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e.chattaway@ph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>Public Health England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Chattaway</dc:creator>
  <cp:keywords/>
  <dc:description/>
  <cp:lastModifiedBy>Marie Chattaway</cp:lastModifiedBy>
  <cp:revision>3</cp:revision>
  <dcterms:created xsi:type="dcterms:W3CDTF">2021-01-08T14:17:00Z</dcterms:created>
  <dcterms:modified xsi:type="dcterms:W3CDTF">2021-01-08T14:23:00Z</dcterms:modified>
</cp:coreProperties>
</file>