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B4" w:rsidRPr="00FA530C" w:rsidRDefault="00626DB4" w:rsidP="00626DB4">
      <w:pPr>
        <w:spacing w:before="240" w:line="360" w:lineRule="auto"/>
        <w:jc w:val="both"/>
        <w:rPr>
          <w:b/>
          <w:bCs/>
          <w:noProof/>
        </w:rPr>
      </w:pPr>
      <w:bookmarkStart w:id="0" w:name="_GoBack"/>
      <w:bookmarkEnd w:id="0"/>
      <w:r>
        <w:rPr>
          <w:b/>
          <w:iCs/>
        </w:rPr>
        <w:t>Supplementary Figures</w:t>
      </w:r>
    </w:p>
    <w:p w:rsidR="00626DB4" w:rsidRPr="00263309" w:rsidRDefault="00626DB4" w:rsidP="00626DB4">
      <w:pPr>
        <w:spacing w:before="240" w:line="360" w:lineRule="auto"/>
        <w:jc w:val="both"/>
        <w:rPr>
          <w:b/>
          <w:iCs/>
        </w:rPr>
      </w:pPr>
      <w:r w:rsidRPr="007A5F1A">
        <w:rPr>
          <w:b/>
          <w:iCs/>
        </w:rPr>
        <w:t>Fig. S</w:t>
      </w:r>
      <w:r>
        <w:rPr>
          <w:b/>
        </w:rPr>
        <w:t>1</w:t>
      </w:r>
      <w:r w:rsidRPr="007A5F1A">
        <w:rPr>
          <w:b/>
        </w:rPr>
        <w:t xml:space="preserve">. </w:t>
      </w:r>
      <w:r w:rsidRPr="00BB5A42">
        <w:t xml:space="preserve">(a) </w:t>
      </w:r>
      <w:r w:rsidRPr="00BB5A42">
        <w:rPr>
          <w:bCs/>
        </w:rPr>
        <w:t>Shannon diversity index for fungal population observed in the three phases.</w:t>
      </w:r>
      <w:r w:rsidRPr="008626B5">
        <w:t xml:space="preserve"> </w:t>
      </w:r>
      <w:r>
        <w:rPr>
          <w:iCs/>
        </w:rPr>
        <w:t>(</w:t>
      </w:r>
      <w:proofErr w:type="gramStart"/>
      <w:r>
        <w:rPr>
          <w:iCs/>
        </w:rPr>
        <w:t>b</w:t>
      </w:r>
      <w:proofErr w:type="gramEnd"/>
      <w:r>
        <w:rPr>
          <w:iCs/>
        </w:rPr>
        <w:t xml:space="preserve"> to d) </w:t>
      </w:r>
      <w:r w:rsidRPr="00263309">
        <w:rPr>
          <w:bCs/>
        </w:rPr>
        <w:t>Taxonomic composition of fungal species observed in healthy and dandruff scalp at the baseline (</w:t>
      </w:r>
      <w:r w:rsidRPr="00263309">
        <w:rPr>
          <w:bCs/>
          <w:i/>
        </w:rPr>
        <w:t>t</w:t>
      </w:r>
      <w:r w:rsidRPr="00263309">
        <w:rPr>
          <w:bCs/>
        </w:rPr>
        <w:t>=1).</w:t>
      </w:r>
      <w:r w:rsidRPr="007A5F1A">
        <w:t xml:space="preserve"> </w:t>
      </w:r>
      <w:r>
        <w:t xml:space="preserve"> </w:t>
      </w:r>
      <w:r w:rsidRPr="007A5F1A">
        <w:t>Fungal species with ≥1% abundance (in average) are plotted in bar plots representing the abundant species in each sample. Top five species in each group are plotted in the pie plots.</w:t>
      </w:r>
      <w:r>
        <w:rPr>
          <w:b/>
          <w:iCs/>
        </w:rPr>
        <w:t xml:space="preserve"> </w:t>
      </w:r>
      <w:r w:rsidRPr="00BB5A42">
        <w:t>(</w:t>
      </w:r>
      <w:r>
        <w:t>e</w:t>
      </w:r>
      <w:r w:rsidRPr="00BB5A42">
        <w:t xml:space="preserve">) Differences in the ratio of </w:t>
      </w:r>
      <w:proofErr w:type="spellStart"/>
      <w:r w:rsidRPr="00BB5A42">
        <w:rPr>
          <w:i/>
          <w:iCs/>
        </w:rPr>
        <w:t>Malassezia</w:t>
      </w:r>
      <w:proofErr w:type="spellEnd"/>
      <w:r w:rsidRPr="00BB5A42">
        <w:rPr>
          <w:i/>
          <w:iCs/>
        </w:rPr>
        <w:t xml:space="preserve"> </w:t>
      </w:r>
      <w:r w:rsidRPr="00BB5A42">
        <w:rPr>
          <w:i/>
          <w:iCs/>
          <w:noProof/>
        </w:rPr>
        <w:t>restricta</w:t>
      </w:r>
      <w:r w:rsidRPr="00BB5A42">
        <w:rPr>
          <w:i/>
          <w:iCs/>
        </w:rPr>
        <w:t xml:space="preserve"> </w:t>
      </w:r>
      <w:r w:rsidRPr="00BB5A42">
        <w:rPr>
          <w:iCs/>
        </w:rPr>
        <w:t xml:space="preserve">to </w:t>
      </w:r>
      <w:proofErr w:type="spellStart"/>
      <w:r w:rsidRPr="00BB5A42">
        <w:rPr>
          <w:i/>
          <w:iCs/>
        </w:rPr>
        <w:t>Malassezia</w:t>
      </w:r>
      <w:proofErr w:type="spellEnd"/>
      <w:r w:rsidRPr="00BB5A42">
        <w:rPr>
          <w:i/>
          <w:iCs/>
        </w:rPr>
        <w:t xml:space="preserve"> </w:t>
      </w:r>
      <w:r w:rsidRPr="00BB5A42">
        <w:rPr>
          <w:i/>
          <w:iCs/>
          <w:noProof/>
        </w:rPr>
        <w:t>globosa</w:t>
      </w:r>
      <w:r w:rsidRPr="00BB5A42">
        <w:t xml:space="preserve"> </w:t>
      </w:r>
      <w:r w:rsidRPr="00BB5A42">
        <w:rPr>
          <w:iCs/>
        </w:rPr>
        <w:t xml:space="preserve">in the healthy and dandruff groups after treatment phase </w:t>
      </w:r>
      <w:r w:rsidRPr="00BB5A42">
        <w:t xml:space="preserve">(*, </w:t>
      </w:r>
      <w:r w:rsidRPr="00BB5A42">
        <w:rPr>
          <w:i/>
          <w:iCs/>
        </w:rPr>
        <w:t>p</w:t>
      </w:r>
      <w:r w:rsidRPr="00BB5A42">
        <w:t>≤0.05)</w:t>
      </w:r>
      <w:r w:rsidRPr="00BB5A42">
        <w:rPr>
          <w:iCs/>
        </w:rPr>
        <w:t xml:space="preserve">. </w:t>
      </w:r>
    </w:p>
    <w:p w:rsidR="00626DB4" w:rsidRDefault="00626DB4" w:rsidP="00626DB4">
      <w:pPr>
        <w:spacing w:before="240" w:line="360" w:lineRule="auto"/>
        <w:jc w:val="both"/>
      </w:pPr>
      <w:r w:rsidRPr="007A5F1A">
        <w:rPr>
          <w:b/>
          <w:iCs/>
        </w:rPr>
        <w:t xml:space="preserve">Fig. </w:t>
      </w:r>
      <w:r w:rsidRPr="007A5F1A">
        <w:rPr>
          <w:b/>
        </w:rPr>
        <w:t>S</w:t>
      </w:r>
      <w:r>
        <w:rPr>
          <w:b/>
        </w:rPr>
        <w:t>2</w:t>
      </w:r>
      <w:r w:rsidRPr="007A5F1A">
        <w:rPr>
          <w:b/>
        </w:rPr>
        <w:t xml:space="preserve">. </w:t>
      </w:r>
      <w:r w:rsidRPr="007A5F1A">
        <w:rPr>
          <w:b/>
          <w:bCs/>
          <w:lang w:val="en-US"/>
        </w:rPr>
        <w:t>Abundance of fungal species at the treatment phase (</w:t>
      </w:r>
      <w:r w:rsidRPr="007A5F1A">
        <w:rPr>
          <w:b/>
          <w:bCs/>
          <w:i/>
          <w:iCs/>
          <w:lang w:val="en-US"/>
        </w:rPr>
        <w:t>t</w:t>
      </w:r>
      <w:r w:rsidRPr="007A5F1A">
        <w:rPr>
          <w:b/>
          <w:bCs/>
          <w:lang w:val="en-US"/>
        </w:rPr>
        <w:t>=2)</w:t>
      </w:r>
      <w:r w:rsidRPr="007A5F1A">
        <w:rPr>
          <w:b/>
        </w:rPr>
        <w:t xml:space="preserve">. </w:t>
      </w:r>
      <w:r w:rsidRPr="007A5F1A">
        <w:t>Fungal species with ≥1% abundance (in average) are plotted in bar plots representing the abundant species in each sample. Top five species in each group are plotted in the pie plots.</w:t>
      </w:r>
    </w:p>
    <w:p w:rsidR="00626DB4" w:rsidRDefault="00626DB4" w:rsidP="00626DB4">
      <w:pPr>
        <w:spacing w:before="240" w:line="360" w:lineRule="auto"/>
        <w:jc w:val="both"/>
      </w:pPr>
      <w:r w:rsidRPr="007A5F1A">
        <w:rPr>
          <w:b/>
          <w:iCs/>
        </w:rPr>
        <w:t xml:space="preserve">Fig. </w:t>
      </w:r>
      <w:r w:rsidRPr="007A5F1A">
        <w:rPr>
          <w:b/>
        </w:rPr>
        <w:t>S</w:t>
      </w:r>
      <w:r>
        <w:rPr>
          <w:b/>
        </w:rPr>
        <w:t>3</w:t>
      </w:r>
      <w:r w:rsidRPr="007A5F1A">
        <w:rPr>
          <w:b/>
        </w:rPr>
        <w:t xml:space="preserve">. </w:t>
      </w:r>
      <w:r w:rsidRPr="007A5F1A">
        <w:rPr>
          <w:b/>
          <w:bCs/>
          <w:lang w:val="en-US"/>
        </w:rPr>
        <w:t>Abundance of fungal species at the relapse phase (</w:t>
      </w:r>
      <w:r w:rsidRPr="007A5F1A">
        <w:rPr>
          <w:b/>
          <w:bCs/>
          <w:i/>
          <w:iCs/>
          <w:lang w:val="en-US"/>
        </w:rPr>
        <w:t>t</w:t>
      </w:r>
      <w:r w:rsidRPr="007A5F1A">
        <w:rPr>
          <w:b/>
          <w:bCs/>
          <w:lang w:val="en-US"/>
        </w:rPr>
        <w:t>=3)</w:t>
      </w:r>
      <w:r w:rsidRPr="007A5F1A">
        <w:rPr>
          <w:b/>
        </w:rPr>
        <w:t xml:space="preserve">. </w:t>
      </w:r>
      <w:r w:rsidRPr="007A5F1A">
        <w:t>Fungal species with ≥1% abundance (in average) are plotted in bar plots representing the abundant species in each sample. Top five species in each group are plotted in the pie plots.</w:t>
      </w:r>
    </w:p>
    <w:p w:rsidR="00626DB4" w:rsidRDefault="00626DB4" w:rsidP="00626DB4">
      <w:pPr>
        <w:spacing w:before="240" w:line="360" w:lineRule="auto"/>
        <w:jc w:val="both"/>
      </w:pPr>
      <w:r w:rsidRPr="007A5F1A">
        <w:rPr>
          <w:b/>
          <w:iCs/>
        </w:rPr>
        <w:t>Fig. S</w:t>
      </w:r>
      <w:r>
        <w:rPr>
          <w:b/>
        </w:rPr>
        <w:t>4</w:t>
      </w:r>
      <w:r w:rsidRPr="007A5F1A">
        <w:rPr>
          <w:b/>
        </w:rPr>
        <w:t xml:space="preserve">. </w:t>
      </w:r>
      <w:r w:rsidRPr="00BB5A42">
        <w:t xml:space="preserve">(a) </w:t>
      </w:r>
      <w:r w:rsidRPr="00BB5A42">
        <w:rPr>
          <w:bCs/>
        </w:rPr>
        <w:t>Shannon diversity index for bacterial population observed in the three phases. (b)</w:t>
      </w:r>
      <w:r w:rsidRPr="00BB5A42">
        <w:t xml:space="preserve"> </w:t>
      </w:r>
      <w:proofErr w:type="spellStart"/>
      <w:r w:rsidRPr="00BB5A42">
        <w:rPr>
          <w:bCs/>
        </w:rPr>
        <w:t>Unweighted</w:t>
      </w:r>
      <w:proofErr w:type="spellEnd"/>
      <w:r w:rsidRPr="00BB5A42">
        <w:rPr>
          <w:bCs/>
        </w:rPr>
        <w:t xml:space="preserve"> </w:t>
      </w:r>
      <w:proofErr w:type="spellStart"/>
      <w:r w:rsidRPr="00BB5A42">
        <w:rPr>
          <w:bCs/>
        </w:rPr>
        <w:t>UniFrac</w:t>
      </w:r>
      <w:proofErr w:type="spellEnd"/>
      <w:r w:rsidRPr="00BB5A42">
        <w:rPr>
          <w:bCs/>
        </w:rPr>
        <w:t xml:space="preserve"> distances observed in the bacterial population at the three phases (***, p≤0.001)</w:t>
      </w:r>
      <w:r>
        <w:rPr>
          <w:bCs/>
        </w:rPr>
        <w:t>. (</w:t>
      </w:r>
      <w:proofErr w:type="gramStart"/>
      <w:r>
        <w:rPr>
          <w:bCs/>
        </w:rPr>
        <w:t>c</w:t>
      </w:r>
      <w:proofErr w:type="gramEnd"/>
      <w:r>
        <w:rPr>
          <w:bCs/>
        </w:rPr>
        <w:t xml:space="preserve"> to e) </w:t>
      </w:r>
      <w:r w:rsidRPr="00263309">
        <w:rPr>
          <w:bCs/>
        </w:rPr>
        <w:t>Taxonomic composition of bacterial species observed in healthy and dandruff scalp at the baseline (</w:t>
      </w:r>
      <w:r w:rsidRPr="00263309">
        <w:rPr>
          <w:bCs/>
          <w:i/>
        </w:rPr>
        <w:t>t</w:t>
      </w:r>
      <w:r w:rsidRPr="00263309">
        <w:rPr>
          <w:bCs/>
        </w:rPr>
        <w:t xml:space="preserve">=1). </w:t>
      </w:r>
      <w:r w:rsidRPr="00263309">
        <w:t>Fungal</w:t>
      </w:r>
      <w:r w:rsidRPr="007A5F1A">
        <w:t xml:space="preserve"> species with ≥1% abundance (in average) are plotted in bar plots representing the abundant species in each sample. Top five species in each group are plotted in the pie plots.</w:t>
      </w:r>
    </w:p>
    <w:p w:rsidR="00626DB4" w:rsidRDefault="00626DB4" w:rsidP="00626DB4">
      <w:pPr>
        <w:spacing w:before="240" w:line="360" w:lineRule="auto"/>
        <w:jc w:val="both"/>
      </w:pPr>
      <w:r w:rsidRPr="007A5F1A">
        <w:rPr>
          <w:b/>
          <w:iCs/>
        </w:rPr>
        <w:t xml:space="preserve">Fig. </w:t>
      </w:r>
      <w:r w:rsidRPr="007A5F1A">
        <w:rPr>
          <w:b/>
        </w:rPr>
        <w:t>S</w:t>
      </w:r>
      <w:r>
        <w:rPr>
          <w:b/>
        </w:rPr>
        <w:t>5.</w:t>
      </w:r>
      <w:r w:rsidRPr="007A5F1A">
        <w:rPr>
          <w:b/>
        </w:rPr>
        <w:t xml:space="preserve"> </w:t>
      </w:r>
      <w:r>
        <w:t>(a</w:t>
      </w:r>
      <w:r w:rsidRPr="00BB5A42">
        <w:t xml:space="preserve">) Differences in the ratio of </w:t>
      </w:r>
      <w:proofErr w:type="spellStart"/>
      <w:r w:rsidRPr="00BB5A42">
        <w:rPr>
          <w:i/>
          <w:iCs/>
        </w:rPr>
        <w:t>Cutibacterium</w:t>
      </w:r>
      <w:proofErr w:type="spellEnd"/>
      <w:r w:rsidRPr="00BB5A42">
        <w:rPr>
          <w:i/>
          <w:iCs/>
        </w:rPr>
        <w:t xml:space="preserve"> acnes </w:t>
      </w:r>
      <w:r w:rsidRPr="00BB5A42">
        <w:rPr>
          <w:iCs/>
        </w:rPr>
        <w:t>to</w:t>
      </w:r>
      <w:r w:rsidRPr="00BB5A42">
        <w:rPr>
          <w:i/>
          <w:iCs/>
        </w:rPr>
        <w:t xml:space="preserve"> Staphylococcus </w:t>
      </w:r>
      <w:r w:rsidRPr="00BB5A42">
        <w:rPr>
          <w:i/>
          <w:iCs/>
          <w:noProof/>
        </w:rPr>
        <w:t>epidermidis</w:t>
      </w:r>
      <w:r w:rsidRPr="00BB5A42">
        <w:rPr>
          <w:iCs/>
        </w:rPr>
        <w:t xml:space="preserve"> in the healthy and dandruff groups after treatment phase </w:t>
      </w:r>
      <w:r w:rsidRPr="00BB5A42">
        <w:t xml:space="preserve">(*, </w:t>
      </w:r>
      <w:r w:rsidRPr="00BB5A42">
        <w:rPr>
          <w:i/>
          <w:iCs/>
        </w:rPr>
        <w:t>p</w:t>
      </w:r>
      <w:r w:rsidRPr="00BB5A42">
        <w:t>≤0.05)</w:t>
      </w:r>
      <w:r w:rsidRPr="00BB5A42">
        <w:rPr>
          <w:iCs/>
        </w:rPr>
        <w:t>.</w:t>
      </w:r>
      <w:r>
        <w:rPr>
          <w:iCs/>
        </w:rPr>
        <w:t xml:space="preserve"> </w:t>
      </w:r>
      <w:r w:rsidRPr="00263309">
        <w:rPr>
          <w:bCs/>
          <w:lang w:val="en-US"/>
        </w:rPr>
        <w:t>Abundance of bacterial species at the treatment phase (</w:t>
      </w:r>
      <w:r w:rsidRPr="00263309">
        <w:rPr>
          <w:bCs/>
          <w:i/>
          <w:iCs/>
          <w:lang w:val="en-US"/>
        </w:rPr>
        <w:t>t</w:t>
      </w:r>
      <w:r w:rsidRPr="00263309">
        <w:rPr>
          <w:bCs/>
          <w:lang w:val="en-US"/>
        </w:rPr>
        <w:t>=2)</w:t>
      </w:r>
      <w:r w:rsidRPr="00263309">
        <w:t>.</w:t>
      </w:r>
      <w:r w:rsidRPr="007A5F1A">
        <w:rPr>
          <w:b/>
        </w:rPr>
        <w:t xml:space="preserve"> </w:t>
      </w:r>
      <w:r>
        <w:t>(</w:t>
      </w:r>
      <w:proofErr w:type="gramStart"/>
      <w:r>
        <w:t>b</w:t>
      </w:r>
      <w:proofErr w:type="gramEnd"/>
      <w:r>
        <w:t xml:space="preserve"> to e) </w:t>
      </w:r>
      <w:r w:rsidRPr="007A5F1A">
        <w:t>Fungal species with ≥1% abundance (in average) are plotted in bar plots representing the abundant species in each sample. Top five species in each group are plotted in the pie plots.</w:t>
      </w:r>
    </w:p>
    <w:p w:rsidR="00626DB4" w:rsidRDefault="00626DB4" w:rsidP="00626DB4">
      <w:pPr>
        <w:spacing w:before="240" w:line="360" w:lineRule="auto"/>
        <w:jc w:val="both"/>
      </w:pPr>
      <w:r w:rsidRPr="007A5F1A">
        <w:rPr>
          <w:b/>
          <w:iCs/>
        </w:rPr>
        <w:t xml:space="preserve">Fig. </w:t>
      </w:r>
      <w:r w:rsidRPr="007A5F1A">
        <w:rPr>
          <w:b/>
        </w:rPr>
        <w:t>S</w:t>
      </w:r>
      <w:r>
        <w:rPr>
          <w:b/>
        </w:rPr>
        <w:t>6</w:t>
      </w:r>
      <w:r w:rsidRPr="007A5F1A">
        <w:rPr>
          <w:b/>
        </w:rPr>
        <w:t xml:space="preserve">. </w:t>
      </w:r>
      <w:r w:rsidRPr="007A5F1A">
        <w:rPr>
          <w:b/>
          <w:bCs/>
          <w:lang w:val="en-US"/>
        </w:rPr>
        <w:t>Abundance of bacterial species at the relapse phase (</w:t>
      </w:r>
      <w:r w:rsidRPr="007A5F1A">
        <w:rPr>
          <w:b/>
          <w:bCs/>
          <w:i/>
          <w:iCs/>
          <w:lang w:val="en-US"/>
        </w:rPr>
        <w:t>t</w:t>
      </w:r>
      <w:r w:rsidRPr="007A5F1A">
        <w:rPr>
          <w:b/>
          <w:bCs/>
          <w:lang w:val="en-US"/>
        </w:rPr>
        <w:t>=3)</w:t>
      </w:r>
      <w:r w:rsidRPr="007A5F1A">
        <w:rPr>
          <w:b/>
        </w:rPr>
        <w:t xml:space="preserve">. </w:t>
      </w:r>
      <w:r w:rsidRPr="007A5F1A">
        <w:t>Fungal species with ≥1% abundance (in average) are plotted in bar plots representing the abundant species in each sample. Top five species in each group are plotted in the pie plots.</w:t>
      </w:r>
    </w:p>
    <w:p w:rsidR="00626DB4" w:rsidRPr="00D006C0" w:rsidRDefault="00626DB4" w:rsidP="00626DB4">
      <w:pPr>
        <w:spacing w:before="240" w:line="360" w:lineRule="auto"/>
        <w:jc w:val="both"/>
      </w:pPr>
      <w:r w:rsidRPr="007A5F1A">
        <w:rPr>
          <w:b/>
          <w:bCs/>
        </w:rPr>
        <w:t xml:space="preserve">Fig. </w:t>
      </w:r>
      <w:r>
        <w:rPr>
          <w:b/>
          <w:bCs/>
        </w:rPr>
        <w:t>S7</w:t>
      </w:r>
      <w:r w:rsidRPr="007A5F1A">
        <w:rPr>
          <w:b/>
          <w:bCs/>
        </w:rPr>
        <w:t xml:space="preserve">. </w:t>
      </w:r>
      <w:r w:rsidRPr="00D006C0">
        <w:t xml:space="preserve">(a) </w:t>
      </w:r>
      <w:r w:rsidRPr="00D006C0">
        <w:rPr>
          <w:bCs/>
        </w:rPr>
        <w:t xml:space="preserve">Differentially </w:t>
      </w:r>
      <w:r w:rsidRPr="00D006C0">
        <w:rPr>
          <w:bCs/>
          <w:noProof/>
        </w:rPr>
        <w:t>abundant</w:t>
      </w:r>
      <w:r w:rsidRPr="00D006C0">
        <w:rPr>
          <w:bCs/>
        </w:rPr>
        <w:t xml:space="preserve"> (</w:t>
      </w:r>
      <w:r w:rsidRPr="00D006C0">
        <w:rPr>
          <w:i/>
          <w:iCs/>
        </w:rPr>
        <w:t>p</w:t>
      </w:r>
      <w:r w:rsidRPr="00D006C0">
        <w:t>≤0.05)</w:t>
      </w:r>
      <w:r w:rsidRPr="00D006C0">
        <w:rPr>
          <w:bCs/>
        </w:rPr>
        <w:t xml:space="preserve"> fungal </w:t>
      </w:r>
      <w:r w:rsidRPr="00D006C0">
        <w:rPr>
          <w:bCs/>
          <w:noProof/>
        </w:rPr>
        <w:t>pathways</w:t>
      </w:r>
      <w:r w:rsidRPr="00D006C0">
        <w:rPr>
          <w:bCs/>
        </w:rPr>
        <w:t xml:space="preserve"> between healthy and dandruff scalp at baseline. </w:t>
      </w:r>
      <w:r w:rsidRPr="00D006C0">
        <w:t>(</w:t>
      </w:r>
      <w:r>
        <w:t>b</w:t>
      </w:r>
      <w:r w:rsidRPr="00D006C0">
        <w:t xml:space="preserve">) Differentially abundant bacterial KEGG pathways related to amino acids, vitamins and cofactors in healthy and dandruff scalp at the baseline (p≤0.05). </w:t>
      </w:r>
      <w:r w:rsidRPr="00D006C0">
        <w:rPr>
          <w:bCs/>
        </w:rPr>
        <w:t>(</w:t>
      </w:r>
      <w:r>
        <w:rPr>
          <w:bCs/>
        </w:rPr>
        <w:t>c</w:t>
      </w:r>
      <w:r w:rsidRPr="00D006C0">
        <w:rPr>
          <w:bCs/>
        </w:rPr>
        <w:t>) Significant variations in the KOs related to biotin metabolism observed between different groups (</w:t>
      </w:r>
      <w:r w:rsidRPr="00D006C0">
        <w:rPr>
          <w:bCs/>
          <w:i/>
        </w:rPr>
        <w:t>p</w:t>
      </w:r>
      <w:r w:rsidRPr="00D006C0">
        <w:rPr>
          <w:bCs/>
        </w:rPr>
        <w:t>≤0.05, Wilcoxon test). (</w:t>
      </w:r>
      <w:r>
        <w:rPr>
          <w:bCs/>
        </w:rPr>
        <w:t>d</w:t>
      </w:r>
      <w:r w:rsidRPr="00D006C0">
        <w:rPr>
          <w:bCs/>
        </w:rPr>
        <w:t xml:space="preserve">) </w:t>
      </w:r>
      <w:r w:rsidRPr="00D006C0">
        <w:rPr>
          <w:bCs/>
        </w:rPr>
        <w:lastRenderedPageBreak/>
        <w:t>Significant variations in the KOs related to biotin transport observed between different groups (</w:t>
      </w:r>
      <w:r w:rsidRPr="00D006C0">
        <w:rPr>
          <w:bCs/>
          <w:i/>
        </w:rPr>
        <w:t>p</w:t>
      </w:r>
      <w:r w:rsidRPr="00D006C0">
        <w:rPr>
          <w:bCs/>
        </w:rPr>
        <w:t>≤0.05, Wilcoxon test).</w:t>
      </w:r>
    </w:p>
    <w:p w:rsidR="00626DB4" w:rsidRDefault="00626DB4" w:rsidP="00626DB4">
      <w:pPr>
        <w:spacing w:before="240" w:line="360" w:lineRule="auto"/>
        <w:jc w:val="both"/>
        <w:rPr>
          <w:b/>
          <w:iCs/>
        </w:rPr>
      </w:pPr>
      <w:r w:rsidRPr="007A5F1A">
        <w:rPr>
          <w:b/>
          <w:iCs/>
        </w:rPr>
        <w:t>Table S1. Results for repeated measures ANOVA (</w:t>
      </w:r>
      <w:proofErr w:type="spellStart"/>
      <w:r w:rsidRPr="007A5F1A">
        <w:rPr>
          <w:b/>
          <w:iCs/>
        </w:rPr>
        <w:t>xlsx</w:t>
      </w:r>
      <w:proofErr w:type="spellEnd"/>
      <w:r w:rsidRPr="007A5F1A">
        <w:rPr>
          <w:b/>
          <w:iCs/>
        </w:rPr>
        <w:t>).</w:t>
      </w:r>
    </w:p>
    <w:p w:rsidR="00626DB4" w:rsidRDefault="00626DB4" w:rsidP="00626DB4">
      <w:pPr>
        <w:spacing w:before="240" w:line="360" w:lineRule="auto"/>
        <w:jc w:val="both"/>
        <w:rPr>
          <w:b/>
          <w:bCs/>
          <w:lang w:val="en-US"/>
        </w:rPr>
      </w:pPr>
      <w:r w:rsidRPr="007A5F1A">
        <w:rPr>
          <w:b/>
          <w:bCs/>
          <w:lang w:val="en-US"/>
        </w:rPr>
        <w:t>Table S</w:t>
      </w:r>
      <w:r>
        <w:rPr>
          <w:b/>
          <w:bCs/>
          <w:lang w:val="en-US"/>
        </w:rPr>
        <w:t>2</w:t>
      </w:r>
      <w:r w:rsidRPr="007A5F1A">
        <w:rPr>
          <w:b/>
          <w:bCs/>
          <w:lang w:val="en-US"/>
        </w:rPr>
        <w:t xml:space="preserve">. Subject grouping and </w:t>
      </w:r>
      <w:r>
        <w:rPr>
          <w:b/>
          <w:bCs/>
          <w:lang w:val="en-US"/>
        </w:rPr>
        <w:t>s</w:t>
      </w:r>
      <w:r w:rsidRPr="007A5F1A">
        <w:rPr>
          <w:b/>
          <w:bCs/>
          <w:lang w:val="en-US"/>
        </w:rPr>
        <w:t>equencing statistics</w:t>
      </w:r>
      <w:r>
        <w:rPr>
          <w:b/>
          <w:bCs/>
          <w:lang w:val="en-US"/>
        </w:rPr>
        <w:t xml:space="preserve"> (</w:t>
      </w:r>
      <w:proofErr w:type="spellStart"/>
      <w:r>
        <w:rPr>
          <w:b/>
          <w:bCs/>
          <w:lang w:val="en-US"/>
        </w:rPr>
        <w:t>xlsx</w:t>
      </w:r>
      <w:proofErr w:type="spellEnd"/>
      <w:r>
        <w:rPr>
          <w:b/>
          <w:bCs/>
          <w:lang w:val="en-US"/>
        </w:rPr>
        <w:t>).</w:t>
      </w:r>
    </w:p>
    <w:p w:rsidR="00164C90" w:rsidRDefault="00164C90"/>
    <w:sectPr w:rsidR="00164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9C"/>
    <w:rsid w:val="000770D7"/>
    <w:rsid w:val="000D7EBB"/>
    <w:rsid w:val="001231CD"/>
    <w:rsid w:val="0012699D"/>
    <w:rsid w:val="00164C90"/>
    <w:rsid w:val="00181C28"/>
    <w:rsid w:val="001C34C8"/>
    <w:rsid w:val="001E227B"/>
    <w:rsid w:val="001F625B"/>
    <w:rsid w:val="00207E6C"/>
    <w:rsid w:val="00233BE8"/>
    <w:rsid w:val="002608E5"/>
    <w:rsid w:val="002B75C8"/>
    <w:rsid w:val="002D01EB"/>
    <w:rsid w:val="002D1F21"/>
    <w:rsid w:val="002F0FAA"/>
    <w:rsid w:val="00390FB6"/>
    <w:rsid w:val="003D2F4B"/>
    <w:rsid w:val="00421B8F"/>
    <w:rsid w:val="004772D0"/>
    <w:rsid w:val="0052504F"/>
    <w:rsid w:val="00534735"/>
    <w:rsid w:val="00617CAE"/>
    <w:rsid w:val="0062164A"/>
    <w:rsid w:val="00625C98"/>
    <w:rsid w:val="00626DB4"/>
    <w:rsid w:val="0064211C"/>
    <w:rsid w:val="00673A50"/>
    <w:rsid w:val="00680162"/>
    <w:rsid w:val="0074690E"/>
    <w:rsid w:val="007A0FC6"/>
    <w:rsid w:val="007B3FEC"/>
    <w:rsid w:val="008106F6"/>
    <w:rsid w:val="008116B0"/>
    <w:rsid w:val="00821FF6"/>
    <w:rsid w:val="00847E07"/>
    <w:rsid w:val="008C4449"/>
    <w:rsid w:val="009604EA"/>
    <w:rsid w:val="009D415F"/>
    <w:rsid w:val="00A01247"/>
    <w:rsid w:val="00A34F21"/>
    <w:rsid w:val="00A424F0"/>
    <w:rsid w:val="00A53064"/>
    <w:rsid w:val="00A72D87"/>
    <w:rsid w:val="00AA62C6"/>
    <w:rsid w:val="00AA7C91"/>
    <w:rsid w:val="00B246A4"/>
    <w:rsid w:val="00B35549"/>
    <w:rsid w:val="00B50161"/>
    <w:rsid w:val="00B877F8"/>
    <w:rsid w:val="00C473D1"/>
    <w:rsid w:val="00C959FB"/>
    <w:rsid w:val="00CC1688"/>
    <w:rsid w:val="00D22FFE"/>
    <w:rsid w:val="00D35EEF"/>
    <w:rsid w:val="00D9603B"/>
    <w:rsid w:val="00DA10FF"/>
    <w:rsid w:val="00DA2DF2"/>
    <w:rsid w:val="00DD4185"/>
    <w:rsid w:val="00DF4489"/>
    <w:rsid w:val="00DF6943"/>
    <w:rsid w:val="00E0486B"/>
    <w:rsid w:val="00E4151D"/>
    <w:rsid w:val="00E5605F"/>
    <w:rsid w:val="00ED6E00"/>
    <w:rsid w:val="00EF309C"/>
    <w:rsid w:val="00F020EA"/>
    <w:rsid w:val="00F23411"/>
    <w:rsid w:val="00F404B8"/>
    <w:rsid w:val="00F74FAB"/>
    <w:rsid w:val="00F87793"/>
    <w:rsid w:val="00FD5B4D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30FCD-3965-4373-9E2D-4F4F81B6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Company>HP Inc.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Ziaur Rahman Bijli G.</dc:creator>
  <cp:keywords/>
  <dc:description/>
  <cp:lastModifiedBy>Ziaur Rahman Bijli G.</cp:lastModifiedBy>
  <cp:revision>2</cp:revision>
  <dcterms:created xsi:type="dcterms:W3CDTF">2021-03-17T01:51:00Z</dcterms:created>
  <dcterms:modified xsi:type="dcterms:W3CDTF">2021-03-17T01:51:00Z</dcterms:modified>
</cp:coreProperties>
</file>