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057F77" w14:textId="77777777" w:rsidR="00A36F1D" w:rsidRDefault="00A36F1D" w:rsidP="00A36F1D">
      <w:pPr>
        <w:jc w:val="center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V</w:t>
      </w:r>
      <w:r w:rsidRPr="00830912">
        <w:rPr>
          <w:rFonts w:ascii="Arial" w:hAnsi="Arial" w:cs="Arial"/>
          <w:b/>
          <w:sz w:val="24"/>
          <w:szCs w:val="24"/>
          <w:lang w:val="en-US"/>
        </w:rPr>
        <w:t xml:space="preserve">agal </w:t>
      </w:r>
      <w:r>
        <w:rPr>
          <w:rFonts w:ascii="Arial" w:hAnsi="Arial" w:cs="Arial"/>
          <w:b/>
          <w:sz w:val="24"/>
          <w:szCs w:val="24"/>
          <w:lang w:val="en-US"/>
        </w:rPr>
        <w:t xml:space="preserve">control of the heart decreases during increasing imminence of interoceptive threat in patients with panic disorder and agoraphobia </w:t>
      </w:r>
    </w:p>
    <w:p w14:paraId="5EF7C8DA" w14:textId="77777777" w:rsidR="00A36F1D" w:rsidRDefault="00A36F1D" w:rsidP="00A36F1D">
      <w:pPr>
        <w:pStyle w:val="Standa"/>
        <w:spacing w:line="360" w:lineRule="auto"/>
        <w:jc w:val="center"/>
        <w:rPr>
          <w:rFonts w:ascii="Arial" w:hAnsi="Arial"/>
          <w:sz w:val="20"/>
          <w:szCs w:val="20"/>
          <w:lang w:val="en-US"/>
        </w:rPr>
      </w:pPr>
    </w:p>
    <w:p w14:paraId="62E13E1E" w14:textId="77777777" w:rsidR="00A36F1D" w:rsidRDefault="00A36F1D" w:rsidP="00A36F1D">
      <w:pPr>
        <w:pStyle w:val="Standa"/>
        <w:spacing w:line="360" w:lineRule="auto"/>
        <w:jc w:val="center"/>
        <w:rPr>
          <w:rFonts w:ascii="Arial" w:hAnsi="Arial"/>
          <w:sz w:val="20"/>
          <w:szCs w:val="20"/>
          <w:lang w:val="en-US"/>
        </w:rPr>
      </w:pPr>
      <w:r>
        <w:rPr>
          <w:rFonts w:ascii="Arial" w:hAnsi="Arial"/>
          <w:sz w:val="20"/>
          <w:szCs w:val="20"/>
          <w:lang w:val="en-US"/>
        </w:rPr>
        <w:t>Running Title: Cardiovagal control in panic disorder</w:t>
      </w:r>
    </w:p>
    <w:p w14:paraId="7618E674" w14:textId="77777777" w:rsidR="00A36F1D" w:rsidRDefault="00A36F1D" w:rsidP="00A36F1D">
      <w:pPr>
        <w:pStyle w:val="Standa"/>
        <w:spacing w:line="360" w:lineRule="auto"/>
        <w:rPr>
          <w:rFonts w:ascii="Arial" w:hAnsi="Arial"/>
          <w:sz w:val="20"/>
          <w:szCs w:val="20"/>
          <w:lang w:val="en-US"/>
        </w:rPr>
      </w:pPr>
    </w:p>
    <w:p w14:paraId="344DDD03" w14:textId="77777777" w:rsidR="00A36F1D" w:rsidRPr="002A4F70" w:rsidRDefault="00A36F1D" w:rsidP="00A36F1D">
      <w:pPr>
        <w:pStyle w:val="Standa"/>
        <w:spacing w:line="360" w:lineRule="auto"/>
        <w:jc w:val="center"/>
        <w:rPr>
          <w:rFonts w:ascii="Arial" w:hAnsi="Arial"/>
          <w:sz w:val="20"/>
          <w:szCs w:val="20"/>
          <w:lang w:val="en-US"/>
        </w:rPr>
      </w:pPr>
      <w:r w:rsidRPr="002A4F70">
        <w:rPr>
          <w:rFonts w:ascii="Arial" w:hAnsi="Arial"/>
          <w:sz w:val="20"/>
          <w:szCs w:val="20"/>
          <w:lang w:val="en-US"/>
        </w:rPr>
        <w:t>Jan Richter</w:t>
      </w:r>
      <w:r w:rsidRPr="002A4F70">
        <w:rPr>
          <w:rFonts w:ascii="Arial" w:hAnsi="Arial"/>
          <w:sz w:val="20"/>
          <w:szCs w:val="20"/>
          <w:vertAlign w:val="superscript"/>
          <w:lang w:val="en-US"/>
        </w:rPr>
        <w:t>1</w:t>
      </w:r>
      <w:r w:rsidRPr="002A4F70">
        <w:rPr>
          <w:rFonts w:ascii="Arial" w:hAnsi="Arial"/>
          <w:sz w:val="20"/>
          <w:szCs w:val="20"/>
          <w:lang w:val="en-US"/>
        </w:rPr>
        <w:t>, Anne Pietzner</w:t>
      </w:r>
      <w:r w:rsidRPr="002A4F70">
        <w:rPr>
          <w:rFonts w:ascii="Arial" w:hAnsi="Arial"/>
          <w:sz w:val="20"/>
          <w:szCs w:val="20"/>
          <w:vertAlign w:val="superscript"/>
          <w:lang w:val="en-US"/>
        </w:rPr>
        <w:t>1</w:t>
      </w:r>
      <w:r w:rsidRPr="002A4F70">
        <w:rPr>
          <w:rFonts w:ascii="Arial" w:hAnsi="Arial"/>
          <w:sz w:val="20"/>
          <w:szCs w:val="20"/>
          <w:lang w:val="en-US"/>
        </w:rPr>
        <w:t>, Julian Koenig</w:t>
      </w:r>
      <w:r w:rsidRPr="002A4F70">
        <w:rPr>
          <w:rFonts w:ascii="Arial" w:hAnsi="Arial"/>
          <w:sz w:val="20"/>
          <w:szCs w:val="20"/>
          <w:vertAlign w:val="superscript"/>
          <w:lang w:val="en-US"/>
        </w:rPr>
        <w:t>2,3</w:t>
      </w:r>
      <w:r w:rsidRPr="002A4F70">
        <w:rPr>
          <w:rFonts w:ascii="Arial" w:hAnsi="Arial"/>
          <w:sz w:val="20"/>
          <w:szCs w:val="20"/>
          <w:lang w:val="en-US"/>
        </w:rPr>
        <w:t>, Julian F. Thayer</w:t>
      </w:r>
      <w:r w:rsidRPr="002A4F70">
        <w:rPr>
          <w:rFonts w:ascii="Arial" w:hAnsi="Arial"/>
          <w:sz w:val="20"/>
          <w:szCs w:val="20"/>
          <w:vertAlign w:val="superscript"/>
          <w:lang w:val="en-US"/>
        </w:rPr>
        <w:t>4</w:t>
      </w:r>
      <w:r w:rsidRPr="002A4F70">
        <w:rPr>
          <w:rFonts w:ascii="Arial" w:hAnsi="Arial"/>
          <w:sz w:val="20"/>
          <w:szCs w:val="20"/>
          <w:lang w:val="en-US"/>
        </w:rPr>
        <w:t>, Christiane A. Pané-Farré</w:t>
      </w:r>
      <w:r w:rsidRPr="002A4F70">
        <w:rPr>
          <w:rFonts w:ascii="Arial" w:hAnsi="Arial"/>
          <w:sz w:val="20"/>
          <w:szCs w:val="20"/>
          <w:vertAlign w:val="superscript"/>
          <w:lang w:val="en-US"/>
        </w:rPr>
        <w:t>1,</w:t>
      </w:r>
      <w:r w:rsidRPr="002A4F70">
        <w:rPr>
          <w:rFonts w:ascii="Arial" w:hAnsi="Arial"/>
          <w:b/>
          <w:bCs/>
          <w:sz w:val="20"/>
          <w:szCs w:val="20"/>
          <w:vertAlign w:val="superscript"/>
          <w:lang w:val="en-US"/>
        </w:rPr>
        <w:t>5</w:t>
      </w:r>
      <w:r w:rsidRPr="002A4F70">
        <w:rPr>
          <w:rFonts w:ascii="Arial" w:hAnsi="Arial"/>
          <w:sz w:val="20"/>
          <w:szCs w:val="20"/>
          <w:lang w:val="en-US"/>
        </w:rPr>
        <w:t>, Alexander L. Gerlach</w:t>
      </w:r>
      <w:r w:rsidRPr="002A4F70">
        <w:rPr>
          <w:rFonts w:ascii="Arial" w:hAnsi="Arial"/>
          <w:sz w:val="20"/>
          <w:szCs w:val="20"/>
          <w:vertAlign w:val="superscript"/>
          <w:lang w:val="en-US"/>
        </w:rPr>
        <w:t>6</w:t>
      </w:r>
      <w:r w:rsidRPr="002A4F70">
        <w:rPr>
          <w:rFonts w:ascii="Arial" w:hAnsi="Arial"/>
          <w:sz w:val="20"/>
          <w:szCs w:val="20"/>
          <w:lang w:val="en-US"/>
        </w:rPr>
        <w:t>, Andrew T. Gloster</w:t>
      </w:r>
      <w:r w:rsidRPr="002A4F70">
        <w:rPr>
          <w:rFonts w:ascii="Arial" w:hAnsi="Arial"/>
          <w:sz w:val="20"/>
          <w:szCs w:val="20"/>
          <w:vertAlign w:val="superscript"/>
          <w:lang w:val="en-US"/>
        </w:rPr>
        <w:t>7</w:t>
      </w:r>
      <w:r w:rsidRPr="002A4F70">
        <w:rPr>
          <w:rFonts w:ascii="Arial" w:hAnsi="Arial"/>
          <w:sz w:val="20"/>
          <w:szCs w:val="20"/>
          <w:lang w:val="en-US"/>
        </w:rPr>
        <w:t>, Hans-Ulrich Wittchen</w:t>
      </w:r>
      <w:r w:rsidRPr="002A4F70">
        <w:rPr>
          <w:rFonts w:ascii="Arial" w:hAnsi="Arial"/>
          <w:sz w:val="20"/>
          <w:szCs w:val="20"/>
          <w:vertAlign w:val="superscript"/>
          <w:lang w:val="en-US"/>
        </w:rPr>
        <w:t>8</w:t>
      </w:r>
      <w:r w:rsidRPr="002A4F70">
        <w:rPr>
          <w:rFonts w:ascii="Arial" w:hAnsi="Arial"/>
          <w:sz w:val="20"/>
          <w:szCs w:val="20"/>
          <w:lang w:val="en-US"/>
        </w:rPr>
        <w:t>, Thomas Lang</w:t>
      </w:r>
      <w:r w:rsidRPr="002A4F70">
        <w:rPr>
          <w:rFonts w:ascii="Arial" w:hAnsi="Arial"/>
          <w:sz w:val="20"/>
          <w:szCs w:val="20"/>
          <w:vertAlign w:val="superscript"/>
          <w:lang w:val="en-US"/>
        </w:rPr>
        <w:t>9,10</w:t>
      </w:r>
      <w:r w:rsidRPr="002A4F70">
        <w:rPr>
          <w:rFonts w:ascii="Arial" w:hAnsi="Arial"/>
          <w:sz w:val="20"/>
          <w:szCs w:val="20"/>
          <w:lang w:val="en-US"/>
        </w:rPr>
        <w:t>, Georg W. Alpers</w:t>
      </w:r>
      <w:r w:rsidRPr="002A4F70">
        <w:rPr>
          <w:rFonts w:ascii="Arial" w:hAnsi="Arial"/>
          <w:sz w:val="20"/>
          <w:szCs w:val="20"/>
          <w:vertAlign w:val="superscript"/>
          <w:lang w:val="en-US"/>
        </w:rPr>
        <w:t>11</w:t>
      </w:r>
      <w:r w:rsidRPr="002A4F70">
        <w:rPr>
          <w:rFonts w:ascii="Arial" w:hAnsi="Arial"/>
          <w:sz w:val="20"/>
          <w:szCs w:val="20"/>
          <w:lang w:val="en-US"/>
        </w:rPr>
        <w:t>, Sylvia Helbig-Lang</w:t>
      </w:r>
      <w:r w:rsidRPr="002A4F70">
        <w:rPr>
          <w:rFonts w:ascii="Arial" w:hAnsi="Arial"/>
          <w:sz w:val="20"/>
          <w:szCs w:val="20"/>
          <w:vertAlign w:val="superscript"/>
          <w:lang w:val="en-US"/>
        </w:rPr>
        <w:t>12</w:t>
      </w:r>
      <w:r w:rsidRPr="002A4F70">
        <w:rPr>
          <w:rFonts w:ascii="Arial" w:hAnsi="Arial"/>
          <w:sz w:val="20"/>
          <w:szCs w:val="20"/>
          <w:lang w:val="en-US"/>
        </w:rPr>
        <w:t>, Jürgen Deckert</w:t>
      </w:r>
      <w:r w:rsidRPr="002A4F70">
        <w:rPr>
          <w:rFonts w:ascii="Arial" w:hAnsi="Arial"/>
          <w:sz w:val="20"/>
          <w:szCs w:val="20"/>
          <w:vertAlign w:val="superscript"/>
          <w:lang w:val="en-US"/>
        </w:rPr>
        <w:t>13</w:t>
      </w:r>
      <w:r w:rsidRPr="002A4F70">
        <w:rPr>
          <w:rFonts w:ascii="Arial" w:hAnsi="Arial"/>
          <w:sz w:val="20"/>
          <w:szCs w:val="20"/>
          <w:lang w:val="en-US"/>
        </w:rPr>
        <w:t>, Thomas Fydrich</w:t>
      </w:r>
      <w:r w:rsidRPr="002A4F70">
        <w:rPr>
          <w:rFonts w:ascii="Arial" w:hAnsi="Arial"/>
          <w:sz w:val="20"/>
          <w:szCs w:val="20"/>
          <w:vertAlign w:val="superscript"/>
          <w:lang w:val="en-US"/>
        </w:rPr>
        <w:t>14</w:t>
      </w:r>
      <w:r w:rsidRPr="002A4F70">
        <w:rPr>
          <w:rFonts w:ascii="Arial" w:hAnsi="Arial"/>
          <w:sz w:val="20"/>
          <w:szCs w:val="20"/>
          <w:lang w:val="en-US"/>
        </w:rPr>
        <w:t>, Lydia Fehm</w:t>
      </w:r>
      <w:r w:rsidRPr="002A4F70">
        <w:rPr>
          <w:rFonts w:ascii="Arial" w:hAnsi="Arial"/>
          <w:sz w:val="20"/>
          <w:szCs w:val="20"/>
          <w:vertAlign w:val="superscript"/>
          <w:lang w:val="en-US"/>
        </w:rPr>
        <w:t>14</w:t>
      </w:r>
      <w:r w:rsidRPr="002A4F70">
        <w:rPr>
          <w:rFonts w:ascii="Arial" w:hAnsi="Arial"/>
          <w:sz w:val="20"/>
          <w:szCs w:val="20"/>
          <w:lang w:val="en-US"/>
        </w:rPr>
        <w:t>, Andreas Ströhle</w:t>
      </w:r>
      <w:r w:rsidRPr="002A4F70">
        <w:rPr>
          <w:rFonts w:ascii="Arial" w:hAnsi="Arial"/>
          <w:sz w:val="20"/>
          <w:szCs w:val="20"/>
          <w:vertAlign w:val="superscript"/>
          <w:lang w:val="en-US"/>
        </w:rPr>
        <w:t>15</w:t>
      </w:r>
      <w:r w:rsidRPr="002A4F70">
        <w:rPr>
          <w:rFonts w:ascii="Arial" w:hAnsi="Arial"/>
          <w:sz w:val="20"/>
          <w:szCs w:val="20"/>
          <w:lang w:val="en-US"/>
        </w:rPr>
        <w:t xml:space="preserve">, </w:t>
      </w:r>
      <w:proofErr w:type="spellStart"/>
      <w:r w:rsidRPr="002A4F70">
        <w:rPr>
          <w:rFonts w:ascii="Arial" w:hAnsi="Arial"/>
          <w:sz w:val="20"/>
          <w:szCs w:val="20"/>
          <w:lang w:val="en-US"/>
        </w:rPr>
        <w:t>Tilo</w:t>
      </w:r>
      <w:proofErr w:type="spellEnd"/>
      <w:r w:rsidRPr="002A4F70">
        <w:rPr>
          <w:rFonts w:ascii="Arial" w:hAnsi="Arial"/>
          <w:sz w:val="20"/>
          <w:szCs w:val="20"/>
          <w:lang w:val="en-US"/>
        </w:rPr>
        <w:t xml:space="preserve"> Kircher</w:t>
      </w:r>
      <w:r w:rsidRPr="002A4F70">
        <w:rPr>
          <w:rFonts w:ascii="Arial" w:hAnsi="Arial"/>
          <w:sz w:val="20"/>
          <w:szCs w:val="20"/>
          <w:vertAlign w:val="superscript"/>
          <w:lang w:val="en-US"/>
        </w:rPr>
        <w:t>16</w:t>
      </w:r>
      <w:r w:rsidRPr="002A4F70">
        <w:rPr>
          <w:rFonts w:ascii="Arial" w:hAnsi="Arial"/>
          <w:sz w:val="20"/>
          <w:szCs w:val="20"/>
          <w:lang w:val="en-US"/>
        </w:rPr>
        <w:t>, Volker Arolt</w:t>
      </w:r>
      <w:r w:rsidRPr="002A4F70">
        <w:rPr>
          <w:rFonts w:ascii="Arial" w:hAnsi="Arial"/>
          <w:sz w:val="20"/>
          <w:szCs w:val="20"/>
          <w:vertAlign w:val="superscript"/>
          <w:lang w:val="en-US"/>
        </w:rPr>
        <w:t>17</w:t>
      </w:r>
      <w:r w:rsidRPr="002A4F70">
        <w:rPr>
          <w:rFonts w:ascii="Arial" w:hAnsi="Arial"/>
          <w:sz w:val="20"/>
          <w:szCs w:val="20"/>
          <w:lang w:val="en-US"/>
        </w:rPr>
        <w:t xml:space="preserve">, and </w:t>
      </w:r>
      <w:proofErr w:type="spellStart"/>
      <w:r w:rsidRPr="002A4F70">
        <w:rPr>
          <w:rFonts w:ascii="Arial" w:hAnsi="Arial"/>
          <w:sz w:val="20"/>
          <w:szCs w:val="20"/>
          <w:lang w:val="en-US"/>
        </w:rPr>
        <w:t>Alfons</w:t>
      </w:r>
      <w:proofErr w:type="spellEnd"/>
      <w:r w:rsidRPr="002A4F70">
        <w:rPr>
          <w:rFonts w:ascii="Arial" w:hAnsi="Arial"/>
          <w:sz w:val="20"/>
          <w:szCs w:val="20"/>
          <w:lang w:val="en-US"/>
        </w:rPr>
        <w:t xml:space="preserve"> O. Hamm</w:t>
      </w:r>
      <w:r w:rsidRPr="002A4F70">
        <w:rPr>
          <w:rFonts w:ascii="Arial" w:hAnsi="Arial"/>
          <w:sz w:val="20"/>
          <w:szCs w:val="20"/>
          <w:vertAlign w:val="superscript"/>
          <w:lang w:val="en-US"/>
        </w:rPr>
        <w:t>1</w:t>
      </w:r>
    </w:p>
    <w:p w14:paraId="03A8D444" w14:textId="2A249315" w:rsidR="007D6ADA" w:rsidRDefault="00AF0F9F">
      <w:pPr>
        <w:rPr>
          <w:lang w:val="en-US"/>
        </w:rPr>
      </w:pPr>
    </w:p>
    <w:p w14:paraId="582B620C" w14:textId="135D42E6" w:rsidR="00A36F1D" w:rsidRDefault="00A36F1D">
      <w:pPr>
        <w:rPr>
          <w:lang w:val="en-US"/>
        </w:rPr>
      </w:pPr>
    </w:p>
    <w:p w14:paraId="7BDC318A" w14:textId="5AD845ED" w:rsidR="00A36F1D" w:rsidRPr="00991436" w:rsidRDefault="00A36F1D" w:rsidP="00A36F1D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991436">
        <w:rPr>
          <w:rFonts w:ascii="Arial" w:hAnsi="Arial" w:cs="Arial"/>
          <w:b/>
          <w:bCs/>
          <w:sz w:val="24"/>
          <w:szCs w:val="24"/>
          <w:lang w:val="en-US"/>
        </w:rPr>
        <w:t>Supplementary Methods</w:t>
      </w:r>
    </w:p>
    <w:p w14:paraId="35FF7A67" w14:textId="25078B13" w:rsidR="00A36F1D" w:rsidRDefault="00A36F1D" w:rsidP="00A36F1D">
      <w:pPr>
        <w:rPr>
          <w:lang w:val="en-US"/>
        </w:rPr>
      </w:pPr>
    </w:p>
    <w:p w14:paraId="64E3D924" w14:textId="419ED74C" w:rsidR="007D1A3F" w:rsidRDefault="007D1A3F" w:rsidP="00AF0F9F">
      <w:pPr>
        <w:ind w:firstLine="425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Patient recruitment, </w:t>
      </w:r>
      <w:r w:rsidRPr="007953CC">
        <w:rPr>
          <w:rFonts w:ascii="Arial" w:hAnsi="Arial" w:cs="Arial"/>
          <w:sz w:val="24"/>
          <w:szCs w:val="24"/>
          <w:lang w:val="en-US"/>
        </w:rPr>
        <w:t>i</w:t>
      </w:r>
      <w:r>
        <w:rPr>
          <w:rFonts w:ascii="Arial" w:hAnsi="Arial" w:cs="Arial"/>
          <w:sz w:val="24"/>
          <w:szCs w:val="24"/>
          <w:lang w:val="en-US"/>
        </w:rPr>
        <w:t>nclusion and exclusion criteria of</w:t>
      </w:r>
      <w:r w:rsidRPr="007953CC">
        <w:rPr>
          <w:rFonts w:ascii="Arial" w:hAnsi="Arial" w:cs="Arial"/>
          <w:sz w:val="24"/>
          <w:szCs w:val="24"/>
          <w:lang w:val="en-US"/>
        </w:rPr>
        <w:t xml:space="preserve"> the overarching clinical trial, as well as patients’ s</w:t>
      </w:r>
      <w:r>
        <w:rPr>
          <w:rFonts w:ascii="Arial" w:hAnsi="Arial" w:cs="Arial"/>
          <w:sz w:val="24"/>
          <w:szCs w:val="24"/>
          <w:lang w:val="en-US"/>
        </w:rPr>
        <w:t xml:space="preserve">ociodemographic characteristics, </w:t>
      </w:r>
      <w:r w:rsidRPr="007953CC">
        <w:rPr>
          <w:rFonts w:ascii="Arial" w:hAnsi="Arial" w:cs="Arial"/>
          <w:sz w:val="24"/>
          <w:szCs w:val="24"/>
          <w:lang w:val="en-US"/>
        </w:rPr>
        <w:t xml:space="preserve">comorbid diagnoses, </w:t>
      </w:r>
      <w:r>
        <w:rPr>
          <w:rFonts w:ascii="Arial" w:hAnsi="Arial" w:cs="Arial"/>
          <w:sz w:val="24"/>
          <w:szCs w:val="24"/>
          <w:lang w:val="en-US"/>
        </w:rPr>
        <w:t xml:space="preserve">and questionnaire data </w:t>
      </w:r>
      <w:r w:rsidRPr="007953CC">
        <w:rPr>
          <w:rFonts w:ascii="Arial" w:hAnsi="Arial" w:cs="Arial"/>
          <w:sz w:val="24"/>
          <w:szCs w:val="24"/>
          <w:lang w:val="en-US"/>
        </w:rPr>
        <w:t>are described elsewhere</w:t>
      </w:r>
      <w:r>
        <w:rPr>
          <w:rFonts w:ascii="Arial" w:hAnsi="Arial" w:cs="Arial"/>
          <w:sz w:val="24"/>
          <w:szCs w:val="24"/>
          <w:lang w:val="en-US"/>
        </w:rPr>
        <w:t xml:space="preserve"> (1,2). In short, </w:t>
      </w:r>
      <w:r w:rsidR="00991436">
        <w:rPr>
          <w:rFonts w:ascii="Arial" w:hAnsi="Arial" w:cs="Arial"/>
          <w:sz w:val="24"/>
          <w:szCs w:val="24"/>
          <w:lang w:val="en-US"/>
        </w:rPr>
        <w:t xml:space="preserve">eight German centers recruited patients from ongoing clinical mental health care, physician referral, and via additional advertisements in various media outlets. Inclusion criteria were a) a current DSM-IV-TR primary diagnosis of panic disorder and agoraphobia validated by </w:t>
      </w:r>
      <w:r w:rsidR="00991436" w:rsidRPr="00991436">
        <w:rPr>
          <w:rFonts w:ascii="Arial" w:hAnsi="Arial" w:cs="Arial"/>
          <w:sz w:val="24"/>
          <w:szCs w:val="24"/>
          <w:lang w:val="en-US"/>
        </w:rPr>
        <w:t>standardized computer-administered persona</w:t>
      </w:r>
      <w:r w:rsidR="00991436">
        <w:rPr>
          <w:rFonts w:ascii="Arial" w:hAnsi="Arial" w:cs="Arial"/>
          <w:sz w:val="24"/>
          <w:szCs w:val="24"/>
          <w:lang w:val="en-US"/>
        </w:rPr>
        <w:t xml:space="preserve">l </w:t>
      </w:r>
      <w:r w:rsidR="00991436" w:rsidRPr="00991436">
        <w:rPr>
          <w:rFonts w:ascii="Arial" w:hAnsi="Arial" w:cs="Arial"/>
          <w:sz w:val="24"/>
          <w:szCs w:val="24"/>
          <w:lang w:val="en-US"/>
        </w:rPr>
        <w:t>Composite International Diagnostic Interview</w:t>
      </w:r>
      <w:r w:rsidR="00991436">
        <w:rPr>
          <w:rFonts w:ascii="Arial" w:hAnsi="Arial" w:cs="Arial"/>
          <w:sz w:val="24"/>
          <w:szCs w:val="24"/>
          <w:lang w:val="en-US"/>
        </w:rPr>
        <w:t xml:space="preserve"> </w:t>
      </w:r>
      <w:r w:rsidR="00991436" w:rsidRPr="00991436">
        <w:rPr>
          <w:rFonts w:ascii="Arial" w:hAnsi="Arial" w:cs="Arial"/>
          <w:sz w:val="24"/>
          <w:szCs w:val="24"/>
          <w:lang w:val="en-US"/>
        </w:rPr>
        <w:t>(CAPI-WHO-CIDI; DIAX-CIDI version</w:t>
      </w:r>
      <w:r w:rsidR="00991436">
        <w:rPr>
          <w:rFonts w:ascii="Arial" w:hAnsi="Arial" w:cs="Arial"/>
          <w:sz w:val="24"/>
          <w:szCs w:val="24"/>
          <w:lang w:val="en-US"/>
        </w:rPr>
        <w:t>; 3</w:t>
      </w:r>
      <w:r w:rsidR="00991436" w:rsidRPr="00991436">
        <w:rPr>
          <w:rFonts w:ascii="Arial" w:hAnsi="Arial" w:cs="Arial"/>
          <w:sz w:val="24"/>
          <w:szCs w:val="24"/>
          <w:lang w:val="en-US"/>
        </w:rPr>
        <w:t>); b) a clinical</w:t>
      </w:r>
      <w:r w:rsidR="00991436">
        <w:rPr>
          <w:rFonts w:ascii="Arial" w:hAnsi="Arial" w:cs="Arial"/>
          <w:sz w:val="24"/>
          <w:szCs w:val="24"/>
          <w:lang w:val="en-US"/>
        </w:rPr>
        <w:t xml:space="preserve"> </w:t>
      </w:r>
      <w:r w:rsidR="00991436" w:rsidRPr="00991436">
        <w:rPr>
          <w:rFonts w:ascii="Arial" w:hAnsi="Arial" w:cs="Arial"/>
          <w:sz w:val="24"/>
          <w:szCs w:val="24"/>
          <w:lang w:val="en-US"/>
        </w:rPr>
        <w:t xml:space="preserve">interview score </w:t>
      </w:r>
      <w:r w:rsidR="00991436">
        <w:rPr>
          <w:rFonts w:ascii="Arial" w:hAnsi="Arial" w:cs="Arial"/>
          <w:sz w:val="24"/>
          <w:szCs w:val="24"/>
          <w:lang w:val="en-US"/>
        </w:rPr>
        <w:t>&gt;=</w:t>
      </w:r>
      <w:r w:rsidR="00991436" w:rsidRPr="00991436">
        <w:rPr>
          <w:rFonts w:ascii="Arial" w:hAnsi="Arial" w:cs="Arial"/>
          <w:sz w:val="24"/>
          <w:szCs w:val="24"/>
          <w:lang w:val="en-US"/>
        </w:rPr>
        <w:t>18 on the structured interview guide</w:t>
      </w:r>
      <w:r w:rsidR="00991436">
        <w:rPr>
          <w:rFonts w:ascii="Arial" w:hAnsi="Arial" w:cs="Arial"/>
          <w:sz w:val="24"/>
          <w:szCs w:val="24"/>
          <w:lang w:val="en-US"/>
        </w:rPr>
        <w:t xml:space="preserve"> </w:t>
      </w:r>
      <w:r w:rsidR="00991436" w:rsidRPr="00991436">
        <w:rPr>
          <w:rFonts w:ascii="Arial" w:hAnsi="Arial" w:cs="Arial"/>
          <w:sz w:val="24"/>
          <w:szCs w:val="24"/>
          <w:lang w:val="en-US"/>
        </w:rPr>
        <w:t>for the Hamilton anxiety scale (SIGH-A in anxiety and</w:t>
      </w:r>
      <w:r w:rsidR="00991436">
        <w:rPr>
          <w:rFonts w:ascii="Arial" w:hAnsi="Arial" w:cs="Arial"/>
          <w:sz w:val="24"/>
          <w:szCs w:val="24"/>
          <w:lang w:val="en-US"/>
        </w:rPr>
        <w:t xml:space="preserve"> </w:t>
      </w:r>
      <w:r w:rsidR="00991436" w:rsidRPr="00991436">
        <w:rPr>
          <w:rFonts w:ascii="Arial" w:hAnsi="Arial" w:cs="Arial"/>
          <w:sz w:val="24"/>
          <w:szCs w:val="24"/>
          <w:lang w:val="en-US"/>
        </w:rPr>
        <w:t>depression</w:t>
      </w:r>
      <w:r w:rsidR="00991436">
        <w:rPr>
          <w:rFonts w:ascii="Arial" w:hAnsi="Arial" w:cs="Arial"/>
          <w:sz w:val="24"/>
          <w:szCs w:val="24"/>
          <w:lang w:val="en-US"/>
        </w:rPr>
        <w:t>; 4</w:t>
      </w:r>
      <w:r w:rsidR="00991436" w:rsidRPr="00991436">
        <w:rPr>
          <w:rFonts w:ascii="Arial" w:hAnsi="Arial" w:cs="Arial"/>
          <w:sz w:val="24"/>
          <w:szCs w:val="24"/>
          <w:lang w:val="en-US"/>
        </w:rPr>
        <w:t xml:space="preserve">); c) a score </w:t>
      </w:r>
      <w:r w:rsidR="00991436">
        <w:rPr>
          <w:rFonts w:ascii="Arial" w:hAnsi="Arial" w:cs="Arial"/>
          <w:sz w:val="24"/>
          <w:szCs w:val="24"/>
          <w:lang w:val="en-US"/>
        </w:rPr>
        <w:t>&gt;=</w:t>
      </w:r>
      <w:r w:rsidR="00991436" w:rsidRPr="00991436">
        <w:rPr>
          <w:rFonts w:ascii="Arial" w:hAnsi="Arial" w:cs="Arial"/>
          <w:sz w:val="24"/>
          <w:szCs w:val="24"/>
          <w:lang w:val="en-US"/>
        </w:rPr>
        <w:t>4 on the clinical global impressions</w:t>
      </w:r>
      <w:r w:rsidR="00991436">
        <w:rPr>
          <w:rFonts w:ascii="Arial" w:hAnsi="Arial" w:cs="Arial"/>
          <w:sz w:val="24"/>
          <w:szCs w:val="24"/>
          <w:lang w:val="en-US"/>
        </w:rPr>
        <w:t xml:space="preserve"> </w:t>
      </w:r>
      <w:r w:rsidR="00991436" w:rsidRPr="00991436">
        <w:rPr>
          <w:rFonts w:ascii="Arial" w:hAnsi="Arial" w:cs="Arial"/>
          <w:sz w:val="24"/>
          <w:szCs w:val="24"/>
          <w:lang w:val="en-US"/>
        </w:rPr>
        <w:t>scale (CGI</w:t>
      </w:r>
      <w:r w:rsidR="00991436">
        <w:rPr>
          <w:rFonts w:ascii="Arial" w:hAnsi="Arial" w:cs="Arial"/>
          <w:sz w:val="24"/>
          <w:szCs w:val="24"/>
          <w:lang w:val="en-US"/>
        </w:rPr>
        <w:t>, 5);</w:t>
      </w:r>
      <w:r w:rsidR="00991436" w:rsidRPr="00991436">
        <w:rPr>
          <w:rFonts w:ascii="Arial" w:hAnsi="Arial" w:cs="Arial"/>
          <w:sz w:val="24"/>
          <w:szCs w:val="24"/>
          <w:lang w:val="en-US"/>
        </w:rPr>
        <w:t xml:space="preserve"> d) age 18–65 years; e) ability and</w:t>
      </w:r>
      <w:r w:rsidR="00991436">
        <w:rPr>
          <w:rFonts w:ascii="Arial" w:hAnsi="Arial" w:cs="Arial"/>
          <w:sz w:val="24"/>
          <w:szCs w:val="24"/>
          <w:lang w:val="en-US"/>
        </w:rPr>
        <w:t xml:space="preserve"> </w:t>
      </w:r>
      <w:r w:rsidR="00991436" w:rsidRPr="00991436">
        <w:rPr>
          <w:rFonts w:ascii="Arial" w:hAnsi="Arial" w:cs="Arial"/>
          <w:sz w:val="24"/>
          <w:szCs w:val="24"/>
          <w:lang w:val="en-US"/>
        </w:rPr>
        <w:t>availability to regularly attend treatment sessions.</w:t>
      </w:r>
      <w:r w:rsidR="00AF0F9F">
        <w:rPr>
          <w:rFonts w:ascii="Arial" w:hAnsi="Arial" w:cs="Arial"/>
          <w:sz w:val="24"/>
          <w:szCs w:val="24"/>
          <w:lang w:val="en-US"/>
        </w:rPr>
        <w:t xml:space="preserve"> Exclusion criteria were a) comorbid DSM-IV-TR psychotic or bipolar I disorder; b) current alcohol dependence/current abuse or dependence of benzodiazepine and other psychoactive substances; c) current suicidal intent; d) borderline personality disorder; e) concurrent ongoing psychotherapeutic or psychopharmacological treatment; f) </w:t>
      </w:r>
      <w:r w:rsidR="00AF0F9F" w:rsidRPr="00AF0F9F">
        <w:rPr>
          <w:rFonts w:ascii="Arial" w:hAnsi="Arial" w:cs="Arial"/>
          <w:sz w:val="24"/>
          <w:szCs w:val="24"/>
          <w:lang w:val="en-US"/>
        </w:rPr>
        <w:t>physician-verified contraindications of exposure-base</w:t>
      </w:r>
      <w:r w:rsidR="00AF0F9F">
        <w:rPr>
          <w:rFonts w:ascii="Arial" w:hAnsi="Arial" w:cs="Arial"/>
          <w:sz w:val="24"/>
          <w:szCs w:val="24"/>
          <w:lang w:val="en-US"/>
        </w:rPr>
        <w:t>d cognitive behavioral therapy.</w:t>
      </w:r>
    </w:p>
    <w:p w14:paraId="05B65EBF" w14:textId="77777777" w:rsidR="00AF0F9F" w:rsidRDefault="00AF0F9F" w:rsidP="00AF0F9F">
      <w:pPr>
        <w:ind w:firstLine="425"/>
        <w:rPr>
          <w:rFonts w:ascii="Arial" w:hAnsi="Arial" w:cs="Arial"/>
          <w:sz w:val="24"/>
          <w:szCs w:val="24"/>
          <w:lang w:val="en-US"/>
        </w:rPr>
      </w:pPr>
    </w:p>
    <w:p w14:paraId="2F2570C5" w14:textId="26F93624" w:rsidR="00AF0F9F" w:rsidRPr="00AF0F9F" w:rsidRDefault="00AF0F9F" w:rsidP="00AF0F9F">
      <w:pPr>
        <w:rPr>
          <w:rFonts w:ascii="Arial" w:hAnsi="Arial" w:cs="Arial"/>
          <w:b/>
          <w:bCs/>
          <w:sz w:val="20"/>
          <w:szCs w:val="20"/>
          <w:lang w:val="en-US"/>
        </w:rPr>
      </w:pPr>
      <w:r w:rsidRPr="00AF0F9F">
        <w:rPr>
          <w:rFonts w:ascii="Arial" w:hAnsi="Arial" w:cs="Arial"/>
          <w:b/>
          <w:bCs/>
          <w:sz w:val="20"/>
          <w:szCs w:val="20"/>
          <w:lang w:val="en-US"/>
        </w:rPr>
        <w:t>References</w:t>
      </w:r>
    </w:p>
    <w:p w14:paraId="7661924E" w14:textId="5438ECC4" w:rsidR="007D1A3F" w:rsidRPr="004E2DA1" w:rsidRDefault="007D1A3F" w:rsidP="007D1A3F">
      <w:pPr>
        <w:spacing w:after="40" w:line="240" w:lineRule="auto"/>
        <w:ind w:left="425" w:hanging="425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1. </w:t>
      </w:r>
      <w:proofErr w:type="spellStart"/>
      <w:r w:rsidRPr="004E2DA1">
        <w:rPr>
          <w:rFonts w:ascii="Arial" w:hAnsi="Arial" w:cs="Arial"/>
          <w:sz w:val="20"/>
          <w:szCs w:val="20"/>
          <w:lang w:val="en-US"/>
        </w:rPr>
        <w:t>Gloster</w:t>
      </w:r>
      <w:proofErr w:type="spellEnd"/>
      <w:r w:rsidRPr="004E2DA1">
        <w:rPr>
          <w:rFonts w:ascii="Arial" w:hAnsi="Arial" w:cs="Arial"/>
          <w:sz w:val="20"/>
          <w:szCs w:val="20"/>
          <w:lang w:val="en-US"/>
        </w:rPr>
        <w:t xml:space="preserve"> AT, </w:t>
      </w:r>
      <w:proofErr w:type="spellStart"/>
      <w:r w:rsidRPr="004E2DA1">
        <w:rPr>
          <w:rFonts w:ascii="Arial" w:hAnsi="Arial" w:cs="Arial"/>
          <w:sz w:val="20"/>
          <w:szCs w:val="20"/>
          <w:lang w:val="en-US"/>
        </w:rPr>
        <w:t>Wittchen</w:t>
      </w:r>
      <w:proofErr w:type="spellEnd"/>
      <w:r w:rsidRPr="004E2DA1">
        <w:rPr>
          <w:rFonts w:ascii="Arial" w:hAnsi="Arial" w:cs="Arial"/>
          <w:sz w:val="20"/>
          <w:szCs w:val="20"/>
          <w:lang w:val="en-US"/>
        </w:rPr>
        <w:t xml:space="preserve"> H-U, </w:t>
      </w:r>
      <w:proofErr w:type="spellStart"/>
      <w:r w:rsidRPr="004E2DA1">
        <w:rPr>
          <w:rFonts w:ascii="Arial" w:hAnsi="Arial" w:cs="Arial"/>
          <w:sz w:val="20"/>
          <w:szCs w:val="20"/>
          <w:lang w:val="en-US"/>
        </w:rPr>
        <w:t>Einsle</w:t>
      </w:r>
      <w:proofErr w:type="spellEnd"/>
      <w:r w:rsidRPr="004E2DA1">
        <w:rPr>
          <w:rFonts w:ascii="Arial" w:hAnsi="Arial" w:cs="Arial"/>
          <w:sz w:val="20"/>
          <w:szCs w:val="20"/>
          <w:lang w:val="en-US"/>
        </w:rPr>
        <w:t xml:space="preserve"> F, Lang T, </w:t>
      </w:r>
      <w:proofErr w:type="spellStart"/>
      <w:r w:rsidRPr="004E2DA1">
        <w:rPr>
          <w:rFonts w:ascii="Arial" w:hAnsi="Arial" w:cs="Arial"/>
          <w:sz w:val="20"/>
          <w:szCs w:val="20"/>
          <w:lang w:val="en-US"/>
        </w:rPr>
        <w:t>Helbig</w:t>
      </w:r>
      <w:proofErr w:type="spellEnd"/>
      <w:r w:rsidRPr="004E2DA1">
        <w:rPr>
          <w:rFonts w:ascii="Arial" w:hAnsi="Arial" w:cs="Arial"/>
          <w:sz w:val="20"/>
          <w:szCs w:val="20"/>
          <w:lang w:val="en-US"/>
        </w:rPr>
        <w:t xml:space="preserve">-Lang S, </w:t>
      </w:r>
      <w:proofErr w:type="spellStart"/>
      <w:r w:rsidRPr="004E2DA1">
        <w:rPr>
          <w:rFonts w:ascii="Arial" w:hAnsi="Arial" w:cs="Arial"/>
          <w:sz w:val="20"/>
          <w:szCs w:val="20"/>
          <w:lang w:val="en-US"/>
        </w:rPr>
        <w:t>Fydrich</w:t>
      </w:r>
      <w:proofErr w:type="spellEnd"/>
      <w:r w:rsidRPr="004E2DA1">
        <w:rPr>
          <w:rFonts w:ascii="Arial" w:hAnsi="Arial" w:cs="Arial"/>
          <w:sz w:val="20"/>
          <w:szCs w:val="20"/>
          <w:lang w:val="en-US"/>
        </w:rPr>
        <w:t xml:space="preserve"> T, et al. Psychological Treatment for Panic Disorder </w:t>
      </w:r>
      <w:proofErr w:type="gramStart"/>
      <w:r w:rsidRPr="004E2DA1">
        <w:rPr>
          <w:rFonts w:ascii="Arial" w:hAnsi="Arial" w:cs="Arial"/>
          <w:sz w:val="20"/>
          <w:szCs w:val="20"/>
          <w:lang w:val="en-US"/>
        </w:rPr>
        <w:t>With</w:t>
      </w:r>
      <w:proofErr w:type="gramEnd"/>
      <w:r w:rsidRPr="004E2DA1">
        <w:rPr>
          <w:rFonts w:ascii="Arial" w:hAnsi="Arial" w:cs="Arial"/>
          <w:sz w:val="20"/>
          <w:szCs w:val="20"/>
          <w:lang w:val="en-US"/>
        </w:rPr>
        <w:t xml:space="preserve"> Agoraphobia: A Randomized Controlled Trial to Examine the Role of Therapist-Guided Exposure In Situ in CBT. Journal of consulting and clinical psychology. 2011;79(3):406-20.</w:t>
      </w:r>
    </w:p>
    <w:p w14:paraId="1836A9C2" w14:textId="3ABE5C50" w:rsidR="007D1A3F" w:rsidRDefault="007D1A3F" w:rsidP="007D1A3F">
      <w:pPr>
        <w:spacing w:after="40" w:line="240" w:lineRule="auto"/>
        <w:ind w:left="425" w:hanging="425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2. </w:t>
      </w:r>
      <w:proofErr w:type="spellStart"/>
      <w:r w:rsidRPr="004E2DA1">
        <w:rPr>
          <w:rFonts w:ascii="Arial" w:hAnsi="Arial" w:cs="Arial"/>
          <w:sz w:val="20"/>
          <w:szCs w:val="20"/>
          <w:lang w:val="en-US"/>
        </w:rPr>
        <w:t>Gloster</w:t>
      </w:r>
      <w:proofErr w:type="spellEnd"/>
      <w:r w:rsidRPr="004E2DA1">
        <w:rPr>
          <w:rFonts w:ascii="Arial" w:hAnsi="Arial" w:cs="Arial"/>
          <w:sz w:val="20"/>
          <w:szCs w:val="20"/>
          <w:lang w:val="en-US"/>
        </w:rPr>
        <w:t xml:space="preserve"> AT, </w:t>
      </w:r>
      <w:proofErr w:type="spellStart"/>
      <w:r w:rsidRPr="004E2DA1">
        <w:rPr>
          <w:rFonts w:ascii="Arial" w:hAnsi="Arial" w:cs="Arial"/>
          <w:sz w:val="20"/>
          <w:szCs w:val="20"/>
          <w:lang w:val="en-US"/>
        </w:rPr>
        <w:t>Wittchen</w:t>
      </w:r>
      <w:proofErr w:type="spellEnd"/>
      <w:r w:rsidRPr="004E2DA1">
        <w:rPr>
          <w:rFonts w:ascii="Arial" w:hAnsi="Arial" w:cs="Arial"/>
          <w:sz w:val="20"/>
          <w:szCs w:val="20"/>
          <w:lang w:val="en-US"/>
        </w:rPr>
        <w:t xml:space="preserve"> HU, </w:t>
      </w:r>
      <w:proofErr w:type="spellStart"/>
      <w:r w:rsidRPr="004E2DA1">
        <w:rPr>
          <w:rFonts w:ascii="Arial" w:hAnsi="Arial" w:cs="Arial"/>
          <w:sz w:val="20"/>
          <w:szCs w:val="20"/>
          <w:lang w:val="en-US"/>
        </w:rPr>
        <w:t>Einsle</w:t>
      </w:r>
      <w:proofErr w:type="spellEnd"/>
      <w:r w:rsidRPr="004E2DA1">
        <w:rPr>
          <w:rFonts w:ascii="Arial" w:hAnsi="Arial" w:cs="Arial"/>
          <w:sz w:val="20"/>
          <w:szCs w:val="20"/>
          <w:lang w:val="en-US"/>
        </w:rPr>
        <w:t xml:space="preserve"> F, </w:t>
      </w:r>
      <w:proofErr w:type="spellStart"/>
      <w:r w:rsidRPr="004E2DA1">
        <w:rPr>
          <w:rFonts w:ascii="Arial" w:hAnsi="Arial" w:cs="Arial"/>
          <w:sz w:val="20"/>
          <w:szCs w:val="20"/>
          <w:lang w:val="en-US"/>
        </w:rPr>
        <w:t>Hofler</w:t>
      </w:r>
      <w:proofErr w:type="spellEnd"/>
      <w:r w:rsidRPr="004E2DA1">
        <w:rPr>
          <w:rFonts w:ascii="Arial" w:hAnsi="Arial" w:cs="Arial"/>
          <w:sz w:val="20"/>
          <w:szCs w:val="20"/>
          <w:lang w:val="en-US"/>
        </w:rPr>
        <w:t xml:space="preserve"> M, Lang T, </w:t>
      </w:r>
      <w:proofErr w:type="spellStart"/>
      <w:r w:rsidRPr="004E2DA1">
        <w:rPr>
          <w:rFonts w:ascii="Arial" w:hAnsi="Arial" w:cs="Arial"/>
          <w:sz w:val="20"/>
          <w:szCs w:val="20"/>
          <w:lang w:val="en-US"/>
        </w:rPr>
        <w:t>Helbig</w:t>
      </w:r>
      <w:proofErr w:type="spellEnd"/>
      <w:r w:rsidRPr="004E2DA1">
        <w:rPr>
          <w:rFonts w:ascii="Arial" w:hAnsi="Arial" w:cs="Arial"/>
          <w:sz w:val="20"/>
          <w:szCs w:val="20"/>
          <w:lang w:val="en-US"/>
        </w:rPr>
        <w:t>-Lang S, et al. Mechanism of action in CBT (MAC): methods of a multi-center randomized controlled trial in 369 patients with panic disorder and agoraphobia. European archives of psychiatry and clinical neuroscience. 2009;</w:t>
      </w:r>
      <w:r w:rsidR="00991436">
        <w:rPr>
          <w:rFonts w:ascii="Arial" w:hAnsi="Arial" w:cs="Arial"/>
          <w:sz w:val="20"/>
          <w:szCs w:val="20"/>
          <w:lang w:val="en-US"/>
        </w:rPr>
        <w:t xml:space="preserve"> </w:t>
      </w:r>
      <w:r w:rsidRPr="004E2DA1">
        <w:rPr>
          <w:rFonts w:ascii="Arial" w:hAnsi="Arial" w:cs="Arial"/>
          <w:sz w:val="20"/>
          <w:szCs w:val="20"/>
          <w:lang w:val="en-US"/>
        </w:rPr>
        <w:t>259 Suppl 2:</w:t>
      </w:r>
      <w:r w:rsidR="00991436">
        <w:rPr>
          <w:rFonts w:ascii="Arial" w:hAnsi="Arial" w:cs="Arial"/>
          <w:sz w:val="20"/>
          <w:szCs w:val="20"/>
          <w:lang w:val="en-US"/>
        </w:rPr>
        <w:t xml:space="preserve"> </w:t>
      </w:r>
      <w:r w:rsidRPr="004E2DA1">
        <w:rPr>
          <w:rFonts w:ascii="Arial" w:hAnsi="Arial" w:cs="Arial"/>
          <w:sz w:val="20"/>
          <w:szCs w:val="20"/>
          <w:lang w:val="en-US"/>
        </w:rPr>
        <w:t>S155-66.</w:t>
      </w:r>
    </w:p>
    <w:p w14:paraId="5CCBF15C" w14:textId="170C48E0" w:rsidR="00991436" w:rsidRPr="00991436" w:rsidRDefault="00991436" w:rsidP="00991436">
      <w:pPr>
        <w:spacing w:after="40" w:line="240" w:lineRule="auto"/>
        <w:ind w:left="425" w:hanging="425"/>
        <w:jc w:val="both"/>
        <w:rPr>
          <w:rFonts w:ascii="Arial" w:hAnsi="Arial" w:cs="Arial"/>
          <w:sz w:val="20"/>
          <w:szCs w:val="20"/>
        </w:rPr>
      </w:pPr>
      <w:r w:rsidRPr="00991436">
        <w:rPr>
          <w:rFonts w:ascii="Arial" w:hAnsi="Arial" w:cs="Arial"/>
          <w:sz w:val="20"/>
          <w:szCs w:val="20"/>
          <w:lang w:val="pt-BR"/>
        </w:rPr>
        <w:t xml:space="preserve">3. </w:t>
      </w:r>
      <w:proofErr w:type="spellStart"/>
      <w:r w:rsidRPr="00991436">
        <w:rPr>
          <w:rFonts w:ascii="Arial" w:hAnsi="Arial" w:cs="Arial"/>
          <w:sz w:val="20"/>
          <w:szCs w:val="20"/>
          <w:lang w:val="pt-BR"/>
        </w:rPr>
        <w:t>Wittchen</w:t>
      </w:r>
      <w:proofErr w:type="spellEnd"/>
      <w:r w:rsidRPr="00991436">
        <w:rPr>
          <w:rFonts w:ascii="Arial" w:hAnsi="Arial" w:cs="Arial"/>
          <w:sz w:val="20"/>
          <w:szCs w:val="20"/>
          <w:lang w:val="pt-BR"/>
        </w:rPr>
        <w:t xml:space="preserve"> H-U, </w:t>
      </w:r>
      <w:proofErr w:type="spellStart"/>
      <w:r w:rsidRPr="00991436">
        <w:rPr>
          <w:rFonts w:ascii="Arial" w:hAnsi="Arial" w:cs="Arial"/>
          <w:sz w:val="20"/>
          <w:szCs w:val="20"/>
          <w:lang w:val="pt-BR"/>
        </w:rPr>
        <w:t>Pfister</w:t>
      </w:r>
      <w:proofErr w:type="spellEnd"/>
      <w:r w:rsidRPr="00991436">
        <w:rPr>
          <w:rFonts w:ascii="Arial" w:hAnsi="Arial" w:cs="Arial"/>
          <w:sz w:val="20"/>
          <w:szCs w:val="20"/>
          <w:lang w:val="pt-BR"/>
        </w:rPr>
        <w:t xml:space="preserve"> H</w:t>
      </w:r>
      <w:r>
        <w:rPr>
          <w:rFonts w:ascii="Arial" w:hAnsi="Arial" w:cs="Arial"/>
          <w:sz w:val="20"/>
          <w:szCs w:val="20"/>
          <w:lang w:val="pt-BR"/>
        </w:rPr>
        <w:t xml:space="preserve">. </w:t>
      </w:r>
      <w:r w:rsidRPr="00991436">
        <w:rPr>
          <w:rFonts w:ascii="Arial" w:hAnsi="Arial" w:cs="Arial"/>
          <w:sz w:val="20"/>
          <w:szCs w:val="20"/>
          <w:lang w:val="pt-BR"/>
        </w:rPr>
        <w:t xml:space="preserve">DIA-X Interview. </w:t>
      </w:r>
      <w:r w:rsidRPr="00991436">
        <w:rPr>
          <w:rFonts w:ascii="Arial" w:hAnsi="Arial" w:cs="Arial"/>
          <w:sz w:val="20"/>
          <w:szCs w:val="20"/>
        </w:rPr>
        <w:t>Instruktionsmanual</w:t>
      </w:r>
      <w:r w:rsidRPr="00991436">
        <w:rPr>
          <w:rFonts w:ascii="Arial" w:hAnsi="Arial" w:cs="Arial"/>
          <w:sz w:val="20"/>
          <w:szCs w:val="20"/>
        </w:rPr>
        <w:t xml:space="preserve"> </w:t>
      </w:r>
      <w:r w:rsidRPr="00991436">
        <w:rPr>
          <w:rFonts w:ascii="Arial" w:hAnsi="Arial" w:cs="Arial"/>
          <w:sz w:val="20"/>
          <w:szCs w:val="20"/>
        </w:rPr>
        <w:t>zur Durchf</w:t>
      </w:r>
      <w:r w:rsidRPr="00991436">
        <w:rPr>
          <w:rFonts w:ascii="Arial" w:hAnsi="Arial" w:cs="Arial"/>
          <w:sz w:val="20"/>
          <w:szCs w:val="20"/>
        </w:rPr>
        <w:t>ü</w:t>
      </w:r>
      <w:r w:rsidRPr="00991436">
        <w:rPr>
          <w:rFonts w:ascii="Arial" w:hAnsi="Arial" w:cs="Arial"/>
          <w:sz w:val="20"/>
          <w:szCs w:val="20"/>
        </w:rPr>
        <w:t>hrung von DIA-X-Interviews (</w:t>
      </w:r>
      <w:proofErr w:type="spellStart"/>
      <w:r w:rsidRPr="00991436">
        <w:rPr>
          <w:rFonts w:ascii="Arial" w:hAnsi="Arial" w:cs="Arial"/>
          <w:sz w:val="20"/>
          <w:szCs w:val="20"/>
        </w:rPr>
        <w:t>Instruction</w:t>
      </w:r>
      <w:proofErr w:type="spellEnd"/>
      <w:r w:rsidRPr="0099143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91436">
        <w:rPr>
          <w:rFonts w:ascii="Arial" w:hAnsi="Arial" w:cs="Arial"/>
          <w:sz w:val="20"/>
          <w:szCs w:val="20"/>
        </w:rPr>
        <w:t>manual</w:t>
      </w:r>
      <w:proofErr w:type="spellEnd"/>
      <w:r w:rsidRPr="0099143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91436">
        <w:rPr>
          <w:rFonts w:ascii="Arial" w:hAnsi="Arial" w:cs="Arial"/>
          <w:sz w:val="20"/>
          <w:szCs w:val="20"/>
        </w:rPr>
        <w:t>for</w:t>
      </w:r>
      <w:proofErr w:type="spellEnd"/>
      <w:r w:rsidRPr="0099143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91436">
        <w:rPr>
          <w:rFonts w:ascii="Arial" w:hAnsi="Arial" w:cs="Arial"/>
          <w:sz w:val="20"/>
          <w:szCs w:val="20"/>
        </w:rPr>
        <w:t>the</w:t>
      </w:r>
      <w:proofErr w:type="spellEnd"/>
      <w:r w:rsidRPr="00991436">
        <w:rPr>
          <w:rFonts w:ascii="Arial" w:hAnsi="Arial" w:cs="Arial"/>
          <w:sz w:val="20"/>
          <w:szCs w:val="20"/>
        </w:rPr>
        <w:t xml:space="preserve"> DIA-X-Interview). </w:t>
      </w:r>
      <w:proofErr w:type="spellStart"/>
      <w:r w:rsidRPr="00991436">
        <w:rPr>
          <w:rFonts w:ascii="Arial" w:hAnsi="Arial" w:cs="Arial"/>
          <w:sz w:val="20"/>
          <w:szCs w:val="20"/>
        </w:rPr>
        <w:t>Swets</w:t>
      </w:r>
      <w:proofErr w:type="spellEnd"/>
      <w:r w:rsidRPr="00991436">
        <w:rPr>
          <w:rFonts w:ascii="Arial" w:hAnsi="Arial" w:cs="Arial"/>
          <w:sz w:val="20"/>
          <w:szCs w:val="20"/>
        </w:rPr>
        <w:t xml:space="preserve"> &amp; </w:t>
      </w:r>
      <w:proofErr w:type="spellStart"/>
      <w:r w:rsidRPr="00991436">
        <w:rPr>
          <w:rFonts w:ascii="Arial" w:hAnsi="Arial" w:cs="Arial"/>
          <w:sz w:val="20"/>
          <w:szCs w:val="20"/>
        </w:rPr>
        <w:t>Zeitlinger</w:t>
      </w:r>
      <w:proofErr w:type="spellEnd"/>
      <w:r w:rsidRPr="00991436">
        <w:rPr>
          <w:rFonts w:ascii="Arial" w:hAnsi="Arial" w:cs="Arial"/>
          <w:sz w:val="20"/>
          <w:szCs w:val="20"/>
        </w:rPr>
        <w:t>, Frankfurt</w:t>
      </w:r>
      <w:r w:rsidRPr="00991436">
        <w:rPr>
          <w:rFonts w:ascii="Arial" w:hAnsi="Arial" w:cs="Arial"/>
          <w:sz w:val="20"/>
          <w:szCs w:val="20"/>
        </w:rPr>
        <w:t>.</w:t>
      </w:r>
      <w:r w:rsidR="00AF0F9F">
        <w:rPr>
          <w:rFonts w:ascii="Arial" w:hAnsi="Arial" w:cs="Arial"/>
          <w:sz w:val="20"/>
          <w:szCs w:val="20"/>
        </w:rPr>
        <w:t xml:space="preserve"> 1997.</w:t>
      </w:r>
    </w:p>
    <w:p w14:paraId="6C70C734" w14:textId="6165A427" w:rsidR="00991436" w:rsidRDefault="00991436" w:rsidP="00991436">
      <w:pPr>
        <w:spacing w:after="40" w:line="240" w:lineRule="auto"/>
        <w:ind w:left="425" w:hanging="425"/>
        <w:jc w:val="both"/>
        <w:rPr>
          <w:rFonts w:ascii="Arial" w:hAnsi="Arial" w:cs="Arial"/>
          <w:sz w:val="20"/>
          <w:szCs w:val="20"/>
          <w:lang w:val="en-US"/>
        </w:rPr>
      </w:pPr>
      <w:r w:rsidRPr="00AF0F9F">
        <w:rPr>
          <w:rFonts w:ascii="Arial" w:hAnsi="Arial" w:cs="Arial"/>
          <w:sz w:val="20"/>
          <w:szCs w:val="20"/>
        </w:rPr>
        <w:lastRenderedPageBreak/>
        <w:t xml:space="preserve">4. </w:t>
      </w:r>
      <w:proofErr w:type="spellStart"/>
      <w:r w:rsidRPr="00AF0F9F">
        <w:rPr>
          <w:rFonts w:ascii="Arial" w:hAnsi="Arial" w:cs="Arial"/>
          <w:sz w:val="20"/>
          <w:szCs w:val="20"/>
        </w:rPr>
        <w:t>Shear</w:t>
      </w:r>
      <w:proofErr w:type="spellEnd"/>
      <w:r w:rsidRPr="00AF0F9F">
        <w:rPr>
          <w:rFonts w:ascii="Arial" w:hAnsi="Arial" w:cs="Arial"/>
          <w:sz w:val="20"/>
          <w:szCs w:val="20"/>
        </w:rPr>
        <w:t xml:space="preserve"> MK, </w:t>
      </w:r>
      <w:proofErr w:type="spellStart"/>
      <w:r w:rsidRPr="00AF0F9F">
        <w:rPr>
          <w:rFonts w:ascii="Arial" w:hAnsi="Arial" w:cs="Arial"/>
          <w:sz w:val="20"/>
          <w:szCs w:val="20"/>
        </w:rPr>
        <w:t>Vander</w:t>
      </w:r>
      <w:proofErr w:type="spellEnd"/>
      <w:r w:rsidRPr="00AF0F9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F0F9F">
        <w:rPr>
          <w:rFonts w:ascii="Arial" w:hAnsi="Arial" w:cs="Arial"/>
          <w:sz w:val="20"/>
          <w:szCs w:val="20"/>
        </w:rPr>
        <w:t>Bilt</w:t>
      </w:r>
      <w:proofErr w:type="spellEnd"/>
      <w:r w:rsidRPr="00AF0F9F">
        <w:rPr>
          <w:rFonts w:ascii="Arial" w:hAnsi="Arial" w:cs="Arial"/>
          <w:sz w:val="20"/>
          <w:szCs w:val="20"/>
        </w:rPr>
        <w:t xml:space="preserve"> J, </w:t>
      </w:r>
      <w:proofErr w:type="spellStart"/>
      <w:r w:rsidRPr="00AF0F9F">
        <w:rPr>
          <w:rFonts w:ascii="Arial" w:hAnsi="Arial" w:cs="Arial"/>
          <w:sz w:val="20"/>
          <w:szCs w:val="20"/>
        </w:rPr>
        <w:t>Rucci</w:t>
      </w:r>
      <w:proofErr w:type="spellEnd"/>
      <w:r w:rsidRPr="00AF0F9F">
        <w:rPr>
          <w:rFonts w:ascii="Arial" w:hAnsi="Arial" w:cs="Arial"/>
          <w:sz w:val="20"/>
          <w:szCs w:val="20"/>
        </w:rPr>
        <w:t xml:space="preserve"> P, Endicott J, </w:t>
      </w:r>
      <w:proofErr w:type="spellStart"/>
      <w:r w:rsidRPr="00AF0F9F">
        <w:rPr>
          <w:rFonts w:ascii="Arial" w:hAnsi="Arial" w:cs="Arial"/>
          <w:sz w:val="20"/>
          <w:szCs w:val="20"/>
        </w:rPr>
        <w:t>Lydiard</w:t>
      </w:r>
      <w:proofErr w:type="spellEnd"/>
      <w:r w:rsidRPr="00AF0F9F">
        <w:rPr>
          <w:rFonts w:ascii="Arial" w:hAnsi="Arial" w:cs="Arial"/>
          <w:sz w:val="20"/>
          <w:szCs w:val="20"/>
        </w:rPr>
        <w:t xml:space="preserve"> B, Otto</w:t>
      </w:r>
      <w:r w:rsidRPr="00AF0F9F">
        <w:rPr>
          <w:rFonts w:ascii="Arial" w:hAnsi="Arial" w:cs="Arial"/>
          <w:sz w:val="20"/>
          <w:szCs w:val="20"/>
        </w:rPr>
        <w:t xml:space="preserve"> </w:t>
      </w:r>
      <w:r w:rsidRPr="00991436">
        <w:rPr>
          <w:rFonts w:ascii="Arial" w:hAnsi="Arial" w:cs="Arial"/>
          <w:sz w:val="20"/>
          <w:szCs w:val="20"/>
        </w:rPr>
        <w:t>MW et al</w:t>
      </w:r>
      <w:r w:rsidR="00AF0F9F" w:rsidRPr="00AF0F9F">
        <w:rPr>
          <w:rFonts w:ascii="Arial" w:hAnsi="Arial" w:cs="Arial"/>
          <w:sz w:val="20"/>
          <w:szCs w:val="20"/>
        </w:rPr>
        <w:t xml:space="preserve">. </w:t>
      </w:r>
      <w:r w:rsidRPr="00991436">
        <w:rPr>
          <w:rFonts w:ascii="Arial" w:hAnsi="Arial" w:cs="Arial"/>
          <w:sz w:val="20"/>
          <w:szCs w:val="20"/>
          <w:lang w:val="en-US"/>
        </w:rPr>
        <w:t>Reliability and validity of a structured interview</w:t>
      </w:r>
      <w:r w:rsidRPr="00AF0F9F">
        <w:rPr>
          <w:rFonts w:ascii="Arial" w:hAnsi="Arial" w:cs="Arial"/>
          <w:sz w:val="20"/>
          <w:szCs w:val="20"/>
          <w:lang w:val="en-US"/>
        </w:rPr>
        <w:t xml:space="preserve"> </w:t>
      </w:r>
      <w:r w:rsidRPr="00991436">
        <w:rPr>
          <w:rFonts w:ascii="Arial" w:hAnsi="Arial" w:cs="Arial"/>
          <w:sz w:val="20"/>
          <w:szCs w:val="20"/>
          <w:lang w:val="en-US"/>
        </w:rPr>
        <w:t>guide for the Hamilton anxiety rating scale (SIGH-A). Depress</w:t>
      </w:r>
      <w:r w:rsidRPr="00AF0F9F">
        <w:rPr>
          <w:rFonts w:ascii="Arial" w:hAnsi="Arial" w:cs="Arial"/>
          <w:sz w:val="20"/>
          <w:szCs w:val="20"/>
          <w:lang w:val="en-US"/>
        </w:rPr>
        <w:t xml:space="preserve"> and </w:t>
      </w:r>
      <w:r w:rsidRPr="00AF0F9F">
        <w:rPr>
          <w:rFonts w:ascii="Arial" w:hAnsi="Arial" w:cs="Arial"/>
          <w:sz w:val="20"/>
          <w:szCs w:val="20"/>
          <w:lang w:val="en-US"/>
        </w:rPr>
        <w:t>Anxiety</w:t>
      </w:r>
      <w:r w:rsidRPr="00AF0F9F">
        <w:rPr>
          <w:rFonts w:ascii="Arial" w:hAnsi="Arial" w:cs="Arial"/>
          <w:sz w:val="20"/>
          <w:szCs w:val="20"/>
          <w:lang w:val="en-US"/>
        </w:rPr>
        <w:t>.</w:t>
      </w:r>
      <w:r w:rsidRPr="00AF0F9F">
        <w:rPr>
          <w:rFonts w:ascii="Arial" w:hAnsi="Arial" w:cs="Arial"/>
          <w:sz w:val="20"/>
          <w:szCs w:val="20"/>
          <w:lang w:val="en-US"/>
        </w:rPr>
        <w:t xml:space="preserve"> </w:t>
      </w:r>
      <w:r w:rsidR="00AF0F9F">
        <w:rPr>
          <w:rFonts w:ascii="Arial" w:hAnsi="Arial" w:cs="Arial"/>
          <w:sz w:val="20"/>
          <w:szCs w:val="20"/>
          <w:lang w:val="en-US"/>
        </w:rPr>
        <w:t xml:space="preserve">2001; </w:t>
      </w:r>
      <w:r w:rsidRPr="00AF0F9F">
        <w:rPr>
          <w:rFonts w:ascii="Arial" w:hAnsi="Arial" w:cs="Arial"/>
          <w:sz w:val="20"/>
          <w:szCs w:val="20"/>
          <w:lang w:val="en-US"/>
        </w:rPr>
        <w:t>13</w:t>
      </w:r>
      <w:r w:rsidRPr="00AF0F9F">
        <w:rPr>
          <w:rFonts w:ascii="Arial" w:hAnsi="Arial" w:cs="Arial"/>
          <w:sz w:val="20"/>
          <w:szCs w:val="20"/>
          <w:lang w:val="en-US"/>
        </w:rPr>
        <w:t xml:space="preserve"> </w:t>
      </w:r>
      <w:r w:rsidRPr="00AF0F9F">
        <w:rPr>
          <w:rFonts w:ascii="Arial" w:hAnsi="Arial" w:cs="Arial"/>
          <w:sz w:val="20"/>
          <w:szCs w:val="20"/>
          <w:lang w:val="en-US"/>
        </w:rPr>
        <w:t>(4):</w:t>
      </w:r>
      <w:r w:rsidRPr="00AF0F9F">
        <w:rPr>
          <w:rFonts w:ascii="Arial" w:hAnsi="Arial" w:cs="Arial"/>
          <w:sz w:val="20"/>
          <w:szCs w:val="20"/>
          <w:lang w:val="en-US"/>
        </w:rPr>
        <w:t xml:space="preserve"> </w:t>
      </w:r>
      <w:r w:rsidRPr="00AF0F9F">
        <w:rPr>
          <w:rFonts w:ascii="Arial" w:hAnsi="Arial" w:cs="Arial"/>
          <w:sz w:val="20"/>
          <w:szCs w:val="20"/>
          <w:lang w:val="en-US"/>
        </w:rPr>
        <w:t>166–178</w:t>
      </w:r>
      <w:r w:rsidRPr="00AF0F9F">
        <w:rPr>
          <w:rFonts w:ascii="Arial" w:hAnsi="Arial" w:cs="Arial"/>
          <w:sz w:val="20"/>
          <w:szCs w:val="20"/>
          <w:lang w:val="en-US"/>
        </w:rPr>
        <w:t>.</w:t>
      </w:r>
    </w:p>
    <w:p w14:paraId="13575CA3" w14:textId="174682EA" w:rsidR="00AF0F9F" w:rsidRPr="00AF0F9F" w:rsidRDefault="00AF0F9F" w:rsidP="00AF0F9F">
      <w:pPr>
        <w:spacing w:after="40" w:line="240" w:lineRule="auto"/>
        <w:ind w:left="425" w:hanging="425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5. </w:t>
      </w:r>
      <w:r w:rsidRPr="00AF0F9F">
        <w:rPr>
          <w:rFonts w:ascii="Arial" w:hAnsi="Arial" w:cs="Arial"/>
          <w:sz w:val="20"/>
          <w:szCs w:val="20"/>
          <w:lang w:val="en-US"/>
        </w:rPr>
        <w:t>Guy W</w:t>
      </w:r>
      <w:r>
        <w:rPr>
          <w:rFonts w:ascii="Arial" w:hAnsi="Arial" w:cs="Arial"/>
          <w:sz w:val="20"/>
          <w:szCs w:val="20"/>
          <w:lang w:val="en-US"/>
        </w:rPr>
        <w:t xml:space="preserve">. </w:t>
      </w:r>
      <w:r w:rsidRPr="00AF0F9F">
        <w:rPr>
          <w:rFonts w:ascii="Arial" w:hAnsi="Arial" w:cs="Arial"/>
          <w:sz w:val="20"/>
          <w:szCs w:val="20"/>
          <w:lang w:val="en-US"/>
        </w:rPr>
        <w:t>Clinical global impression. In: Guy W (ed) ECDEU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AF0F9F">
        <w:rPr>
          <w:rFonts w:ascii="Arial" w:hAnsi="Arial" w:cs="Arial"/>
          <w:sz w:val="20"/>
          <w:szCs w:val="20"/>
          <w:lang w:val="en-US"/>
        </w:rPr>
        <w:t>assessment manual for psychopharmacology, revised.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AF0F9F">
        <w:rPr>
          <w:rFonts w:ascii="Arial" w:hAnsi="Arial" w:cs="Arial"/>
          <w:sz w:val="20"/>
          <w:szCs w:val="20"/>
          <w:lang w:val="en-US"/>
        </w:rPr>
        <w:t xml:space="preserve">National </w:t>
      </w:r>
      <w:proofErr w:type="spellStart"/>
      <w:r w:rsidRPr="00AF0F9F">
        <w:rPr>
          <w:rFonts w:ascii="Arial" w:hAnsi="Arial" w:cs="Arial"/>
          <w:sz w:val="20"/>
          <w:szCs w:val="20"/>
          <w:lang w:val="en-US"/>
        </w:rPr>
        <w:t>Insitute</w:t>
      </w:r>
      <w:proofErr w:type="spellEnd"/>
      <w:r w:rsidRPr="00AF0F9F">
        <w:rPr>
          <w:rFonts w:ascii="Arial" w:hAnsi="Arial" w:cs="Arial"/>
          <w:sz w:val="20"/>
          <w:szCs w:val="20"/>
          <w:lang w:val="en-US"/>
        </w:rPr>
        <w:t xml:space="preserve"> of Mental Health, Rockville, </w:t>
      </w:r>
      <w:r>
        <w:rPr>
          <w:rFonts w:ascii="Arial" w:hAnsi="Arial" w:cs="Arial"/>
          <w:sz w:val="20"/>
          <w:szCs w:val="20"/>
          <w:lang w:val="en-US"/>
        </w:rPr>
        <w:t xml:space="preserve">1976; </w:t>
      </w:r>
      <w:r w:rsidRPr="00AF0F9F">
        <w:rPr>
          <w:rFonts w:ascii="Arial" w:hAnsi="Arial" w:cs="Arial"/>
          <w:sz w:val="20"/>
          <w:szCs w:val="20"/>
          <w:lang w:val="en-US"/>
        </w:rPr>
        <w:t>pp 217–222</w:t>
      </w:r>
      <w:r>
        <w:rPr>
          <w:rFonts w:ascii="Arial" w:hAnsi="Arial" w:cs="Arial"/>
          <w:sz w:val="20"/>
          <w:szCs w:val="20"/>
          <w:lang w:val="en-US"/>
        </w:rPr>
        <w:t>.</w:t>
      </w:r>
    </w:p>
    <w:p w14:paraId="0A2E8C2D" w14:textId="77777777" w:rsidR="007D1A3F" w:rsidRPr="00AF0F9F" w:rsidRDefault="007D1A3F" w:rsidP="00A36F1D">
      <w:pPr>
        <w:rPr>
          <w:lang w:val="en-US"/>
        </w:rPr>
      </w:pPr>
    </w:p>
    <w:sectPr w:rsidR="007D1A3F" w:rsidRPr="00AF0F9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F1D"/>
    <w:rsid w:val="00127E5E"/>
    <w:rsid w:val="0023715B"/>
    <w:rsid w:val="003E105E"/>
    <w:rsid w:val="00575B67"/>
    <w:rsid w:val="007D1A3F"/>
    <w:rsid w:val="0089080D"/>
    <w:rsid w:val="00991436"/>
    <w:rsid w:val="00A36F1D"/>
    <w:rsid w:val="00A8331A"/>
    <w:rsid w:val="00AF0F9F"/>
    <w:rsid w:val="00EE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C761EF"/>
  <w15:chartTrackingRefBased/>
  <w15:docId w15:val="{4E76C1AC-7A6B-5A49-A1C7-AF7F7FB4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36F1D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anda">
    <w:name w:val="Standa"/>
    <w:uiPriority w:val="99"/>
    <w:rsid w:val="00A36F1D"/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Richter</dc:creator>
  <cp:keywords/>
  <dc:description/>
  <cp:lastModifiedBy>Jan Richter</cp:lastModifiedBy>
  <cp:revision>2</cp:revision>
  <dcterms:created xsi:type="dcterms:W3CDTF">2021-02-18T15:55:00Z</dcterms:created>
  <dcterms:modified xsi:type="dcterms:W3CDTF">2021-02-18T16:30:00Z</dcterms:modified>
</cp:coreProperties>
</file>