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670" w:rsidRDefault="000B0670" w:rsidP="000B0670">
      <w:pPr>
        <w:pStyle w:val="NoSpacing"/>
        <w:jc w:val="center"/>
      </w:pPr>
      <w:r>
        <w:t>Reduced dispersibility of flushable wet wipes after wet storage</w:t>
      </w:r>
    </w:p>
    <w:p w:rsidR="00B4075C" w:rsidRDefault="000B0670" w:rsidP="00B4075C">
      <w:pPr>
        <w:pStyle w:val="NoSpacing"/>
        <w:jc w:val="center"/>
        <w:rPr>
          <w:lang w:val="de-AT"/>
        </w:rPr>
      </w:pPr>
      <w:r w:rsidRPr="000B0670">
        <w:rPr>
          <w:lang w:val="de-AT"/>
        </w:rPr>
        <w:t>Thomas Harter, Ingo Bernt, Stefanie Winkler &amp; Ulrich Hirn</w:t>
      </w:r>
    </w:p>
    <w:p w:rsidR="000B0670" w:rsidRPr="000B0670" w:rsidRDefault="000B0670" w:rsidP="00B4075C">
      <w:pPr>
        <w:pStyle w:val="NoSpacing"/>
        <w:jc w:val="center"/>
        <w:rPr>
          <w:lang w:val="de-AT"/>
        </w:rPr>
      </w:pPr>
    </w:p>
    <w:p w:rsidR="00B4075C" w:rsidRPr="00B4075C" w:rsidRDefault="00B4075C" w:rsidP="00B4075C">
      <w:pPr>
        <w:pStyle w:val="NoSpacing"/>
        <w:jc w:val="center"/>
        <w:rPr>
          <w:b/>
        </w:rPr>
      </w:pPr>
      <w:r w:rsidRPr="00B4075C">
        <w:rPr>
          <w:b/>
        </w:rPr>
        <w:t>Supplementary File</w:t>
      </w:r>
    </w:p>
    <w:p w:rsidR="00B4075C" w:rsidRPr="00B4075C" w:rsidRDefault="00B4075C" w:rsidP="00B4075C">
      <w:pPr>
        <w:pStyle w:val="NoSpacing"/>
      </w:pPr>
    </w:p>
    <w:p w:rsidR="00B4075C" w:rsidRPr="00B4075C" w:rsidRDefault="00B4075C" w:rsidP="00B4075C">
      <w:pPr>
        <w:pStyle w:val="NoSpacing"/>
      </w:pPr>
      <w:r w:rsidRPr="00B4075C">
        <w:t xml:space="preserve">Detailed description of the differences in </w:t>
      </w:r>
      <w:proofErr w:type="spellStart"/>
      <w:r w:rsidRPr="00B4075C">
        <w:t>flushability</w:t>
      </w:r>
      <w:proofErr w:type="spellEnd"/>
      <w:r w:rsidRPr="00B4075C">
        <w:t xml:space="preserve"> measurements between the article and INDA/EDANA GD4</w:t>
      </w:r>
    </w:p>
    <w:p w:rsidR="00B4075C" w:rsidRPr="00B4075C" w:rsidRDefault="00B4075C" w:rsidP="00B4075C">
      <w:pPr>
        <w:pStyle w:val="NoSpacing"/>
      </w:pPr>
    </w:p>
    <w:p w:rsidR="00B4075C" w:rsidRDefault="00B4075C" w:rsidP="00B4075C">
      <w:pPr>
        <w:pStyle w:val="NoSpacing"/>
      </w:pPr>
      <w:r w:rsidRPr="00B4075C">
        <w:t xml:space="preserve">The differences are summarized in </w:t>
      </w:r>
      <w:r>
        <w:t>Supplementary Table 1</w:t>
      </w:r>
      <w:r w:rsidRPr="00B4075C">
        <w:t>.</w:t>
      </w:r>
    </w:p>
    <w:p w:rsidR="00B4075C" w:rsidRDefault="00B4075C" w:rsidP="00B4075C">
      <w:pPr>
        <w:pStyle w:val="NoSpacing"/>
      </w:pPr>
    </w:p>
    <w:tbl>
      <w:tblPr>
        <w:tblStyle w:val="TableGrid"/>
        <w:tblW w:w="9072" w:type="dxa"/>
        <w:tblInd w:w="-5" w:type="dxa"/>
        <w:tblLook w:val="04A0" w:firstRow="1" w:lastRow="0" w:firstColumn="1" w:lastColumn="0" w:noHBand="0" w:noVBand="1"/>
      </w:tblPr>
      <w:tblGrid>
        <w:gridCol w:w="4111"/>
        <w:gridCol w:w="2410"/>
        <w:gridCol w:w="2551"/>
      </w:tblGrid>
      <w:tr w:rsidR="00133107" w:rsidRPr="00E03DC1" w:rsidTr="00EA3806">
        <w:tc>
          <w:tcPr>
            <w:tcW w:w="4111" w:type="dxa"/>
            <w:tcBorders>
              <w:top w:val="single" w:sz="4" w:space="0" w:color="auto"/>
              <w:left w:val="single" w:sz="4" w:space="0" w:color="auto"/>
              <w:bottom w:val="single" w:sz="4" w:space="0" w:color="auto"/>
              <w:right w:val="single" w:sz="4" w:space="0" w:color="auto"/>
            </w:tcBorders>
            <w:vAlign w:val="center"/>
          </w:tcPr>
          <w:p w:rsidR="00133107" w:rsidRPr="00E03DC1" w:rsidRDefault="00133107" w:rsidP="00EA3806">
            <w:pPr>
              <w:rPr>
                <w:rFonts w:cstheme="minorHAnsi"/>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rPr>
            </w:pPr>
            <w:r w:rsidRPr="00E03DC1">
              <w:rPr>
                <w:rFonts w:cstheme="minorHAnsi"/>
                <w:b/>
                <w:bCs/>
                <w:color w:val="000000"/>
              </w:rPr>
              <w:t>INDA EDANA GD 4</w:t>
            </w:r>
          </w:p>
        </w:tc>
        <w:tc>
          <w:tcPr>
            <w:tcW w:w="255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b/>
                <w:bCs/>
              </w:rPr>
            </w:pPr>
            <w:r>
              <w:rPr>
                <w:rFonts w:cstheme="minorHAnsi"/>
                <w:b/>
                <w:bCs/>
              </w:rPr>
              <w:t>This study</w:t>
            </w:r>
          </w:p>
        </w:tc>
      </w:tr>
      <w:tr w:rsidR="00133107" w:rsidRPr="00E03DC1" w:rsidTr="00EA3806">
        <w:tc>
          <w:tcPr>
            <w:tcW w:w="4111" w:type="dxa"/>
            <w:tcBorders>
              <w:top w:val="single" w:sz="4" w:space="0" w:color="auto"/>
              <w:left w:val="single" w:sz="4" w:space="0" w:color="auto"/>
              <w:bottom w:val="single" w:sz="4" w:space="0" w:color="auto"/>
              <w:right w:val="single" w:sz="4" w:space="0" w:color="auto"/>
            </w:tcBorders>
            <w:vAlign w:val="center"/>
          </w:tcPr>
          <w:p w:rsidR="00133107" w:rsidRPr="00E03DC1" w:rsidRDefault="00133107" w:rsidP="00EA3806">
            <w:pPr>
              <w:rPr>
                <w:rFonts w:cstheme="minorHAnsi"/>
              </w:rPr>
            </w:pPr>
          </w:p>
        </w:tc>
        <w:tc>
          <w:tcPr>
            <w:tcW w:w="2410" w:type="dxa"/>
            <w:tcBorders>
              <w:top w:val="single" w:sz="4" w:space="0" w:color="auto"/>
              <w:left w:val="single" w:sz="4" w:space="0" w:color="auto"/>
              <w:bottom w:val="single" w:sz="4" w:space="0" w:color="auto"/>
              <w:right w:val="single" w:sz="4" w:space="0" w:color="auto"/>
            </w:tcBorders>
            <w:vAlign w:val="center"/>
          </w:tcPr>
          <w:p w:rsidR="00133107" w:rsidRPr="00E03DC1" w:rsidRDefault="00133107" w:rsidP="00EA3806">
            <w:pPr>
              <w:rPr>
                <w:rFonts w:cstheme="minorHAnsi"/>
              </w:rPr>
            </w:pPr>
          </w:p>
        </w:tc>
        <w:tc>
          <w:tcPr>
            <w:tcW w:w="2551" w:type="dxa"/>
            <w:tcBorders>
              <w:top w:val="single" w:sz="4" w:space="0" w:color="auto"/>
              <w:left w:val="single" w:sz="4" w:space="0" w:color="auto"/>
              <w:bottom w:val="single" w:sz="4" w:space="0" w:color="auto"/>
              <w:right w:val="single" w:sz="4" w:space="0" w:color="auto"/>
            </w:tcBorders>
            <w:vAlign w:val="center"/>
          </w:tcPr>
          <w:p w:rsidR="00133107" w:rsidRPr="00E03DC1" w:rsidRDefault="00133107" w:rsidP="00EA3806">
            <w:pPr>
              <w:rPr>
                <w:rFonts w:cstheme="minorHAnsi"/>
              </w:rPr>
            </w:pPr>
          </w:p>
        </w:tc>
      </w:tr>
      <w:tr w:rsidR="00133107" w:rsidRPr="00E03DC1" w:rsidTr="00EA3806">
        <w:tc>
          <w:tcPr>
            <w:tcW w:w="411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rPr>
                <w:rFonts w:cstheme="minorHAnsi"/>
              </w:rPr>
            </w:pPr>
            <w:r w:rsidRPr="00E03DC1">
              <w:rPr>
                <w:rFonts w:cstheme="minorHAnsi"/>
                <w:b/>
                <w:bCs/>
                <w:color w:val="000000"/>
              </w:rPr>
              <w:t>Evaluation replicants (each)</w:t>
            </w:r>
          </w:p>
        </w:tc>
        <w:tc>
          <w:tcPr>
            <w:tcW w:w="2410"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rPr>
            </w:pPr>
            <w:r w:rsidRPr="00E03DC1">
              <w:rPr>
                <w:rFonts w:cstheme="minorHAnsi"/>
                <w:color w:val="000000"/>
              </w:rPr>
              <w:t>6</w:t>
            </w:r>
          </w:p>
        </w:tc>
        <w:tc>
          <w:tcPr>
            <w:tcW w:w="255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rPr>
            </w:pPr>
            <w:r w:rsidRPr="00E03DC1">
              <w:rPr>
                <w:rFonts w:cstheme="minorHAnsi"/>
                <w:color w:val="000000"/>
              </w:rPr>
              <w:t>3</w:t>
            </w:r>
          </w:p>
        </w:tc>
      </w:tr>
      <w:tr w:rsidR="00133107" w:rsidRPr="00E03DC1" w:rsidTr="00EA3806">
        <w:tc>
          <w:tcPr>
            <w:tcW w:w="411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rPr>
                <w:rFonts w:cstheme="minorHAnsi"/>
                <w:b/>
                <w:bCs/>
                <w:color w:val="000000"/>
              </w:rPr>
            </w:pPr>
            <w:r w:rsidRPr="00E03DC1">
              <w:rPr>
                <w:rFonts w:cstheme="minorHAnsi"/>
                <w:b/>
                <w:bCs/>
                <w:color w:val="000000"/>
              </w:rPr>
              <w:t>Test time in (min)</w:t>
            </w:r>
          </w:p>
        </w:tc>
        <w:tc>
          <w:tcPr>
            <w:tcW w:w="2410"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color w:val="000000"/>
              </w:rPr>
            </w:pPr>
            <w:r w:rsidRPr="00E03DC1">
              <w:rPr>
                <w:rFonts w:cstheme="minorHAnsi"/>
                <w:color w:val="000000"/>
              </w:rPr>
              <w:t>60</w:t>
            </w:r>
          </w:p>
        </w:tc>
        <w:tc>
          <w:tcPr>
            <w:tcW w:w="255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color w:val="000000"/>
              </w:rPr>
            </w:pPr>
            <w:r w:rsidRPr="00E03DC1">
              <w:rPr>
                <w:rFonts w:cstheme="minorHAnsi"/>
                <w:color w:val="000000"/>
              </w:rPr>
              <w:t>30</w:t>
            </w:r>
          </w:p>
        </w:tc>
      </w:tr>
      <w:tr w:rsidR="00133107" w:rsidRPr="00E03DC1" w:rsidTr="00EA3806">
        <w:tc>
          <w:tcPr>
            <w:tcW w:w="4111" w:type="dxa"/>
            <w:tcBorders>
              <w:top w:val="single" w:sz="4" w:space="0" w:color="auto"/>
              <w:left w:val="single" w:sz="4" w:space="0" w:color="auto"/>
              <w:bottom w:val="single" w:sz="4" w:space="0" w:color="auto"/>
              <w:right w:val="single" w:sz="4" w:space="0" w:color="auto"/>
            </w:tcBorders>
            <w:vAlign w:val="center"/>
          </w:tcPr>
          <w:p w:rsidR="00133107" w:rsidRPr="00E03DC1" w:rsidRDefault="00133107" w:rsidP="00EA3806">
            <w:pPr>
              <w:rPr>
                <w:rFonts w:cstheme="minorHAnsi"/>
                <w:b/>
                <w:bCs/>
                <w:color w:val="000000"/>
                <w:lang w:val="en-US"/>
              </w:rPr>
            </w:pPr>
          </w:p>
        </w:tc>
        <w:tc>
          <w:tcPr>
            <w:tcW w:w="2410" w:type="dxa"/>
            <w:tcBorders>
              <w:top w:val="single" w:sz="4" w:space="0" w:color="auto"/>
              <w:left w:val="single" w:sz="4" w:space="0" w:color="auto"/>
              <w:bottom w:val="single" w:sz="4" w:space="0" w:color="auto"/>
              <w:right w:val="single" w:sz="4" w:space="0" w:color="auto"/>
            </w:tcBorders>
            <w:vAlign w:val="center"/>
          </w:tcPr>
          <w:p w:rsidR="00133107" w:rsidRPr="00E03DC1" w:rsidRDefault="00133107" w:rsidP="00EA3806">
            <w:pPr>
              <w:jc w:val="center"/>
              <w:rPr>
                <w:rFonts w:cstheme="minorHAnsi"/>
                <w:color w:val="000000"/>
              </w:rPr>
            </w:pPr>
          </w:p>
        </w:tc>
        <w:tc>
          <w:tcPr>
            <w:tcW w:w="2551" w:type="dxa"/>
            <w:tcBorders>
              <w:top w:val="single" w:sz="4" w:space="0" w:color="auto"/>
              <w:left w:val="single" w:sz="4" w:space="0" w:color="auto"/>
              <w:bottom w:val="single" w:sz="4" w:space="0" w:color="auto"/>
              <w:right w:val="single" w:sz="4" w:space="0" w:color="auto"/>
            </w:tcBorders>
            <w:vAlign w:val="center"/>
          </w:tcPr>
          <w:p w:rsidR="00133107" w:rsidRPr="00E03DC1" w:rsidRDefault="00133107" w:rsidP="00EA3806">
            <w:pPr>
              <w:jc w:val="center"/>
              <w:rPr>
                <w:rFonts w:cstheme="minorHAnsi"/>
                <w:color w:val="000000"/>
              </w:rPr>
            </w:pPr>
          </w:p>
        </w:tc>
      </w:tr>
      <w:tr w:rsidR="00133107" w:rsidRPr="00E03DC1" w:rsidTr="00EA3806">
        <w:tc>
          <w:tcPr>
            <w:tcW w:w="411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rPr>
                <w:rFonts w:cstheme="minorHAnsi"/>
                <w:b/>
                <w:bCs/>
                <w:color w:val="000000"/>
                <w:lang w:val="en-US"/>
              </w:rPr>
            </w:pPr>
            <w:r w:rsidRPr="00E03DC1">
              <w:rPr>
                <w:rFonts w:cstheme="minorHAnsi"/>
                <w:b/>
                <w:bCs/>
                <w:color w:val="000000"/>
              </w:rPr>
              <w:t>Test water temp (°C)</w:t>
            </w:r>
          </w:p>
        </w:tc>
        <w:tc>
          <w:tcPr>
            <w:tcW w:w="2410"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color w:val="000000"/>
              </w:rPr>
            </w:pPr>
            <w:r w:rsidRPr="00E03DC1">
              <w:rPr>
                <w:rFonts w:cstheme="minorHAnsi"/>
                <w:color w:val="000000"/>
              </w:rPr>
              <w:t>22° C (+/- 3° C)</w:t>
            </w:r>
          </w:p>
        </w:tc>
        <w:tc>
          <w:tcPr>
            <w:tcW w:w="255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color w:val="000000"/>
              </w:rPr>
            </w:pPr>
            <w:r w:rsidRPr="00E03DC1">
              <w:rPr>
                <w:rFonts w:cstheme="minorHAnsi"/>
                <w:color w:val="000000"/>
              </w:rPr>
              <w:t>18 - 23°C</w:t>
            </w:r>
          </w:p>
        </w:tc>
      </w:tr>
      <w:tr w:rsidR="00133107" w:rsidRPr="00E03DC1" w:rsidTr="00EA3806">
        <w:tc>
          <w:tcPr>
            <w:tcW w:w="4111" w:type="dxa"/>
            <w:tcBorders>
              <w:top w:val="single" w:sz="4" w:space="0" w:color="auto"/>
              <w:left w:val="single" w:sz="4" w:space="0" w:color="auto"/>
              <w:bottom w:val="single" w:sz="4" w:space="0" w:color="auto"/>
              <w:right w:val="single" w:sz="4" w:space="0" w:color="auto"/>
            </w:tcBorders>
            <w:vAlign w:val="center"/>
          </w:tcPr>
          <w:p w:rsidR="00133107" w:rsidRPr="00E03DC1" w:rsidRDefault="00133107" w:rsidP="00EA3806">
            <w:pPr>
              <w:rPr>
                <w:rFonts w:cstheme="minorHAnsi"/>
                <w:b/>
                <w:bCs/>
                <w:color w:val="000000"/>
              </w:rPr>
            </w:pPr>
          </w:p>
        </w:tc>
        <w:tc>
          <w:tcPr>
            <w:tcW w:w="2410" w:type="dxa"/>
            <w:tcBorders>
              <w:top w:val="single" w:sz="4" w:space="0" w:color="auto"/>
              <w:left w:val="single" w:sz="4" w:space="0" w:color="auto"/>
              <w:bottom w:val="single" w:sz="4" w:space="0" w:color="auto"/>
              <w:right w:val="single" w:sz="4" w:space="0" w:color="auto"/>
            </w:tcBorders>
            <w:vAlign w:val="center"/>
          </w:tcPr>
          <w:p w:rsidR="00133107" w:rsidRPr="00E03DC1" w:rsidRDefault="00133107" w:rsidP="00EA3806">
            <w:pPr>
              <w:jc w:val="center"/>
              <w:rPr>
                <w:rFonts w:cstheme="minorHAnsi"/>
                <w:color w:val="000000"/>
              </w:rPr>
            </w:pPr>
          </w:p>
        </w:tc>
        <w:tc>
          <w:tcPr>
            <w:tcW w:w="2551" w:type="dxa"/>
            <w:tcBorders>
              <w:top w:val="single" w:sz="4" w:space="0" w:color="auto"/>
              <w:left w:val="single" w:sz="4" w:space="0" w:color="auto"/>
              <w:bottom w:val="single" w:sz="4" w:space="0" w:color="auto"/>
              <w:right w:val="single" w:sz="4" w:space="0" w:color="auto"/>
            </w:tcBorders>
            <w:vAlign w:val="center"/>
          </w:tcPr>
          <w:p w:rsidR="00133107" w:rsidRPr="00E03DC1" w:rsidRDefault="00133107" w:rsidP="00EA3806">
            <w:pPr>
              <w:jc w:val="center"/>
              <w:rPr>
                <w:rFonts w:cstheme="minorHAnsi"/>
                <w:color w:val="000000"/>
              </w:rPr>
            </w:pPr>
          </w:p>
        </w:tc>
      </w:tr>
      <w:tr w:rsidR="00133107" w:rsidRPr="00E03DC1" w:rsidTr="00EA3806">
        <w:tc>
          <w:tcPr>
            <w:tcW w:w="411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rPr>
                <w:rFonts w:cstheme="minorHAnsi"/>
                <w:b/>
                <w:bCs/>
                <w:color w:val="000000"/>
                <w:lang w:val="en-US"/>
              </w:rPr>
            </w:pPr>
            <w:r w:rsidRPr="00E03DC1">
              <w:rPr>
                <w:rFonts w:cstheme="minorHAnsi"/>
                <w:b/>
                <w:bCs/>
                <w:color w:val="000000"/>
                <w:lang w:val="en-US"/>
              </w:rPr>
              <w:t>Shower head flow rate (liter)</w:t>
            </w:r>
          </w:p>
        </w:tc>
        <w:tc>
          <w:tcPr>
            <w:tcW w:w="2410"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color w:val="000000"/>
              </w:rPr>
            </w:pPr>
            <w:r w:rsidRPr="00E03DC1">
              <w:rPr>
                <w:rFonts w:cstheme="minorHAnsi"/>
                <w:color w:val="000000"/>
              </w:rPr>
              <w:t>4</w:t>
            </w:r>
          </w:p>
        </w:tc>
        <w:tc>
          <w:tcPr>
            <w:tcW w:w="255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color w:val="000000"/>
              </w:rPr>
            </w:pPr>
            <w:r w:rsidRPr="00E03DC1">
              <w:rPr>
                <w:rFonts w:cstheme="minorHAnsi"/>
                <w:color w:val="000000"/>
              </w:rPr>
              <w:t>Not applied</w:t>
            </w:r>
          </w:p>
        </w:tc>
      </w:tr>
      <w:tr w:rsidR="00133107" w:rsidRPr="00E03DC1" w:rsidTr="00EA3806">
        <w:tc>
          <w:tcPr>
            <w:tcW w:w="411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rPr>
                <w:rFonts w:cstheme="minorHAnsi"/>
                <w:b/>
                <w:bCs/>
                <w:color w:val="000000"/>
                <w:lang w:val="en-US"/>
              </w:rPr>
            </w:pPr>
            <w:r w:rsidRPr="00E03DC1">
              <w:rPr>
                <w:rFonts w:cstheme="minorHAnsi"/>
                <w:b/>
                <w:bCs/>
                <w:color w:val="000000"/>
                <w:lang w:val="en-US"/>
              </w:rPr>
              <w:t>Shower head spray nozzle distance (cm)</w:t>
            </w:r>
          </w:p>
        </w:tc>
        <w:tc>
          <w:tcPr>
            <w:tcW w:w="2410"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color w:val="000000"/>
              </w:rPr>
            </w:pPr>
            <w:r w:rsidRPr="00E03DC1">
              <w:rPr>
                <w:rFonts w:cstheme="minorHAnsi"/>
                <w:color w:val="000000"/>
              </w:rPr>
              <w:t>10 to 15</w:t>
            </w:r>
          </w:p>
        </w:tc>
        <w:tc>
          <w:tcPr>
            <w:tcW w:w="255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color w:val="000000"/>
              </w:rPr>
            </w:pPr>
            <w:r w:rsidRPr="00E03DC1">
              <w:rPr>
                <w:rFonts w:cstheme="minorHAnsi"/>
                <w:color w:val="000000"/>
              </w:rPr>
              <w:t>Not applied</w:t>
            </w:r>
          </w:p>
        </w:tc>
      </w:tr>
      <w:tr w:rsidR="00133107" w:rsidRPr="00E03DC1" w:rsidTr="00EA3806">
        <w:tc>
          <w:tcPr>
            <w:tcW w:w="411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rPr>
                <w:rFonts w:cstheme="minorHAnsi"/>
                <w:b/>
                <w:bCs/>
                <w:color w:val="000000"/>
                <w:lang w:val="en-US"/>
              </w:rPr>
            </w:pPr>
            <w:r w:rsidRPr="00E03DC1">
              <w:rPr>
                <w:rFonts w:cstheme="minorHAnsi"/>
                <w:b/>
                <w:bCs/>
                <w:color w:val="000000"/>
                <w:lang w:val="en-US"/>
              </w:rPr>
              <w:t>Shower head spray time (min)</w:t>
            </w:r>
          </w:p>
        </w:tc>
        <w:tc>
          <w:tcPr>
            <w:tcW w:w="2410"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color w:val="000000"/>
              </w:rPr>
            </w:pPr>
            <w:r w:rsidRPr="00E03DC1">
              <w:rPr>
                <w:rFonts w:cstheme="minorHAnsi"/>
                <w:color w:val="000000"/>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rsidR="00133107" w:rsidRPr="00E03DC1" w:rsidRDefault="00133107" w:rsidP="00EA3806">
            <w:pPr>
              <w:jc w:val="center"/>
              <w:rPr>
                <w:rFonts w:cstheme="minorHAnsi"/>
                <w:color w:val="000000"/>
              </w:rPr>
            </w:pPr>
            <w:r w:rsidRPr="00E03DC1">
              <w:rPr>
                <w:rFonts w:cstheme="minorHAnsi"/>
                <w:color w:val="000000"/>
              </w:rPr>
              <w:t>0</w:t>
            </w:r>
          </w:p>
        </w:tc>
      </w:tr>
    </w:tbl>
    <w:p w:rsidR="00B4075C" w:rsidRPr="00133107" w:rsidRDefault="00AF4C7C" w:rsidP="00133107">
      <w:pPr>
        <w:pStyle w:val="Caption"/>
        <w:rPr>
          <w:rFonts w:cstheme="minorHAnsi"/>
          <w:sz w:val="22"/>
          <w:szCs w:val="22"/>
        </w:rPr>
      </w:pPr>
      <w:r>
        <w:rPr>
          <w:rFonts w:cstheme="minorHAnsi"/>
          <w:b/>
          <w:i w:val="0"/>
          <w:iCs w:val="0"/>
          <w:color w:val="auto"/>
          <w:sz w:val="22"/>
          <w:szCs w:val="22"/>
        </w:rPr>
        <w:t xml:space="preserve">Supplementary </w:t>
      </w:r>
      <w:r w:rsidR="00133107" w:rsidRPr="00133107">
        <w:rPr>
          <w:rFonts w:cstheme="minorHAnsi"/>
          <w:b/>
          <w:i w:val="0"/>
          <w:iCs w:val="0"/>
          <w:color w:val="auto"/>
          <w:sz w:val="22"/>
          <w:szCs w:val="22"/>
        </w:rPr>
        <w:t xml:space="preserve">Table </w:t>
      </w:r>
      <w:r w:rsidR="00133107" w:rsidRPr="00133107">
        <w:rPr>
          <w:rFonts w:cstheme="minorHAnsi"/>
          <w:b/>
          <w:i w:val="0"/>
          <w:iCs w:val="0"/>
          <w:color w:val="auto"/>
          <w:sz w:val="22"/>
          <w:szCs w:val="22"/>
        </w:rPr>
        <w:fldChar w:fldCharType="begin"/>
      </w:r>
      <w:r w:rsidR="00133107" w:rsidRPr="00133107">
        <w:rPr>
          <w:rFonts w:cstheme="minorHAnsi"/>
          <w:b/>
          <w:i w:val="0"/>
          <w:iCs w:val="0"/>
          <w:color w:val="auto"/>
          <w:sz w:val="22"/>
          <w:szCs w:val="22"/>
        </w:rPr>
        <w:instrText xml:space="preserve"> SEQ Table \* ARABIC </w:instrText>
      </w:r>
      <w:r w:rsidR="00133107" w:rsidRPr="00133107">
        <w:rPr>
          <w:rFonts w:cstheme="minorHAnsi"/>
          <w:b/>
          <w:i w:val="0"/>
          <w:iCs w:val="0"/>
          <w:color w:val="auto"/>
          <w:sz w:val="22"/>
          <w:szCs w:val="22"/>
        </w:rPr>
        <w:fldChar w:fldCharType="separate"/>
      </w:r>
      <w:r w:rsidR="00133107" w:rsidRPr="00133107">
        <w:rPr>
          <w:rFonts w:cstheme="minorHAnsi"/>
          <w:b/>
          <w:i w:val="0"/>
          <w:iCs w:val="0"/>
          <w:noProof/>
          <w:color w:val="auto"/>
          <w:sz w:val="22"/>
          <w:szCs w:val="22"/>
        </w:rPr>
        <w:t>1</w:t>
      </w:r>
      <w:r w:rsidR="00133107" w:rsidRPr="00133107">
        <w:rPr>
          <w:rFonts w:cstheme="minorHAnsi"/>
          <w:b/>
          <w:i w:val="0"/>
          <w:iCs w:val="0"/>
          <w:color w:val="auto"/>
          <w:sz w:val="22"/>
          <w:szCs w:val="22"/>
        </w:rPr>
        <w:fldChar w:fldCharType="end"/>
      </w:r>
      <w:r w:rsidR="00133107" w:rsidRPr="00E03DC1">
        <w:rPr>
          <w:rFonts w:cstheme="minorHAnsi"/>
          <w:i w:val="0"/>
          <w:iCs w:val="0"/>
          <w:color w:val="auto"/>
          <w:sz w:val="22"/>
          <w:szCs w:val="22"/>
        </w:rPr>
        <w:t xml:space="preserve"> Comparison between </w:t>
      </w:r>
      <w:proofErr w:type="spellStart"/>
      <w:r w:rsidR="00133107" w:rsidRPr="00E03DC1">
        <w:rPr>
          <w:rFonts w:cstheme="minorHAnsi"/>
          <w:i w:val="0"/>
          <w:iCs w:val="0"/>
          <w:color w:val="auto"/>
          <w:sz w:val="22"/>
          <w:szCs w:val="22"/>
        </w:rPr>
        <w:t>flushability</w:t>
      </w:r>
      <w:proofErr w:type="spellEnd"/>
      <w:r w:rsidR="00133107" w:rsidRPr="00E03DC1">
        <w:rPr>
          <w:rFonts w:cstheme="minorHAnsi"/>
          <w:i w:val="0"/>
          <w:iCs w:val="0"/>
          <w:color w:val="auto"/>
          <w:sz w:val="22"/>
          <w:szCs w:val="22"/>
        </w:rPr>
        <w:t xml:space="preserve"> guidelines INDA/EDANA Ed. 4 and the method used in </w:t>
      </w:r>
      <w:r w:rsidR="007A00E4">
        <w:rPr>
          <w:rFonts w:cstheme="minorHAnsi"/>
          <w:i w:val="0"/>
          <w:iCs w:val="0"/>
          <w:color w:val="auto"/>
          <w:sz w:val="22"/>
          <w:szCs w:val="22"/>
        </w:rPr>
        <w:t>our work</w:t>
      </w:r>
      <w:r w:rsidR="00133107" w:rsidRPr="00E03DC1">
        <w:rPr>
          <w:rFonts w:cstheme="minorHAnsi"/>
          <w:i w:val="0"/>
          <w:iCs w:val="0"/>
          <w:color w:val="auto"/>
          <w:sz w:val="22"/>
          <w:szCs w:val="22"/>
        </w:rPr>
        <w:t>.</w:t>
      </w:r>
    </w:p>
    <w:p w:rsidR="00B4075C" w:rsidRPr="00B4520B" w:rsidRDefault="00B4075C" w:rsidP="00B4075C">
      <w:pPr>
        <w:pStyle w:val="NoSpacing"/>
      </w:pPr>
      <w:r>
        <w:t xml:space="preserve">One crucial difference also </w:t>
      </w:r>
      <w:bookmarkStart w:id="0" w:name="_GoBack"/>
      <w:bookmarkEnd w:id="0"/>
      <w:r w:rsidRPr="00B4520B">
        <w:t xml:space="preserve">outlined in </w:t>
      </w:r>
      <w:r w:rsidR="00FF22EA" w:rsidRPr="00B4520B">
        <w:t>our study</w:t>
      </w:r>
      <w:r w:rsidRPr="00B4520B">
        <w:t xml:space="preserve"> is the time wipes are agitated in the slosh box. </w:t>
      </w:r>
    </w:p>
    <w:p w:rsidR="00B4075C" w:rsidRPr="00B4520B" w:rsidRDefault="00B4075C" w:rsidP="00B4075C">
      <w:pPr>
        <w:pStyle w:val="NoSpacing"/>
      </w:pPr>
    </w:p>
    <w:p w:rsidR="00B4075C" w:rsidRPr="00B4520B" w:rsidRDefault="00B4075C" w:rsidP="00B4075C">
      <w:pPr>
        <w:pStyle w:val="NoSpacing"/>
      </w:pPr>
      <w:r w:rsidRPr="00B4520B">
        <w:t>Reducing the disintegration time – as applied in the publication - provides less harsh conditions for the wipes leading to lower dispersibility values.</w:t>
      </w:r>
    </w:p>
    <w:p w:rsidR="00B4075C" w:rsidRPr="00B4520B" w:rsidRDefault="00B4075C" w:rsidP="00B4075C">
      <w:pPr>
        <w:pStyle w:val="NoSpacing"/>
      </w:pPr>
    </w:p>
    <w:p w:rsidR="00B4075C" w:rsidRPr="00B4520B" w:rsidRDefault="00B4075C" w:rsidP="00B4075C">
      <w:pPr>
        <w:pStyle w:val="NoSpacing"/>
      </w:pPr>
      <w:r w:rsidRPr="00B4520B">
        <w:t xml:space="preserve">More importantly, in </w:t>
      </w:r>
      <w:r w:rsidR="00C45546" w:rsidRPr="00B4520B">
        <w:t>our measurements</w:t>
      </w:r>
      <w:r w:rsidRPr="00B4520B">
        <w:t xml:space="preserve"> the largest change in dispersibility has been observed in the very first week after production. During this time the wipes are usually not sold as they need to be distributed to the retailer. Thus the results are different than from commercial wet wipes. </w:t>
      </w:r>
    </w:p>
    <w:p w:rsidR="00B4075C" w:rsidRPr="00B4520B" w:rsidRDefault="00B4075C" w:rsidP="00B4075C">
      <w:pPr>
        <w:pStyle w:val="NoSpacing"/>
      </w:pPr>
    </w:p>
    <w:p w:rsidR="00B4075C" w:rsidRPr="00B4520B" w:rsidRDefault="00B4075C" w:rsidP="00B4075C">
      <w:pPr>
        <w:pStyle w:val="NoSpacing"/>
      </w:pPr>
      <w:r w:rsidRPr="00B4520B">
        <w:t xml:space="preserve">The recommended sample amount was set to 3 samples as the used apparatus allows 3 wipes to be tested simultaneously. Therefore, 3 samples at each wet storage time were tested at the exactly same condition. The INDA/EDANA guidelines suggest to measure 6 wipes to make significant statements about the </w:t>
      </w:r>
      <w:proofErr w:type="spellStart"/>
      <w:r w:rsidRPr="00B4520B">
        <w:t>flushability</w:t>
      </w:r>
      <w:proofErr w:type="spellEnd"/>
      <w:r w:rsidRPr="00B4520B">
        <w:t xml:space="preserve"> of wet wipes.</w:t>
      </w:r>
    </w:p>
    <w:p w:rsidR="00B4075C" w:rsidRPr="00B4520B" w:rsidRDefault="00B4075C" w:rsidP="00B4075C">
      <w:pPr>
        <w:pStyle w:val="NoSpacing"/>
      </w:pPr>
    </w:p>
    <w:p w:rsidR="00B4075C" w:rsidRPr="00B4520B" w:rsidRDefault="00B4075C" w:rsidP="00B4075C">
      <w:pPr>
        <w:pStyle w:val="NoSpacing"/>
      </w:pPr>
      <w:r w:rsidRPr="00B4520B">
        <w:t>Another difference between the two test methods lies within the treatment after the remains of the slosh box are poured and collected on the 12.5 mm perforated sieve. The INDA/EDANA guidelines describe a shower-rinsing as described in their supplementary guidance documents SG004.R1(18). These treatments could also increase the dispersibility values as the rinsing of the sieve leads to more fibres and flakes passing the 12.5 mm sieve. This additional treatment was not used in our work resulting most probably in lower dispersibility values.</w:t>
      </w:r>
    </w:p>
    <w:p w:rsidR="00B4075C" w:rsidRPr="00B4520B" w:rsidRDefault="00B4075C" w:rsidP="00B4075C">
      <w:pPr>
        <w:pStyle w:val="NoSpacing"/>
      </w:pPr>
    </w:p>
    <w:p w:rsidR="00D55580" w:rsidRDefault="00B4075C" w:rsidP="00B4075C">
      <w:pPr>
        <w:pStyle w:val="NoSpacing"/>
      </w:pPr>
      <w:r w:rsidRPr="00B4520B">
        <w:t xml:space="preserve">The test water temperature was not controlled as recommend in the guidelines. The recommended ratio, varying between 19°C and 25°C, is very broad. In our </w:t>
      </w:r>
      <w:r w:rsidR="00CE1A89" w:rsidRPr="00B4520B">
        <w:t>measurements</w:t>
      </w:r>
      <w:r w:rsidRPr="00B4520B">
        <w:t xml:space="preserve"> tap</w:t>
      </w:r>
      <w:r>
        <w:t xml:space="preserve"> water was stored in a container before being used. Therefore, the range of temperature for the water used in our measurements is likely to be close to room temperature at about 18°C – 23°C.</w:t>
      </w:r>
    </w:p>
    <w:sectPr w:rsidR="00D55580" w:rsidSect="006A3B4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75C"/>
    <w:rsid w:val="000B0670"/>
    <w:rsid w:val="00133107"/>
    <w:rsid w:val="004C35E1"/>
    <w:rsid w:val="007A00E4"/>
    <w:rsid w:val="00AF4C7C"/>
    <w:rsid w:val="00B4075C"/>
    <w:rsid w:val="00B4520B"/>
    <w:rsid w:val="00C45546"/>
    <w:rsid w:val="00CE1A89"/>
    <w:rsid w:val="00D55580"/>
    <w:rsid w:val="00FF22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9E025A-AB87-4EFA-810C-686521F96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107"/>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075C"/>
    <w:pPr>
      <w:spacing w:after="0" w:line="240" w:lineRule="auto"/>
    </w:pPr>
  </w:style>
  <w:style w:type="paragraph" w:styleId="Caption">
    <w:name w:val="caption"/>
    <w:basedOn w:val="Normal"/>
    <w:next w:val="Normal"/>
    <w:uiPriority w:val="35"/>
    <w:unhideWhenUsed/>
    <w:qFormat/>
    <w:rsid w:val="00133107"/>
    <w:pPr>
      <w:spacing w:after="200" w:line="240" w:lineRule="auto"/>
    </w:pPr>
    <w:rPr>
      <w:i/>
      <w:iCs/>
      <w:color w:val="44546A" w:themeColor="text2"/>
      <w:sz w:val="18"/>
      <w:szCs w:val="18"/>
      <w:lang w:val="en-GB"/>
    </w:rPr>
  </w:style>
  <w:style w:type="table" w:styleId="TableGrid">
    <w:name w:val="Table Grid"/>
    <w:basedOn w:val="TableNormal"/>
    <w:uiPriority w:val="39"/>
    <w:rsid w:val="0013310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376</Words>
  <Characters>2147</Characters>
  <Application>Microsoft Office Word</Application>
  <DocSecurity>0</DocSecurity>
  <Lines>17</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Rafal Marszalek</dc:creator>
  <cp:keywords/>
  <dc:description/>
  <cp:lastModifiedBy>Rafal Marszalek</cp:lastModifiedBy>
  <cp:revision>2</cp:revision>
  <dcterms:created xsi:type="dcterms:W3CDTF">2021-06-22T07:22:00Z</dcterms:created>
  <dcterms:modified xsi:type="dcterms:W3CDTF">2021-06-22T07:22:00Z</dcterms:modified>
</cp:coreProperties>
</file>