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8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Quantitative Structure-activity Relationship Models for Genotoxicity Prediction Based on Combination Evaluation Strategies for Toxicological Alternative Experiments </w:t>
      </w:r>
    </w:p>
    <w:p>
      <w:pPr>
        <w:spacing w:after="0" w:line="480" w:lineRule="auto"/>
        <w:jc w:val="left"/>
        <w:rPr>
          <w:rFonts w:ascii="Times New Roman" w:hAnsi="Times New Roman" w:cs="Times New Roman"/>
          <w:sz w:val="30"/>
          <w:szCs w:val="30"/>
        </w:rPr>
      </w:pPr>
    </w:p>
    <w:p>
      <w:pPr>
        <w:spacing w:after="0"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Xiaotong Yang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Zhengbao Zhang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, Qin Li</w:t>
      </w:r>
      <w:r>
        <w:rPr>
          <w:rFonts w:ascii="Times New Roman" w:hAnsi="Times New Roman" w:cs="Times New Roman"/>
          <w:sz w:val="24"/>
          <w:vertAlign w:val="superscript"/>
        </w:rPr>
        <w:t>2*</w:t>
      </w:r>
      <w:r>
        <w:rPr>
          <w:rFonts w:ascii="Times New Roman" w:hAnsi="Times New Roman" w:cs="Times New Roman"/>
          <w:sz w:val="24"/>
        </w:rPr>
        <w:t>, Yongming Cai</w:t>
      </w:r>
      <w:r>
        <w:rPr>
          <w:rFonts w:ascii="Times New Roman" w:hAnsi="Times New Roman" w:cs="Times New Roman"/>
          <w:sz w:val="24"/>
          <w:vertAlign w:val="superscript"/>
        </w:rPr>
        <w:t>3,4*</w:t>
      </w:r>
    </w:p>
    <w:p>
      <w:pPr>
        <w:spacing w:after="0" w:line="480" w:lineRule="auto"/>
        <w:jc w:val="left"/>
        <w:rPr>
          <w:rFonts w:ascii="Times New Roman" w:hAnsi="Times New Roman" w:cs="Times New Roman"/>
          <w:sz w:val="24"/>
          <w:vertAlign w:val="superscript"/>
        </w:rPr>
      </w:pPr>
    </w:p>
    <w:p>
      <w:pPr>
        <w:spacing w:after="0"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 School of Public Health, Guangdong Pharmaceutical University, Guangzhou, China</w:t>
      </w:r>
    </w:p>
    <w:p>
      <w:pPr>
        <w:spacing w:after="0"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Guangdong Province Center for Disease Control and Prevention, Guangzhou, China</w:t>
      </w:r>
    </w:p>
    <w:p>
      <w:pPr>
        <w:spacing w:after="0"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College of Medical information Engineering, </w:t>
      </w:r>
      <w:bookmarkStart w:id="0" w:name="OLE_LINK29"/>
      <w:r>
        <w:rPr>
          <w:rFonts w:ascii="Times New Roman" w:hAnsi="Times New Roman" w:cs="Times New Roman"/>
          <w:sz w:val="24"/>
        </w:rPr>
        <w:t>Guangdong Pharmaceutical University</w:t>
      </w:r>
      <w:bookmarkEnd w:id="0"/>
      <w:r>
        <w:rPr>
          <w:rFonts w:ascii="Times New Roman" w:hAnsi="Times New Roman" w:cs="Times New Roman"/>
          <w:sz w:val="24"/>
        </w:rPr>
        <w:t>, Guangzhou, China</w:t>
      </w:r>
    </w:p>
    <w:p>
      <w:pPr>
        <w:spacing w:after="0"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4</w:t>
      </w:r>
      <w:r>
        <w:rPr>
          <w:rFonts w:ascii="Times New Roman" w:hAnsi="Times New Roman" w:cs="Times New Roman"/>
          <w:sz w:val="24"/>
        </w:rPr>
        <w:t xml:space="preserve"> Guangdong Provincial TCM Precision Medicine Big Data Engineering Technology Research Center, Guangzhou, China</w:t>
      </w:r>
    </w:p>
    <w:p>
      <w:pPr>
        <w:jc w:val="both"/>
        <w:rPr>
          <w:b/>
          <w:bCs/>
        </w:rPr>
      </w:pPr>
    </w:p>
    <w:p>
      <w:pPr>
        <w:jc w:val="both"/>
        <w:rPr>
          <w:b/>
          <w:bCs/>
        </w:rPr>
      </w:pPr>
    </w:p>
    <w:p>
      <w:pPr>
        <w:jc w:val="both"/>
        <w:rPr>
          <w:b/>
          <w:bCs/>
        </w:rPr>
      </w:pPr>
    </w:p>
    <w:p>
      <w:pPr>
        <w:jc w:val="both"/>
        <w:rPr>
          <w:b/>
          <w:bCs/>
        </w:rPr>
      </w:pPr>
    </w:p>
    <w:p>
      <w:pPr>
        <w:jc w:val="both"/>
        <w:rPr>
          <w:b/>
          <w:bCs/>
        </w:rPr>
      </w:pPr>
    </w:p>
    <w:p>
      <w:pPr>
        <w:jc w:val="both"/>
        <w:rPr>
          <w:b/>
          <w:bCs/>
        </w:rPr>
      </w:pPr>
    </w:p>
    <w:p>
      <w:pPr>
        <w:jc w:val="both"/>
        <w:rPr>
          <w:b/>
          <w:bCs/>
        </w:rPr>
      </w:pPr>
    </w:p>
    <w:p>
      <w:pPr>
        <w:jc w:val="both"/>
        <w:rPr>
          <w:b/>
          <w:bCs/>
        </w:rPr>
      </w:pPr>
    </w:p>
    <w:p>
      <w:pPr>
        <w:jc w:val="both"/>
        <w:rPr>
          <w:b/>
          <w:bCs/>
        </w:rPr>
      </w:pPr>
    </w:p>
    <w:p>
      <w:pPr>
        <w:jc w:val="both"/>
        <w:rPr>
          <w:b/>
          <w:bCs/>
        </w:rPr>
      </w:pPr>
    </w:p>
    <w:p>
      <w:pPr>
        <w:jc w:val="both"/>
        <w:rPr>
          <w:b/>
          <w:bCs/>
        </w:rPr>
      </w:pPr>
    </w:p>
    <w:p>
      <w:pPr>
        <w:jc w:val="both"/>
        <w:rPr>
          <w:b/>
          <w:bCs/>
        </w:rPr>
      </w:pPr>
    </w:p>
    <w:p>
      <w:pPr>
        <w:jc w:val="both"/>
        <w:rPr>
          <w:b/>
          <w:bCs/>
        </w:rPr>
      </w:pPr>
    </w:p>
    <w:p>
      <w:pPr>
        <w:jc w:val="both"/>
        <w:rPr>
          <w:b/>
          <w:bCs/>
        </w:rPr>
      </w:pPr>
    </w:p>
    <w:p>
      <w:pPr>
        <w:jc w:val="both"/>
        <w:rPr>
          <w:b/>
          <w:bCs/>
        </w:rPr>
      </w:pPr>
    </w:p>
    <w:p>
      <w:pPr>
        <w:jc w:val="both"/>
        <w:rPr>
          <w:b/>
          <w:bCs/>
        </w:rPr>
      </w:pPr>
    </w:p>
    <w:p>
      <w:pPr>
        <w:jc w:val="both"/>
        <w:rPr>
          <w:b/>
          <w:bCs/>
        </w:rPr>
      </w:pPr>
    </w:p>
    <w:p>
      <w:pPr>
        <w:jc w:val="both"/>
        <w:rPr>
          <w:b/>
          <w:bCs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The final </w:t>
      </w:r>
      <w:r>
        <w:rPr>
          <w:b/>
          <w:bCs/>
          <w:sz w:val="32"/>
          <w:szCs w:val="32"/>
          <w:lang w:val="en-US" w:eastAsia="zh-CN"/>
        </w:rPr>
        <w:t>PubChem Substructure Fingerprint</w:t>
      </w:r>
      <w:r>
        <w:rPr>
          <w:rFonts w:hint="eastAsia"/>
          <w:b/>
          <w:bCs/>
          <w:sz w:val="32"/>
          <w:szCs w:val="32"/>
          <w:lang w:val="en-US" w:eastAsia="zh-CN"/>
        </w:rPr>
        <w:t>s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default" w:ascii="Times New Roman" w:hAnsi="Times New Roman" w:cs="Times New Roman"/>
          <w:color w:val="7F7F7F" w:themeColor="background1" w:themeShade="80"/>
          <w:sz w:val="22"/>
          <w:szCs w:val="22"/>
        </w:rPr>
      </w:pPr>
      <w:r>
        <w:rPr>
          <w:rFonts w:hint="default" w:ascii="Times New Roman" w:hAnsi="Times New Roman" w:eastAsia="CourierNewPS-BoldMT" w:cs="Times New Roman"/>
          <w:b/>
          <w:color w:val="7F7F7F" w:themeColor="background1" w:themeShade="80"/>
          <w:kern w:val="0"/>
          <w:sz w:val="22"/>
          <w:szCs w:val="22"/>
          <w:lang w:val="en-US" w:eastAsia="zh-CN" w:bidi="ar"/>
        </w:rPr>
        <w:t>Section 1</w:t>
      </w:r>
      <w:r>
        <w:rPr>
          <w:rFonts w:hint="default" w:ascii="Times New Roman" w:hAnsi="Times New Roman" w:eastAsia="CourierNewPSMT" w:cs="Times New Roman"/>
          <w:color w:val="7F7F7F" w:themeColor="background1" w:themeShade="80"/>
          <w:kern w:val="0"/>
          <w:sz w:val="22"/>
          <w:szCs w:val="22"/>
          <w:lang w:val="en-US" w:eastAsia="zh-CN" w:bidi="ar"/>
        </w:rPr>
        <w:t>: Hierarchic Element Counts - These bits test for the presence or count of individual chemical atoms represented by their atomic symbol.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default" w:ascii="Times New Roman" w:hAnsi="Times New Roman" w:cs="Times New Roman"/>
          <w:color w:val="7F7F7F" w:themeColor="background1" w:themeShade="80"/>
          <w:sz w:val="22"/>
          <w:szCs w:val="22"/>
        </w:rPr>
      </w:pPr>
      <w:r>
        <w:rPr>
          <w:rFonts w:hint="default" w:ascii="Times New Roman" w:hAnsi="Times New Roman" w:eastAsia="CourierNewPS-BoldMT" w:cs="Times New Roman"/>
          <w:b/>
          <w:color w:val="7F7F7F" w:themeColor="background1" w:themeShade="80"/>
          <w:kern w:val="0"/>
          <w:sz w:val="22"/>
          <w:szCs w:val="22"/>
          <w:lang w:val="en-US" w:eastAsia="zh-CN" w:bidi="ar"/>
        </w:rPr>
        <w:t>Section 2</w:t>
      </w:r>
      <w:r>
        <w:rPr>
          <w:rFonts w:hint="default" w:ascii="Times New Roman" w:hAnsi="Times New Roman" w:eastAsia="CourierNewPSMT" w:cs="Times New Roman"/>
          <w:color w:val="7F7F7F" w:themeColor="background1" w:themeShade="80"/>
          <w:kern w:val="0"/>
          <w:sz w:val="22"/>
          <w:szCs w:val="22"/>
          <w:lang w:val="en-US" w:eastAsia="zh-CN" w:bidi="ar"/>
        </w:rPr>
        <w:t>: Rings in a canonic Extended Smallest Set of Smallest Rings (ESSSR) ring set - These bits test for the presence or count of the described chemical ring system. An ESSSR ring is any ring which does not share three consecutive atoms with any</w:t>
      </w:r>
      <w:r>
        <w:rPr>
          <w:rFonts w:hint="eastAsia" w:ascii="Times New Roman" w:hAnsi="Times New Roman" w:eastAsia="CourierNewPSMT" w:cs="Times New Roman"/>
          <w:color w:val="7F7F7F" w:themeColor="background1" w:themeShade="8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CourierNewPSMT" w:cs="Times New Roman"/>
          <w:color w:val="7F7F7F" w:themeColor="background1" w:themeShade="80"/>
          <w:kern w:val="0"/>
          <w:sz w:val="22"/>
          <w:szCs w:val="22"/>
          <w:lang w:val="en-US" w:eastAsia="zh-CN" w:bidi="ar"/>
        </w:rPr>
        <w:t>other ring in the chemical structure. For example, naphthalene has three ESSSR rings (two phenyl fragments and the 10-membered envelope), while biphenyl will yield a</w:t>
      </w:r>
      <w:r>
        <w:rPr>
          <w:rFonts w:hint="eastAsia" w:ascii="Times New Roman" w:hAnsi="Times New Roman" w:eastAsia="CourierNewPSMT" w:cs="Times New Roman"/>
          <w:color w:val="7F7F7F" w:themeColor="background1" w:themeShade="8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CourierNewPSMT" w:cs="Times New Roman"/>
          <w:color w:val="7F7F7F" w:themeColor="background1" w:themeShade="80"/>
          <w:kern w:val="0"/>
          <w:sz w:val="22"/>
          <w:szCs w:val="22"/>
          <w:lang w:val="en-US" w:eastAsia="zh-CN" w:bidi="ar"/>
        </w:rPr>
        <w:t>count of only two ESSSR rings.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default" w:ascii="Times New Roman" w:hAnsi="Times New Roman" w:cs="Times New Roman"/>
          <w:color w:val="7F7F7F" w:themeColor="background1" w:themeShade="80"/>
          <w:sz w:val="22"/>
          <w:szCs w:val="22"/>
        </w:rPr>
      </w:pPr>
      <w:r>
        <w:rPr>
          <w:rFonts w:hint="default" w:ascii="Times New Roman" w:hAnsi="Times New Roman" w:eastAsia="CourierNewPS-BoldMT" w:cs="Times New Roman"/>
          <w:b/>
          <w:color w:val="7F7F7F" w:themeColor="background1" w:themeShade="80"/>
          <w:kern w:val="0"/>
          <w:sz w:val="22"/>
          <w:szCs w:val="22"/>
          <w:lang w:val="en-US" w:eastAsia="zh-CN" w:bidi="ar"/>
        </w:rPr>
        <w:t>Section 3</w:t>
      </w:r>
      <w:r>
        <w:rPr>
          <w:rFonts w:hint="default" w:ascii="Times New Roman" w:hAnsi="Times New Roman" w:eastAsia="CourierNewPSMT" w:cs="Times New Roman"/>
          <w:color w:val="7F7F7F" w:themeColor="background1" w:themeShade="80"/>
          <w:kern w:val="0"/>
          <w:sz w:val="22"/>
          <w:szCs w:val="22"/>
          <w:lang w:val="en-US" w:eastAsia="zh-CN" w:bidi="ar"/>
        </w:rPr>
        <w:t>: Simple atom pairs – These bits test for the presence of patterns of bonded</w:t>
      </w:r>
      <w:r>
        <w:rPr>
          <w:rFonts w:hint="eastAsia" w:ascii="Times New Roman" w:hAnsi="Times New Roman" w:eastAsia="CourierNewPSMT" w:cs="Times New Roman"/>
          <w:color w:val="7F7F7F" w:themeColor="background1" w:themeShade="8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CourierNewPSMT" w:cs="Times New Roman"/>
          <w:color w:val="7F7F7F" w:themeColor="background1" w:themeShade="80"/>
          <w:kern w:val="0"/>
          <w:sz w:val="22"/>
          <w:szCs w:val="22"/>
          <w:lang w:val="en-US" w:eastAsia="zh-CN" w:bidi="ar"/>
        </w:rPr>
        <w:t xml:space="preserve">atom pairs, regardless of bond order or count.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default" w:ascii="Times New Roman" w:hAnsi="Times New Roman" w:cs="Times New Roman"/>
          <w:color w:val="7F7F7F" w:themeColor="background1" w:themeShade="80"/>
          <w:sz w:val="22"/>
          <w:szCs w:val="22"/>
        </w:rPr>
      </w:pPr>
      <w:r>
        <w:rPr>
          <w:rFonts w:hint="default" w:ascii="Times New Roman" w:hAnsi="Times New Roman" w:eastAsia="CourierNewPS-BoldMT" w:cs="Times New Roman"/>
          <w:b/>
          <w:color w:val="7F7F7F" w:themeColor="background1" w:themeShade="80"/>
          <w:kern w:val="0"/>
          <w:sz w:val="22"/>
          <w:szCs w:val="22"/>
          <w:lang w:val="en-US" w:eastAsia="zh-CN" w:bidi="ar"/>
        </w:rPr>
        <w:t>Section 4</w:t>
      </w:r>
      <w:r>
        <w:rPr>
          <w:rFonts w:hint="default" w:ascii="Times New Roman" w:hAnsi="Times New Roman" w:eastAsia="CourierNewPSMT" w:cs="Times New Roman"/>
          <w:color w:val="7F7F7F" w:themeColor="background1" w:themeShade="80"/>
          <w:kern w:val="0"/>
          <w:sz w:val="22"/>
          <w:szCs w:val="22"/>
          <w:lang w:val="en-US" w:eastAsia="zh-CN" w:bidi="ar"/>
        </w:rPr>
        <w:t>: Simple atom nearest neighbors – These bits test for the presence of atom nearest neighbor patterns, regardless of bond order (denoted by "~") or count, but where bond aromaticity (denoted by ":") is significant.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default" w:ascii="Times New Roman" w:hAnsi="Times New Roman" w:cs="Times New Roman"/>
          <w:color w:val="7F7F7F" w:themeColor="background1" w:themeShade="80"/>
          <w:sz w:val="22"/>
          <w:szCs w:val="22"/>
        </w:rPr>
      </w:pPr>
      <w:r>
        <w:rPr>
          <w:rFonts w:hint="default" w:ascii="Times New Roman" w:hAnsi="Times New Roman" w:eastAsia="CourierNewPS-BoldMT" w:cs="Times New Roman"/>
          <w:b/>
          <w:color w:val="7F7F7F" w:themeColor="background1" w:themeShade="80"/>
          <w:kern w:val="0"/>
          <w:sz w:val="22"/>
          <w:szCs w:val="22"/>
          <w:lang w:val="en-US" w:eastAsia="zh-CN" w:bidi="ar"/>
        </w:rPr>
        <w:t>Section 5</w:t>
      </w:r>
      <w:r>
        <w:rPr>
          <w:rFonts w:hint="default" w:ascii="Times New Roman" w:hAnsi="Times New Roman" w:eastAsia="CourierNewPSMT" w:cs="Times New Roman"/>
          <w:color w:val="7F7F7F" w:themeColor="background1" w:themeShade="80"/>
          <w:kern w:val="0"/>
          <w:sz w:val="22"/>
          <w:szCs w:val="22"/>
          <w:lang w:val="en-US" w:eastAsia="zh-CN" w:bidi="ar"/>
        </w:rPr>
        <w:t>: Detailed atom neighborhoods – These bits test for the presence of detailed</w:t>
      </w:r>
      <w:r>
        <w:rPr>
          <w:rFonts w:hint="eastAsia" w:ascii="Times New Roman" w:hAnsi="Times New Roman" w:eastAsia="CourierNewPSMT" w:cs="Times New Roman"/>
          <w:color w:val="7F7F7F" w:themeColor="background1" w:themeShade="8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CourierNewPSMT" w:cs="Times New Roman"/>
          <w:color w:val="7F7F7F" w:themeColor="background1" w:themeShade="80"/>
          <w:kern w:val="0"/>
          <w:sz w:val="22"/>
          <w:szCs w:val="22"/>
          <w:lang w:val="en-US" w:eastAsia="zh-CN" w:bidi="ar"/>
        </w:rPr>
        <w:t>atom neighborhood patterns, regardless of count, but where bond orders are specific, bond aromaticity matches both single and double bonds, and where "-", "=", and "#" matches a single bond, double bond, and triple bond order, respectively.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default" w:ascii="Times New Roman" w:hAnsi="Times New Roman" w:cs="Times New Roman"/>
          <w:color w:val="7F7F7F" w:themeColor="background1" w:themeShade="80"/>
          <w:sz w:val="22"/>
          <w:szCs w:val="22"/>
        </w:rPr>
      </w:pPr>
      <w:r>
        <w:rPr>
          <w:rFonts w:hint="default" w:ascii="Times New Roman" w:hAnsi="Times New Roman" w:eastAsia="CourierNewPS-BoldMT" w:cs="Times New Roman"/>
          <w:b/>
          <w:color w:val="7F7F7F" w:themeColor="background1" w:themeShade="80"/>
          <w:kern w:val="0"/>
          <w:sz w:val="22"/>
          <w:szCs w:val="22"/>
          <w:lang w:val="en-US" w:eastAsia="zh-CN" w:bidi="ar"/>
        </w:rPr>
        <w:t>Section 6</w:t>
      </w:r>
      <w:r>
        <w:rPr>
          <w:rFonts w:hint="default" w:ascii="Times New Roman" w:hAnsi="Times New Roman" w:eastAsia="CourierNewPSMT" w:cs="Times New Roman"/>
          <w:color w:val="7F7F7F" w:themeColor="background1" w:themeShade="80"/>
          <w:kern w:val="0"/>
          <w:sz w:val="22"/>
          <w:szCs w:val="22"/>
          <w:lang w:val="en-US" w:eastAsia="zh-CN" w:bidi="ar"/>
        </w:rPr>
        <w:t>: Simple SMARTS patterns – These bits test for the presence of simple</w:t>
      </w:r>
      <w:r>
        <w:rPr>
          <w:rFonts w:hint="eastAsia" w:ascii="Times New Roman" w:hAnsi="Times New Roman" w:eastAsia="CourierNewPSMT" w:cs="Times New Roman"/>
          <w:color w:val="7F7F7F" w:themeColor="background1" w:themeShade="8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CourierNewPSMT" w:cs="Times New Roman"/>
          <w:color w:val="7F7F7F" w:themeColor="background1" w:themeShade="80"/>
          <w:kern w:val="0"/>
          <w:sz w:val="22"/>
          <w:szCs w:val="22"/>
          <w:lang w:val="en-US" w:eastAsia="zh-CN" w:bidi="ar"/>
        </w:rPr>
        <w:t>SMARTS patterns, regardless of count, but where bond orders are specific and bond</w:t>
      </w:r>
      <w:r>
        <w:rPr>
          <w:rFonts w:hint="eastAsia" w:ascii="Times New Roman" w:hAnsi="Times New Roman" w:eastAsia="CourierNewPSMT" w:cs="Times New Roman"/>
          <w:color w:val="7F7F7F" w:themeColor="background1" w:themeShade="8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CourierNewPSMT" w:cs="Times New Roman"/>
          <w:color w:val="7F7F7F" w:themeColor="background1" w:themeShade="80"/>
          <w:kern w:val="0"/>
          <w:sz w:val="22"/>
          <w:szCs w:val="22"/>
          <w:lang w:val="en-US" w:eastAsia="zh-CN" w:bidi="ar"/>
        </w:rPr>
        <w:t xml:space="preserve">aromaticity matches both single and double bonds.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default"/>
          <w:b/>
          <w:bCs/>
          <w:color w:val="7F7F7F" w:themeColor="background1" w:themeShade="80"/>
          <w:sz w:val="22"/>
          <w:szCs w:val="22"/>
          <w:lang w:val="en-US" w:eastAsia="zh-CN"/>
        </w:rPr>
      </w:pPr>
      <w:r>
        <w:rPr>
          <w:rFonts w:hint="default" w:ascii="Times New Roman" w:hAnsi="Times New Roman" w:eastAsia="CourierNewPS-BoldMT" w:cs="Times New Roman"/>
          <w:b/>
          <w:color w:val="7F7F7F" w:themeColor="background1" w:themeShade="80"/>
          <w:kern w:val="0"/>
          <w:sz w:val="22"/>
          <w:szCs w:val="22"/>
          <w:lang w:val="en-US" w:eastAsia="zh-CN" w:bidi="ar"/>
        </w:rPr>
        <w:t>Section 7</w:t>
      </w:r>
      <w:r>
        <w:rPr>
          <w:rFonts w:hint="default" w:ascii="Times New Roman" w:hAnsi="Times New Roman" w:eastAsia="CourierNewPSMT" w:cs="Times New Roman"/>
          <w:color w:val="7F7F7F" w:themeColor="background1" w:themeShade="80"/>
          <w:kern w:val="0"/>
          <w:sz w:val="22"/>
          <w:szCs w:val="22"/>
          <w:lang w:val="en-US" w:eastAsia="zh-CN" w:bidi="ar"/>
        </w:rPr>
        <w:t>: Complex SMARTS patterns – These bits test for the presence of complex SMARTS patterns, regardless of count, but where bond orders and bond aromaticity are specific.</w:t>
      </w:r>
    </w:p>
    <w:tbl>
      <w:tblPr>
        <w:tblStyle w:val="4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766"/>
        <w:gridCol w:w="53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Section</w:t>
            </w:r>
          </w:p>
        </w:tc>
        <w:tc>
          <w:tcPr>
            <w:tcW w:w="103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eastAsiaTheme="minorEastAsia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Bit Position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default" w:eastAsiaTheme="minorEastAsia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Bit Substructure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3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PubchemFP301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N-O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4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PubchemFP406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O(~C)(~H)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1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PubchemFP15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2 N</w:t>
            </w:r>
          </w:p>
        </w:tc>
      </w:tr>
      <w:tr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2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PubchemFP118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1 saturated or aromatic heteroatom-containing ring size 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3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PubchemFP300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N-N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6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PubchemFP637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O-C-C-C-C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1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PubchemFP10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4 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6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PubchemFP546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N-C:C-[#1]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7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PubchemFP716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Cc1ccc(N)cc1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5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PubchemFP443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C(-C)(=O)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4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PubchemFP366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C(~H)(~O)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Section 6 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PubchemFP545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N-C:C-C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5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PubchemFP437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C(-C)(-N)(=C)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2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PubchemFP115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1 any ring size 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2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PubchemFP178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1 any ring size 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1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PubchemFP56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1 Cr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3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PubchemFP308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O-H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1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PubchemFP19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2 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4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PubchemFP377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C(~N)(:C)(:C)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4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PubchemFP385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C(:C)(:C)(:C)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4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PubchemFP346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C(~C)(~H)(~O)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4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PubchemFP374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C(~H)(~H)(~H)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2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PubchemFP200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4 saturated or aromatic carbon-only ring size 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7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PubchemFP734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Cc1cc(C)ccc1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1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PubchemFP2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16 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6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PubchemFP582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C-C-C-C-C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4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PubchemFP342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C(~C)(~Cl)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3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PubchemFP285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C-N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4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PubchemFP344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C(~C)(~H)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3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PubchemFP284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C-C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5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PubchemFP452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C(-O)(=O)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6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PubchemFP697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C-C-C-C-C-C(C)-C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6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PubchemFP516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[#1]-C=C-[#1]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2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PubchemFP185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2 any ring size 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1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PubchemFP9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2 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1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PubchemFP37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1 Cl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2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PubchemFP179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1 saturated or aromatic carbon-only ring size 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4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PubchemFP361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C(~Cl)(~H)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6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PubchemFP614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C-C-O-C-C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6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PubchemFP660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C-C=C-C-C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6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PubchemFP540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C-N-C-[#1]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1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PubchemFP14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1 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6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PubchemFP696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C-C-C-C-C-C-C-C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6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PubchemFP535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O=C-C-C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3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PubchemFP283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C-H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3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PubchemFP286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C-O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4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PubchemFP390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N(~C)(~C)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1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PubchemFP11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8 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1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PubchemFP12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16 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1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PubchemFP39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4 Cl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4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PubchemFP365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C(~H)(~N)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4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PubchemFP340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C(~C)(~C)(~N)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6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PubchemFP567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O-C-C-O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2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PubchemFP186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2 saturated or aromatic carbon-only ring size 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5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PubchemFP440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C(-C)(-O)(=O)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4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PubchemFP339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C(~C)(~C)(~H)(~O)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6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PubchemFP643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[#1]-C-C-N-[#1]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1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PubchemFP18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1 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5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PubchemFP420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C=O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1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PubchemFP1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8 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1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PubchemFP0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4 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6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PubchemFP524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C-C=C-C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4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PubchemFP393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 w:ascii="Times New Roman" w:hAnsi="Times New Roman" w:cs="Times New Roman"/>
                <w:lang w:val="en-US" w:eastAsia="zh-CN"/>
              </w:rPr>
              <w:t>N(~C)(~H)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5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PubchemFP455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N(-O)(=O)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4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PubchemFP351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C(~C)(~N)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2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PubchemFP192</w:t>
            </w:r>
          </w:p>
        </w:tc>
        <w:tc>
          <w:tcPr>
            <w:tcW w:w="315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3 any ring size 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3</w:t>
            </w:r>
          </w:p>
        </w:tc>
        <w:tc>
          <w:tcPr>
            <w:tcW w:w="103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PubchemFP299</w:t>
            </w:r>
          </w:p>
        </w:tc>
        <w:tc>
          <w:tcPr>
            <w:tcW w:w="3154" w:type="pct"/>
            <w:shd w:val="clear" w:color="auto" w:fill="F1F1F1" w:themeFill="background1" w:themeFillShade="F2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N-H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8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Section 2</w:t>
            </w:r>
          </w:p>
        </w:tc>
        <w:tc>
          <w:tcPr>
            <w:tcW w:w="1036" w:type="pct"/>
            <w:shd w:val="clear" w:color="auto" w:fill="F1F1F1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PubchemFP257</w:t>
            </w:r>
          </w:p>
        </w:tc>
        <w:tc>
          <w:tcPr>
            <w:tcW w:w="3154" w:type="pct"/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&gt;= 2 aromatic rings</w:t>
            </w:r>
          </w:p>
        </w:tc>
      </w:tr>
    </w:tbl>
    <w:p>
      <w:pPr>
        <w:jc w:val="center"/>
        <w:rPr>
          <w:rFonts w:ascii="Times New Roman" w:hAnsi="Times New Roman"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NewPS-Bold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NewPS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New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704AD5"/>
    <w:multiLevelType w:val="singleLevel"/>
    <w:tmpl w:val="9E704AD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53814"/>
    <w:rsid w:val="65914AC2"/>
    <w:rsid w:val="714A4BFE"/>
    <w:rsid w:val="7CD5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Plain Table 4"/>
    <w:basedOn w:val="2"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2021-02-10T07:55:00Z</dcterms:created>
  <dc:creator>Administrator</dc:creator>
  <cp:lastModifiedBy>Administrator</cp:lastModifiedBy>
  <dcterms:modified xsi:type="dcterms:W3CDTF">2021-02-10T09:13:00Z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