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62F96" w14:textId="6454231D" w:rsidR="00C2010B" w:rsidRDefault="00C2010B" w:rsidP="00C2010B">
      <w:pPr>
        <w:pStyle w:val="Body"/>
        <w:spacing w:line="480" w:lineRule="auto"/>
        <w:rPr>
          <w:rStyle w:val="None"/>
          <w:sz w:val="22"/>
          <w:szCs w:val="22"/>
        </w:rPr>
      </w:pPr>
      <w:r>
        <w:rPr>
          <w:rStyle w:val="None"/>
          <w:b/>
          <w:bCs/>
          <w:sz w:val="22"/>
          <w:szCs w:val="22"/>
        </w:rPr>
        <w:t xml:space="preserve">Supplementary </w:t>
      </w:r>
      <w:r w:rsidR="00104E3D">
        <w:rPr>
          <w:rStyle w:val="None"/>
          <w:b/>
          <w:bCs/>
          <w:sz w:val="22"/>
          <w:szCs w:val="22"/>
        </w:rPr>
        <w:t xml:space="preserve">Figure </w:t>
      </w:r>
      <w:r w:rsidR="00BE690D">
        <w:rPr>
          <w:rStyle w:val="None"/>
          <w:b/>
          <w:bCs/>
          <w:sz w:val="22"/>
          <w:szCs w:val="22"/>
        </w:rPr>
        <w:t>6</w:t>
      </w:r>
      <w:r>
        <w:rPr>
          <w:rStyle w:val="None"/>
          <w:b/>
          <w:bCs/>
          <w:sz w:val="22"/>
          <w:szCs w:val="22"/>
        </w:rPr>
        <w:t xml:space="preserve">. </w:t>
      </w:r>
      <w:r>
        <w:rPr>
          <w:rStyle w:val="None"/>
          <w:sz w:val="22"/>
          <w:szCs w:val="22"/>
        </w:rPr>
        <w:t xml:space="preserve">We found ribosomal RNA of a digenean trematode in this study. Initial analysis suggested that this trematode species is related to </w:t>
      </w:r>
      <w:r>
        <w:rPr>
          <w:rStyle w:val="None"/>
          <w:i/>
          <w:iCs/>
          <w:sz w:val="22"/>
          <w:szCs w:val="22"/>
        </w:rPr>
        <w:t>Lecithodendrium linstowi</w:t>
      </w:r>
      <w:r>
        <w:rPr>
          <w:rStyle w:val="None"/>
          <w:sz w:val="22"/>
          <w:szCs w:val="22"/>
        </w:rPr>
        <w:t xml:space="preserve">, one of the most prevalent and abundant trematodes of bats [1]. The first intermediate mollusk host of </w:t>
      </w:r>
      <w:r>
        <w:rPr>
          <w:rStyle w:val="None"/>
          <w:i/>
          <w:iCs/>
          <w:sz w:val="22"/>
          <w:szCs w:val="22"/>
        </w:rPr>
        <w:t>L. linstowi</w:t>
      </w:r>
      <w:r>
        <w:rPr>
          <w:rStyle w:val="None"/>
          <w:sz w:val="22"/>
          <w:szCs w:val="22"/>
        </w:rPr>
        <w:t xml:space="preserve"> was recently identified but the second intermediate insect host remains unknown [1]. The presence of a digenean trematode species similar to </w:t>
      </w:r>
      <w:r>
        <w:rPr>
          <w:rStyle w:val="None"/>
          <w:i/>
          <w:iCs/>
          <w:sz w:val="22"/>
          <w:szCs w:val="22"/>
        </w:rPr>
        <w:t>L. linstowi</w:t>
      </w:r>
      <w:r>
        <w:rPr>
          <w:rStyle w:val="None"/>
          <w:sz w:val="22"/>
          <w:szCs w:val="22"/>
        </w:rPr>
        <w:t xml:space="preserve"> in </w:t>
      </w:r>
      <w:r>
        <w:rPr>
          <w:rStyle w:val="None"/>
          <w:i/>
          <w:iCs/>
          <w:sz w:val="22"/>
          <w:szCs w:val="22"/>
          <w:lang w:val="it-IT"/>
        </w:rPr>
        <w:t>Cx. fuscocephala</w:t>
      </w:r>
      <w:r>
        <w:rPr>
          <w:rStyle w:val="None"/>
          <w:sz w:val="22"/>
          <w:szCs w:val="22"/>
        </w:rPr>
        <w:t xml:space="preserve"> could point to the possibility that culicines may represent the missing link in the life cycle of these digenean trematodes.</w:t>
      </w:r>
    </w:p>
    <w:p w14:paraId="001C68AF" w14:textId="77777777" w:rsidR="00C2010B" w:rsidRDefault="00C2010B" w:rsidP="00C2010B">
      <w:pPr>
        <w:pStyle w:val="Body"/>
        <w:spacing w:line="480" w:lineRule="auto"/>
        <w:rPr>
          <w:rStyle w:val="None"/>
          <w:b/>
          <w:bCs/>
          <w:sz w:val="22"/>
          <w:szCs w:val="22"/>
        </w:rPr>
      </w:pPr>
      <w:r>
        <w:rPr>
          <w:rStyle w:val="None"/>
          <w:sz w:val="22"/>
          <w:szCs w:val="22"/>
        </w:rPr>
        <w:t xml:space="preserve"> </w:t>
      </w:r>
      <w:r>
        <w:rPr>
          <w:rStyle w:val="None"/>
          <w:b/>
          <w:bCs/>
          <w:noProof/>
          <w:sz w:val="22"/>
          <w:szCs w:val="22"/>
        </w:rPr>
        <w:drawing>
          <wp:inline distT="0" distB="0" distL="0" distR="0" wp14:anchorId="66C9E1A5" wp14:editId="69E25A4B">
            <wp:extent cx="5943600" cy="1397000"/>
            <wp:effectExtent l="0" t="0" r="0" b="0"/>
            <wp:docPr id="1073741839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4.png" descr="image4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CE8B739" w14:textId="77777777" w:rsidR="00C2010B" w:rsidRDefault="00C2010B" w:rsidP="00C2010B">
      <w:pPr>
        <w:pStyle w:val="Body"/>
        <w:spacing w:line="480" w:lineRule="auto"/>
        <w:rPr>
          <w:rStyle w:val="None"/>
          <w:sz w:val="18"/>
          <w:szCs w:val="18"/>
        </w:rPr>
      </w:pPr>
      <w:r>
        <w:rPr>
          <w:rStyle w:val="None"/>
          <w:sz w:val="18"/>
          <w:szCs w:val="18"/>
        </w:rPr>
        <w:t xml:space="preserve"> </w:t>
      </w:r>
    </w:p>
    <w:p w14:paraId="3A092949" w14:textId="6CD8AC4A" w:rsidR="00C2010B" w:rsidRDefault="00C2010B" w:rsidP="00C2010B">
      <w:pPr>
        <w:pStyle w:val="Body"/>
        <w:spacing w:line="480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</w:rPr>
        <w:t xml:space="preserve">[1] Enabulele EE, Lawton SP, Walker AJ, Kirk RS. Molecular and morphological characterization of the cercariae of </w:t>
      </w:r>
      <w:r>
        <w:rPr>
          <w:rStyle w:val="None"/>
          <w:i/>
          <w:iCs/>
          <w:sz w:val="20"/>
          <w:szCs w:val="20"/>
        </w:rPr>
        <w:t>Lecithodendrium linstowi</w:t>
      </w:r>
      <w:r>
        <w:rPr>
          <w:rStyle w:val="None"/>
          <w:sz w:val="20"/>
          <w:szCs w:val="20"/>
        </w:rPr>
        <w:t xml:space="preserve"> (Dollfus, 1931), a trematode of bats, and incrimination of the first intermediate snail host, </w:t>
      </w:r>
      <w:r>
        <w:rPr>
          <w:rStyle w:val="None"/>
          <w:i/>
          <w:iCs/>
          <w:sz w:val="20"/>
          <w:szCs w:val="20"/>
        </w:rPr>
        <w:t>Radix balthica</w:t>
      </w:r>
      <w:r>
        <w:rPr>
          <w:rStyle w:val="None"/>
          <w:sz w:val="20"/>
          <w:szCs w:val="20"/>
          <w:lang w:val="it-IT"/>
        </w:rPr>
        <w:t>. Parasitology. 2018;145: 307</w:t>
      </w:r>
      <w:r>
        <w:rPr>
          <w:rStyle w:val="None"/>
          <w:sz w:val="20"/>
          <w:szCs w:val="20"/>
        </w:rPr>
        <w:t>–312. doi:10.1017/S0031182017001640</w:t>
      </w:r>
    </w:p>
    <w:p w14:paraId="35069897" w14:textId="77777777" w:rsidR="00C2010B" w:rsidRDefault="00C2010B"/>
    <w:sectPr w:rsidR="00C20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notTrueType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0B"/>
    <w:rsid w:val="00104E3D"/>
    <w:rsid w:val="00BE690D"/>
    <w:rsid w:val="00C2010B"/>
    <w:rsid w:val="00FD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E2C6FB"/>
  <w15:chartTrackingRefBased/>
  <w15:docId w15:val="{D69EAFDE-EF45-A449-8BE8-52288B8D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201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C20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Panpim Thongsripong</dc:creator>
  <cp:keywords/>
  <dc:description/>
  <cp:lastModifiedBy>Panpim Thongsripong</cp:lastModifiedBy>
  <cp:revision>4</cp:revision>
  <dcterms:created xsi:type="dcterms:W3CDTF">2020-08-12T00:05:00Z</dcterms:created>
  <dcterms:modified xsi:type="dcterms:W3CDTF">2020-11-13T21:10:00Z</dcterms:modified>
</cp:coreProperties>
</file>