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highlight w:val="white"/>
        </w:rPr>
      </w:pPr>
      <w:r w:rsidDel="00000000" w:rsidR="00000000" w:rsidRPr="00000000">
        <w:rPr>
          <w:highlight w:val="white"/>
          <w:rtl w:val="0"/>
        </w:rPr>
        <w:t xml:space="preserve">Figure 5 shows the presence of three outlier positions in the limescale sample - with a high half-time and a complete deamidation.  </w:t>
      </w:r>
    </w:p>
    <w:p w:rsidR="00000000" w:rsidDel="00000000" w:rsidP="00000000" w:rsidRDefault="00000000" w:rsidRPr="00000000" w14:paraId="00000002">
      <w:pPr>
        <w:rPr>
          <w:highlight w:val="white"/>
        </w:rPr>
      </w:pPr>
      <w:r w:rsidDel="00000000" w:rsidR="00000000" w:rsidRPr="00000000">
        <w:rPr>
          <w:rtl w:val="0"/>
        </w:rPr>
      </w:r>
    </w:p>
    <w:tbl>
      <w:tblPr>
        <w:tblStyle w:val="Table1"/>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b w:val="1"/>
                <w:highlight w:val="white"/>
              </w:rPr>
            </w:pPr>
            <w:r w:rsidDel="00000000" w:rsidR="00000000" w:rsidRPr="00000000">
              <w:rPr>
                <w:b w:val="1"/>
                <w:highlight w:val="white"/>
                <w:rtl w:val="0"/>
              </w:rPr>
              <w:t xml:space="preserve">Sample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rPr>
                <w:b w:val="1"/>
                <w:highlight w:val="white"/>
              </w:rPr>
            </w:pPr>
            <w:r w:rsidDel="00000000" w:rsidR="00000000" w:rsidRPr="00000000">
              <w:rPr>
                <w:b w:val="1"/>
                <w:highlight w:val="white"/>
                <w:rtl w:val="0"/>
              </w:rPr>
              <w:t xml:space="preserve">Peptide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b w:val="1"/>
                <w:highlight w:val="white"/>
              </w:rPr>
            </w:pPr>
            <w:r w:rsidDel="00000000" w:rsidR="00000000" w:rsidRPr="00000000">
              <w:rPr>
                <w:b w:val="1"/>
                <w:highlight w:val="white"/>
                <w:rtl w:val="0"/>
              </w:rPr>
              <w:t xml:space="preserve">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widowControl w:val="0"/>
              <w:spacing w:line="240" w:lineRule="auto"/>
              <w:rPr>
                <w:b w:val="1"/>
                <w:highlight w:val="white"/>
              </w:rPr>
            </w:pPr>
            <w:r w:rsidDel="00000000" w:rsidR="00000000" w:rsidRPr="00000000">
              <w:rPr>
                <w:b w:val="1"/>
                <w:highlight w:val="white"/>
                <w:rtl w:val="0"/>
              </w:rPr>
              <w:t xml:space="preserve">Half-time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b w:val="1"/>
                <w:highlight w:val="white"/>
              </w:rPr>
            </w:pPr>
            <w:r w:rsidDel="00000000" w:rsidR="00000000" w:rsidRPr="00000000">
              <w:rPr>
                <w:b w:val="1"/>
                <w:highlight w:val="white"/>
                <w:rtl w:val="0"/>
              </w:rPr>
              <w:t xml:space="preserve">Assigned protein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b w:val="1"/>
                <w:highlight w:val="white"/>
              </w:rPr>
            </w:pPr>
            <w:r w:rsidDel="00000000" w:rsidR="00000000" w:rsidRPr="00000000">
              <w:rPr>
                <w:b w:val="1"/>
                <w:highlight w:val="white"/>
                <w:rtl w:val="0"/>
              </w:rPr>
              <w:t xml:space="preserve">Unique?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9">
            <w:pPr>
              <w:rPr>
                <w:sz w:val="20"/>
                <w:szCs w:val="20"/>
                <w:highlight w:val="white"/>
              </w:rPr>
            </w:pPr>
            <w:r w:rsidDel="00000000" w:rsidR="00000000" w:rsidRPr="00000000">
              <w:rPr>
                <w:sz w:val="20"/>
                <w:szCs w:val="20"/>
                <w:highlight w:val="white"/>
                <w:rtl w:val="0"/>
              </w:rPr>
              <w:t xml:space="preserve">Limescale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rPr>
                <w:highlight w:val="white"/>
              </w:rPr>
            </w:pPr>
            <w:r w:rsidDel="00000000" w:rsidR="00000000" w:rsidRPr="00000000">
              <w:rPr>
                <w:sz w:val="20"/>
                <w:szCs w:val="20"/>
                <w:highlight w:val="white"/>
                <w:rtl w:val="0"/>
              </w:rPr>
              <w:t xml:space="preserve">FPQPVVPYPQR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highlight w:val="white"/>
              </w:rPr>
            </w:pPr>
            <w:r w:rsidDel="00000000" w:rsidR="00000000" w:rsidRPr="00000000">
              <w:rPr>
                <w:highlight w:val="white"/>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rPr>
                <w:highlight w:val="white"/>
              </w:rPr>
            </w:pPr>
            <w:r w:rsidDel="00000000" w:rsidR="00000000" w:rsidRPr="00000000">
              <w:rPr>
                <w:sz w:val="20"/>
                <w:szCs w:val="20"/>
                <w:highlight w:val="white"/>
                <w:rtl w:val="0"/>
              </w:rPr>
              <w:t xml:space="preserve">6400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highlight w:val="white"/>
              </w:rPr>
            </w:pPr>
            <w:r w:rsidDel="00000000" w:rsidR="00000000" w:rsidRPr="00000000">
              <w:rPr>
                <w:highlight w:val="white"/>
                <w:rtl w:val="0"/>
              </w:rPr>
              <w:t xml:space="preserve">Horse CASB</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highlight w:val="white"/>
              </w:rPr>
            </w:pPr>
            <w:r w:rsidDel="00000000" w:rsidR="00000000" w:rsidRPr="00000000">
              <w:rPr>
                <w:highlight w:val="white"/>
                <w:rtl w:val="0"/>
              </w:rPr>
              <w:t xml:space="preserve">Equus unique, no paralogues </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0F">
            <w:pPr>
              <w:rPr>
                <w:sz w:val="20"/>
                <w:szCs w:val="20"/>
                <w:highlight w:val="white"/>
              </w:rPr>
            </w:pPr>
            <w:r w:rsidDel="00000000" w:rsidR="00000000" w:rsidRPr="00000000">
              <w:rPr>
                <w:sz w:val="20"/>
                <w:szCs w:val="20"/>
                <w:highlight w:val="white"/>
                <w:rtl w:val="0"/>
              </w:rPr>
              <w:t xml:space="preserve">Limescale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rPr>
                <w:highlight w:val="white"/>
              </w:rPr>
            </w:pPr>
            <w:r w:rsidDel="00000000" w:rsidR="00000000" w:rsidRPr="00000000">
              <w:rPr>
                <w:sz w:val="20"/>
                <w:szCs w:val="20"/>
                <w:highlight w:val="white"/>
                <w:rtl w:val="0"/>
              </w:rPr>
              <w:t xml:space="preserve">IVLTPWDQTK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highlight w:val="white"/>
              </w:rPr>
            </w:pPr>
            <w:r w:rsidDel="00000000" w:rsidR="00000000" w:rsidRPr="00000000">
              <w:rPr>
                <w:highlight w:val="white"/>
                <w:rtl w:val="0"/>
              </w:rPr>
              <w:t xml:space="preserve">65</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rPr>
                <w:highlight w:val="white"/>
              </w:rPr>
            </w:pPr>
            <w:r w:rsidDel="00000000" w:rsidR="00000000" w:rsidRPr="00000000">
              <w:rPr>
                <w:rFonts w:ascii="Roboto" w:cs="Roboto" w:eastAsia="Roboto" w:hAnsi="Roboto"/>
                <w:sz w:val="21"/>
                <w:szCs w:val="21"/>
                <w:highlight w:val="white"/>
                <w:rtl w:val="0"/>
              </w:rPr>
              <w:t xml:space="preserve">5400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highlight w:val="white"/>
              </w:rPr>
            </w:pPr>
            <w:r w:rsidDel="00000000" w:rsidR="00000000" w:rsidRPr="00000000">
              <w:rPr>
                <w:highlight w:val="white"/>
                <w:rtl w:val="0"/>
              </w:rPr>
              <w:t xml:space="preserve">Horse CASA2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highlight w:val="white"/>
              </w:rPr>
            </w:pPr>
            <w:r w:rsidDel="00000000" w:rsidR="00000000" w:rsidRPr="00000000">
              <w:rPr>
                <w:highlight w:val="white"/>
                <w:rtl w:val="0"/>
              </w:rPr>
              <w:t xml:space="preserve">Equus unique, sequence differences on non-deamidating residues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sz w:val="20"/>
                <w:szCs w:val="20"/>
                <w:highlight w:val="white"/>
                <w:rtl w:val="0"/>
              </w:rPr>
              <w:t xml:space="preserve">Limescale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rPr>
                <w:highlight w:val="white"/>
              </w:rPr>
            </w:pPr>
            <w:r w:rsidDel="00000000" w:rsidR="00000000" w:rsidRPr="00000000">
              <w:rPr>
                <w:sz w:val="20"/>
                <w:szCs w:val="20"/>
                <w:rtl w:val="0"/>
              </w:rPr>
              <w:t xml:space="preserve">YQGPIVLNPWDQVK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highlight w:val="white"/>
              </w:rPr>
            </w:pPr>
            <w:r w:rsidDel="00000000" w:rsidR="00000000" w:rsidRPr="00000000">
              <w:rPr>
                <w:highlight w:val="white"/>
                <w:rtl w:val="0"/>
              </w:rPr>
              <w:t xml:space="preserve">64</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highlight w:val="white"/>
              </w:rPr>
            </w:pPr>
            <w:r w:rsidDel="00000000" w:rsidR="00000000" w:rsidRPr="00000000">
              <w:rPr>
                <w:sz w:val="20"/>
                <w:szCs w:val="20"/>
                <w:rtl w:val="0"/>
              </w:rPr>
              <w:t xml:space="preserve">7600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highlight w:val="white"/>
              </w:rPr>
            </w:pPr>
            <w:r w:rsidDel="00000000" w:rsidR="00000000" w:rsidRPr="00000000">
              <w:rPr>
                <w:highlight w:val="white"/>
                <w:rtl w:val="0"/>
              </w:rPr>
              <w:t xml:space="preserve">Cow CASA2</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highlight w:val="white"/>
              </w:rPr>
            </w:pPr>
            <w:r w:rsidDel="00000000" w:rsidR="00000000" w:rsidRPr="00000000">
              <w:rPr>
                <w:highlight w:val="white"/>
                <w:rtl w:val="0"/>
              </w:rPr>
              <w:t xml:space="preserve">Unique to CASA2, non unique to species</w:t>
            </w:r>
          </w:p>
        </w:tc>
      </w:tr>
    </w:tbl>
    <w:p w:rsidR="00000000" w:rsidDel="00000000" w:rsidP="00000000" w:rsidRDefault="00000000" w:rsidRPr="00000000" w14:paraId="0000001B">
      <w:pPr>
        <w:rPr>
          <w:highlight w:val="white"/>
        </w:rPr>
      </w:pP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highlight w:val="white"/>
          <w:rtl w:val="0"/>
        </w:rPr>
        <w:t xml:space="preserve">Although all these peptides are unique to milk proteins, it is unlikely that horse casein was present in the laboratory environment that contaminated these samples. This, combined with the low score (just above the cutoff of 60), implies that these identifications are likely false positives. </w:t>
      </w:r>
    </w:p>
    <w:p w:rsidR="00000000" w:rsidDel="00000000" w:rsidP="00000000" w:rsidRDefault="00000000" w:rsidRPr="00000000" w14:paraId="0000001D">
      <w:pPr>
        <w:rPr>
          <w:highlight w:val="white"/>
        </w:rPr>
      </w:pPr>
      <w:r w:rsidDel="00000000" w:rsidR="00000000" w:rsidRPr="00000000">
        <w:rPr>
          <w:rtl w:val="0"/>
        </w:rPr>
      </w:r>
    </w:p>
    <w:p w:rsidR="00000000" w:rsidDel="00000000" w:rsidP="00000000" w:rsidRDefault="00000000" w:rsidRPr="00000000" w14:paraId="0000001E">
      <w:pPr>
        <w:rPr>
          <w:highlight w:val="white"/>
        </w:rPr>
      </w:pPr>
      <w:r w:rsidDel="00000000" w:rsidR="00000000" w:rsidRPr="00000000">
        <w:rPr>
          <w:highlight w:val="white"/>
          <w:rtl w:val="0"/>
        </w:rPr>
        <w:t xml:space="preserve">Though not depicted in Fig. 5, there are also BLG-origin outliers in this dataset. </w:t>
      </w:r>
    </w:p>
    <w:p w:rsidR="00000000" w:rsidDel="00000000" w:rsidP="00000000" w:rsidRDefault="00000000" w:rsidRPr="00000000" w14:paraId="0000001F">
      <w:pPr>
        <w:rPr>
          <w:highlight w:val="white"/>
        </w:rPr>
      </w:pPr>
      <w:r w:rsidDel="00000000" w:rsidR="00000000" w:rsidRPr="00000000">
        <w:rPr>
          <w:rtl w:val="0"/>
        </w:rPr>
      </w:r>
    </w:p>
    <w:tbl>
      <w:tblPr>
        <w:tblStyle w:val="Table2"/>
        <w:tblW w:w="9029.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04.8333333333333"/>
        <w:gridCol w:w="1504.8333333333333"/>
        <w:gridCol w:w="1504.8333333333333"/>
        <w:gridCol w:w="1504.8333333333333"/>
        <w:gridCol w:w="1504.8333333333333"/>
        <w:gridCol w:w="1504.8333333333333"/>
        <w:tblGridChange w:id="0">
          <w:tblGrid>
            <w:gridCol w:w="1504.8333333333333"/>
            <w:gridCol w:w="1504.8333333333333"/>
            <w:gridCol w:w="1504.8333333333333"/>
            <w:gridCol w:w="1504.8333333333333"/>
            <w:gridCol w:w="1504.8333333333333"/>
            <w:gridCol w:w="1504.8333333333333"/>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b w:val="1"/>
                <w:highlight w:val="white"/>
              </w:rPr>
            </w:pPr>
            <w:r w:rsidDel="00000000" w:rsidR="00000000" w:rsidRPr="00000000">
              <w:rPr>
                <w:b w:val="1"/>
                <w:highlight w:val="white"/>
                <w:rtl w:val="0"/>
              </w:rPr>
              <w:t xml:space="preserve">Sample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b w:val="1"/>
                <w:highlight w:val="white"/>
              </w:rPr>
            </w:pPr>
            <w:r w:rsidDel="00000000" w:rsidR="00000000" w:rsidRPr="00000000">
              <w:rPr>
                <w:b w:val="1"/>
                <w:highlight w:val="white"/>
                <w:rtl w:val="0"/>
              </w:rPr>
              <w:t xml:space="preserve">Peptide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b w:val="1"/>
                <w:highlight w:val="white"/>
              </w:rPr>
            </w:pPr>
            <w:r w:rsidDel="00000000" w:rsidR="00000000" w:rsidRPr="00000000">
              <w:rPr>
                <w:b w:val="1"/>
                <w:highlight w:val="white"/>
                <w:rtl w:val="0"/>
              </w:rPr>
              <w:t xml:space="preserve">Score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highlight w:val="white"/>
              </w:rPr>
            </w:pPr>
            <w:r w:rsidDel="00000000" w:rsidR="00000000" w:rsidRPr="00000000">
              <w:rPr>
                <w:b w:val="1"/>
                <w:highlight w:val="white"/>
                <w:rtl w:val="0"/>
              </w:rPr>
              <w:t xml:space="preserve">Half-time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b w:val="1"/>
                <w:highlight w:val="white"/>
              </w:rPr>
            </w:pPr>
            <w:r w:rsidDel="00000000" w:rsidR="00000000" w:rsidRPr="00000000">
              <w:rPr>
                <w:b w:val="1"/>
                <w:highlight w:val="white"/>
                <w:rtl w:val="0"/>
              </w:rPr>
              <w:t xml:space="preserve">Assigned protein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b w:val="1"/>
                <w:highlight w:val="white"/>
              </w:rPr>
            </w:pPr>
            <w:r w:rsidDel="00000000" w:rsidR="00000000" w:rsidRPr="00000000">
              <w:rPr>
                <w:b w:val="1"/>
                <w:highlight w:val="white"/>
                <w:rtl w:val="0"/>
              </w:rPr>
              <w:t xml:space="preserve">Unique?</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highlight w:val="white"/>
              </w:rPr>
            </w:pPr>
            <w:r w:rsidDel="00000000" w:rsidR="00000000" w:rsidRPr="00000000">
              <w:rPr>
                <w:highlight w:val="white"/>
                <w:rtl w:val="0"/>
              </w:rPr>
              <w:t xml:space="preserve">Blank</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rPr>
                <w:highlight w:val="white"/>
              </w:rPr>
            </w:pPr>
            <w:r w:rsidDel="00000000" w:rsidR="00000000" w:rsidRPr="00000000">
              <w:rPr>
                <w:rFonts w:ascii="Roboto" w:cs="Roboto" w:eastAsia="Roboto" w:hAnsi="Roboto"/>
                <w:sz w:val="21"/>
                <w:szCs w:val="21"/>
                <w:highlight w:val="white"/>
                <w:rtl w:val="0"/>
              </w:rPr>
              <w:t xml:space="preserve">DLQEVAGR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highlight w:val="white"/>
              </w:rPr>
            </w:pPr>
            <w:r w:rsidDel="00000000" w:rsidR="00000000" w:rsidRPr="00000000">
              <w:rPr>
                <w:highlight w:val="white"/>
                <w:rtl w:val="0"/>
              </w:rPr>
              <w:t xml:space="preserve">63</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highlight w:val="white"/>
              </w:rPr>
            </w:pPr>
            <w:r w:rsidDel="00000000" w:rsidR="00000000" w:rsidRPr="00000000">
              <w:rPr>
                <w:rFonts w:ascii="Roboto" w:cs="Roboto" w:eastAsia="Roboto" w:hAnsi="Roboto"/>
                <w:sz w:val="21"/>
                <w:szCs w:val="21"/>
                <w:highlight w:val="white"/>
                <w:rtl w:val="0"/>
              </w:rPr>
              <w:t xml:space="preserve">7400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highlight w:val="white"/>
              </w:rPr>
            </w:pPr>
            <w:r w:rsidDel="00000000" w:rsidR="00000000" w:rsidRPr="00000000">
              <w:rPr>
                <w:highlight w:val="white"/>
                <w:rtl w:val="0"/>
              </w:rPr>
              <w:t xml:space="preserve">Horse BLG</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highlight w:val="white"/>
              </w:rPr>
            </w:pPr>
            <w:r w:rsidDel="00000000" w:rsidR="00000000" w:rsidRPr="00000000">
              <w:rPr>
                <w:highlight w:val="white"/>
                <w:rtl w:val="0"/>
              </w:rPr>
              <w:t xml:space="preserve">Not unique, shared by bacteria</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highlight w:val="white"/>
              </w:rPr>
            </w:pPr>
            <w:r w:rsidDel="00000000" w:rsidR="00000000" w:rsidRPr="00000000">
              <w:rPr>
                <w:highlight w:val="white"/>
                <w:rtl w:val="0"/>
              </w:rPr>
              <w:t xml:space="preserve">Dental calculus B</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highlight w:val="white"/>
              </w:rPr>
            </w:pPr>
            <w:r w:rsidDel="00000000" w:rsidR="00000000" w:rsidRPr="00000000">
              <w:rPr>
                <w:rFonts w:ascii="Roboto" w:cs="Roboto" w:eastAsia="Roboto" w:hAnsi="Roboto"/>
                <w:sz w:val="21"/>
                <w:szCs w:val="21"/>
                <w:highlight w:val="white"/>
                <w:rtl w:val="0"/>
              </w:rPr>
              <w:t xml:space="preserve">RALQPLPGR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highlight w:val="white"/>
              </w:rPr>
            </w:pPr>
            <w:r w:rsidDel="00000000" w:rsidR="00000000" w:rsidRPr="00000000">
              <w:rPr>
                <w:highlight w:val="white"/>
                <w:rtl w:val="0"/>
              </w:rPr>
              <w:t xml:space="preserve">61</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highlight w:val="white"/>
              </w:rPr>
            </w:pPr>
            <w:r w:rsidDel="00000000" w:rsidR="00000000" w:rsidRPr="00000000">
              <w:rPr>
                <w:rFonts w:ascii="Roboto" w:cs="Roboto" w:eastAsia="Roboto" w:hAnsi="Roboto"/>
                <w:sz w:val="21"/>
                <w:szCs w:val="21"/>
                <w:highlight w:val="white"/>
                <w:rtl w:val="0"/>
              </w:rPr>
              <w:t xml:space="preserve">10000</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highlight w:val="white"/>
              </w:rPr>
            </w:pPr>
            <w:r w:rsidDel="00000000" w:rsidR="00000000" w:rsidRPr="00000000">
              <w:rPr>
                <w:highlight w:val="white"/>
                <w:rtl w:val="0"/>
              </w:rPr>
              <w:t xml:space="preserve">Horse BLG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highlight w:val="white"/>
              </w:rPr>
            </w:pPr>
            <w:r w:rsidDel="00000000" w:rsidR="00000000" w:rsidRPr="00000000">
              <w:rPr>
                <w:highlight w:val="white"/>
                <w:rtl w:val="0"/>
              </w:rPr>
              <w:t xml:space="preserve">Equus unique, no paralogues </w:t>
            </w:r>
          </w:p>
        </w:tc>
      </w:tr>
    </w:tbl>
    <w:p w:rsidR="00000000" w:rsidDel="00000000" w:rsidP="00000000" w:rsidRDefault="00000000" w:rsidRPr="00000000" w14:paraId="00000032">
      <w:pPr>
        <w:rPr>
          <w:highlight w:val="white"/>
        </w:rPr>
      </w:pPr>
      <w:r w:rsidDel="00000000" w:rsidR="00000000" w:rsidRPr="00000000">
        <w:rPr>
          <w:rtl w:val="0"/>
        </w:rPr>
      </w:r>
    </w:p>
    <w:p w:rsidR="00000000" w:rsidDel="00000000" w:rsidP="00000000" w:rsidRDefault="00000000" w:rsidRPr="00000000" w14:paraId="00000033">
      <w:pPr>
        <w:rPr>
          <w:highlight w:val="white"/>
        </w:rPr>
      </w:pPr>
      <w:r w:rsidDel="00000000" w:rsidR="00000000" w:rsidRPr="00000000">
        <w:rPr>
          <w:highlight w:val="white"/>
          <w:rtl w:val="0"/>
        </w:rPr>
        <w:t xml:space="preserve">Although the peptide found in the blank could plausibly have originated from a multitude of sources, as above, it is unlikely that horse BLG contaminated dental calculus in the laboratory environment. </w:t>
      </w:r>
    </w:p>
    <w:p w:rsidR="00000000" w:rsidDel="00000000" w:rsidP="00000000" w:rsidRDefault="00000000" w:rsidRPr="00000000" w14:paraId="0000003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