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4A2" w:rsidRPr="00596E8B" w:rsidRDefault="002E14A2" w:rsidP="002E14A2">
      <w:pPr>
        <w:spacing w:line="480" w:lineRule="auto"/>
        <w:ind w:right="567"/>
        <w:jc w:val="both"/>
        <w:rPr>
          <w:rStyle w:val="Nessuno"/>
          <w:rFonts w:ascii="Arial" w:hAnsi="Arial" w:cs="Arial"/>
          <w:b/>
          <w:lang w:val="en-GB"/>
        </w:rPr>
      </w:pPr>
      <w:bookmarkStart w:id="0" w:name="_GoBack"/>
      <w:bookmarkEnd w:id="0"/>
      <w:r w:rsidRPr="00596E8B">
        <w:rPr>
          <w:rStyle w:val="Nessuno"/>
          <w:rFonts w:ascii="Arial" w:hAnsi="Arial" w:cs="Arial"/>
          <w:b/>
          <w:lang w:val="en-GB"/>
        </w:rPr>
        <w:t xml:space="preserve">SUPPLEMENTARY FIGURE LEGENDS </w:t>
      </w:r>
    </w:p>
    <w:p w:rsidR="002E14A2" w:rsidRPr="00596E8B" w:rsidRDefault="002E14A2" w:rsidP="002E14A2">
      <w:pPr>
        <w:spacing w:line="480" w:lineRule="auto"/>
        <w:ind w:right="567"/>
        <w:jc w:val="both"/>
        <w:rPr>
          <w:rFonts w:ascii="Arial" w:hAnsi="Arial" w:cs="Arial"/>
          <w:lang w:val="en-US"/>
        </w:rPr>
      </w:pPr>
      <w:r w:rsidRPr="00596E8B">
        <w:rPr>
          <w:rFonts w:ascii="Arial" w:hAnsi="Arial" w:cs="Arial"/>
          <w:lang w:val="en-US"/>
        </w:rPr>
        <w:t xml:space="preserve"> </w:t>
      </w:r>
      <w:r w:rsidRPr="00596E8B">
        <w:rPr>
          <w:rFonts w:ascii="Arial" w:hAnsi="Arial" w:cs="Arial"/>
          <w:b/>
          <w:bCs/>
          <w:lang w:val="en-US"/>
        </w:rPr>
        <w:t>Supplementary Figure 1</w:t>
      </w:r>
      <w:r w:rsidRPr="00596E8B">
        <w:rPr>
          <w:rFonts w:ascii="Arial" w:hAnsi="Arial" w:cs="Arial"/>
          <w:lang w:val="en-US"/>
        </w:rPr>
        <w:t xml:space="preserve">. Affected cat, kidney section stained with Congo red and photographed in bright field (A) and under polarized light (B). </w:t>
      </w:r>
      <w:bookmarkStart w:id="1" w:name="_Hlk64970630"/>
      <w:r w:rsidRPr="00596E8B">
        <w:rPr>
          <w:rFonts w:ascii="Arial" w:hAnsi="Arial" w:cs="Arial"/>
          <w:lang w:val="en-US"/>
        </w:rPr>
        <w:t xml:space="preserve">Magnification 100 x. </w:t>
      </w:r>
      <w:bookmarkEnd w:id="1"/>
      <w:proofErr w:type="gramStart"/>
      <w:r w:rsidRPr="00596E8B">
        <w:rPr>
          <w:rFonts w:ascii="Arial" w:hAnsi="Arial" w:cs="Arial"/>
          <w:lang w:val="en-US"/>
        </w:rPr>
        <w:t>Interstitial</w:t>
      </w:r>
      <w:proofErr w:type="gramEnd"/>
      <w:r w:rsidRPr="00596E8B">
        <w:rPr>
          <w:rFonts w:ascii="Arial" w:hAnsi="Arial" w:cs="Arial"/>
          <w:lang w:val="en-US"/>
        </w:rPr>
        <w:t xml:space="preserve"> amyloid deposits in the renal medulla are salmon-pink stained under non-polarized light and </w:t>
      </w:r>
      <w:proofErr w:type="spellStart"/>
      <w:r w:rsidRPr="00596E8B">
        <w:rPr>
          <w:rFonts w:ascii="Arial" w:hAnsi="Arial" w:cs="Arial"/>
          <w:lang w:val="en-US"/>
        </w:rPr>
        <w:t>birefringent</w:t>
      </w:r>
      <w:proofErr w:type="spellEnd"/>
      <w:r w:rsidRPr="00596E8B">
        <w:rPr>
          <w:rFonts w:ascii="Arial" w:hAnsi="Arial" w:cs="Arial"/>
          <w:lang w:val="en-US"/>
        </w:rPr>
        <w:t xml:space="preserve"> under polarized light. Staining and birefringence are absent in potassium permanganate pre-treated sections (data not shown).</w:t>
      </w:r>
    </w:p>
    <w:p w:rsidR="002E14A2" w:rsidRPr="00596E8B" w:rsidRDefault="002E14A2" w:rsidP="002E14A2">
      <w:pPr>
        <w:spacing w:line="480" w:lineRule="auto"/>
        <w:ind w:right="567"/>
        <w:jc w:val="both"/>
        <w:rPr>
          <w:rFonts w:ascii="Arial" w:hAnsi="Arial" w:cs="Arial"/>
          <w:lang w:val="en-US"/>
        </w:rPr>
      </w:pPr>
    </w:p>
    <w:p w:rsidR="002E14A2" w:rsidRPr="00596E8B" w:rsidRDefault="002E14A2" w:rsidP="002E14A2">
      <w:pPr>
        <w:spacing w:line="480" w:lineRule="auto"/>
        <w:ind w:right="567"/>
        <w:jc w:val="both"/>
        <w:rPr>
          <w:rFonts w:ascii="Arial" w:hAnsi="Arial" w:cs="Arial"/>
          <w:lang w:val="en-US"/>
        </w:rPr>
      </w:pPr>
      <w:r w:rsidRPr="00596E8B">
        <w:rPr>
          <w:rFonts w:ascii="Arial" w:hAnsi="Arial" w:cs="Arial"/>
          <w:b/>
          <w:bCs/>
          <w:lang w:val="en-US"/>
        </w:rPr>
        <w:t xml:space="preserve">Supplementary Figure 2. </w:t>
      </w:r>
      <w:r w:rsidRPr="00596E8B">
        <w:rPr>
          <w:rFonts w:ascii="Arial" w:hAnsi="Arial" w:cs="Arial"/>
          <w:lang w:val="en-US"/>
        </w:rPr>
        <w:t>Distribution into the categorical annotation of the proteins up</w:t>
      </w:r>
      <w:r>
        <w:rPr>
          <w:rFonts w:ascii="Arial" w:hAnsi="Arial" w:cs="Arial"/>
          <w:lang w:val="en-US"/>
        </w:rPr>
        <w:t>-</w:t>
      </w:r>
      <w:r w:rsidRPr="00596E8B">
        <w:rPr>
          <w:rFonts w:ascii="Arial" w:hAnsi="Arial" w:cs="Arial"/>
          <w:lang w:val="en-US"/>
        </w:rPr>
        <w:t>regulated or present only in pathological kidneys. The bar chart shows the fold enrichment of the most enriched categories. Numbers next to the bars indicate the count.</w:t>
      </w:r>
    </w:p>
    <w:p w:rsidR="002E14A2" w:rsidRPr="00596E8B" w:rsidRDefault="002E14A2" w:rsidP="002E14A2">
      <w:pPr>
        <w:spacing w:line="480" w:lineRule="auto"/>
        <w:ind w:right="567"/>
        <w:jc w:val="both"/>
        <w:rPr>
          <w:rStyle w:val="Nessuno"/>
          <w:rFonts w:ascii="Arial" w:hAnsi="Arial" w:cs="Arial"/>
          <w:b/>
          <w:lang w:val="en-GB"/>
        </w:rPr>
      </w:pPr>
    </w:p>
    <w:p w:rsidR="002E14A2" w:rsidRPr="00596E8B" w:rsidRDefault="002E14A2" w:rsidP="002E14A2">
      <w:pPr>
        <w:spacing w:line="480" w:lineRule="auto"/>
        <w:ind w:right="567"/>
        <w:jc w:val="both"/>
        <w:rPr>
          <w:rFonts w:ascii="Arial" w:hAnsi="Arial" w:cs="Arial"/>
          <w:lang w:val="en-US"/>
        </w:rPr>
      </w:pPr>
      <w:r w:rsidRPr="00596E8B">
        <w:rPr>
          <w:rFonts w:ascii="Arial" w:hAnsi="Arial" w:cs="Arial"/>
          <w:b/>
          <w:bCs/>
          <w:lang w:val="en-US"/>
        </w:rPr>
        <w:t xml:space="preserve">Supplementary Figure 3. </w:t>
      </w:r>
      <w:proofErr w:type="spellStart"/>
      <w:r w:rsidRPr="00596E8B">
        <w:rPr>
          <w:rFonts w:ascii="Arial" w:hAnsi="Arial" w:cs="Arial"/>
          <w:lang w:val="en-US"/>
        </w:rPr>
        <w:t>Bioanalyzer</w:t>
      </w:r>
      <w:proofErr w:type="spellEnd"/>
      <w:r w:rsidRPr="00596E8B">
        <w:rPr>
          <w:rFonts w:ascii="Arial" w:hAnsi="Arial" w:cs="Arial"/>
          <w:lang w:val="en-US"/>
        </w:rPr>
        <w:t xml:space="preserve"> Agilent RNA 6000 </w:t>
      </w:r>
      <w:proofErr w:type="spellStart"/>
      <w:r w:rsidRPr="00596E8B">
        <w:rPr>
          <w:rFonts w:ascii="Arial" w:hAnsi="Arial" w:cs="Arial"/>
          <w:lang w:val="en-US"/>
        </w:rPr>
        <w:t>Nano</w:t>
      </w:r>
      <w:proofErr w:type="spellEnd"/>
      <w:r w:rsidRPr="00596E8B">
        <w:rPr>
          <w:rFonts w:ascii="Arial" w:hAnsi="Arial" w:cs="Arial"/>
          <w:lang w:val="en-US"/>
        </w:rPr>
        <w:t xml:space="preserve"> Assay plots of samples characterized by a double step of </w:t>
      </w:r>
      <w:proofErr w:type="spellStart"/>
      <w:r w:rsidRPr="00596E8B">
        <w:rPr>
          <w:rFonts w:ascii="Arial" w:hAnsi="Arial" w:cs="Arial"/>
          <w:lang w:val="en-US"/>
        </w:rPr>
        <w:t>deparaffinization</w:t>
      </w:r>
      <w:proofErr w:type="spellEnd"/>
      <w:r w:rsidRPr="00596E8B">
        <w:rPr>
          <w:rFonts w:ascii="Arial" w:hAnsi="Arial" w:cs="Arial"/>
          <w:lang w:val="en-US"/>
        </w:rPr>
        <w:t xml:space="preserve">. It is possible to notice two well distinguished peaks: the first one on the left represents the marker, while the second peak corresponds to the amount of isolated </w:t>
      </w:r>
      <w:proofErr w:type="spellStart"/>
      <w:r w:rsidRPr="00596E8B">
        <w:rPr>
          <w:rFonts w:ascii="Arial" w:hAnsi="Arial" w:cs="Arial"/>
          <w:lang w:val="en-US"/>
        </w:rPr>
        <w:t>miRNAs</w:t>
      </w:r>
      <w:proofErr w:type="spellEnd"/>
      <w:r w:rsidRPr="00596E8B">
        <w:rPr>
          <w:rFonts w:ascii="Arial" w:hAnsi="Arial" w:cs="Arial"/>
          <w:lang w:val="en-US"/>
        </w:rPr>
        <w:t>. Possible further peaks (sample A4; A5) can be referred to as potential contaminations of non-</w:t>
      </w:r>
      <w:proofErr w:type="spellStart"/>
      <w:r w:rsidRPr="00596E8B">
        <w:rPr>
          <w:rFonts w:ascii="Arial" w:hAnsi="Arial" w:cs="Arial"/>
          <w:lang w:val="en-US"/>
        </w:rPr>
        <w:t>miRNA</w:t>
      </w:r>
      <w:proofErr w:type="spellEnd"/>
      <w:r w:rsidRPr="00596E8B">
        <w:rPr>
          <w:rFonts w:ascii="Arial" w:hAnsi="Arial" w:cs="Arial"/>
          <w:lang w:val="en-US"/>
        </w:rPr>
        <w:t xml:space="preserve"> short RNAs.</w:t>
      </w:r>
    </w:p>
    <w:p w:rsidR="002E14A2" w:rsidRPr="00596E8B" w:rsidRDefault="002E14A2" w:rsidP="002E14A2">
      <w:pPr>
        <w:spacing w:line="480" w:lineRule="auto"/>
        <w:ind w:right="567"/>
        <w:jc w:val="both"/>
        <w:rPr>
          <w:rFonts w:ascii="Arial" w:hAnsi="Arial" w:cs="Arial"/>
          <w:lang w:val="en-US"/>
        </w:rPr>
      </w:pPr>
    </w:p>
    <w:p w:rsidR="002E14A2" w:rsidRPr="00596E8B" w:rsidRDefault="002E14A2" w:rsidP="002E14A2">
      <w:pPr>
        <w:spacing w:line="480" w:lineRule="auto"/>
        <w:ind w:right="567"/>
        <w:jc w:val="both"/>
        <w:rPr>
          <w:rFonts w:ascii="Arial" w:hAnsi="Arial" w:cs="Arial"/>
          <w:lang w:val="en-US"/>
        </w:rPr>
      </w:pPr>
      <w:r w:rsidRPr="00596E8B">
        <w:rPr>
          <w:rFonts w:ascii="Arial" w:hAnsi="Arial" w:cs="Arial"/>
          <w:b/>
          <w:bCs/>
          <w:lang w:val="en-US"/>
        </w:rPr>
        <w:t xml:space="preserve">Supplementary Figure 4. </w:t>
      </w:r>
      <w:r w:rsidRPr="00596E8B">
        <w:rPr>
          <w:rFonts w:ascii="Arial" w:hAnsi="Arial" w:cs="Arial"/>
          <w:lang w:val="en-US"/>
        </w:rPr>
        <w:t xml:space="preserve">Quality control of the sequencing data with </w:t>
      </w:r>
      <w:proofErr w:type="spellStart"/>
      <w:r w:rsidRPr="00596E8B">
        <w:rPr>
          <w:rFonts w:ascii="Arial" w:hAnsi="Arial" w:cs="Arial"/>
          <w:lang w:val="en-US"/>
        </w:rPr>
        <w:t>FastQC</w:t>
      </w:r>
      <w:proofErr w:type="spellEnd"/>
      <w:r w:rsidRPr="00596E8B">
        <w:rPr>
          <w:rFonts w:ascii="Arial" w:hAnsi="Arial" w:cs="Arial"/>
          <w:lang w:val="en-US"/>
        </w:rPr>
        <w:t>. The left image</w:t>
      </w:r>
      <w:r w:rsidRPr="00596E8B">
        <w:rPr>
          <w:rFonts w:ascii="Arial" w:hAnsi="Arial" w:cs="Arial"/>
          <w:b/>
          <w:bCs/>
          <w:lang w:val="en-US"/>
        </w:rPr>
        <w:t xml:space="preserve"> </w:t>
      </w:r>
      <w:r w:rsidRPr="00596E8B">
        <w:rPr>
          <w:rFonts w:ascii="Arial" w:hAnsi="Arial" w:cs="Arial"/>
          <w:lang w:val="en-US"/>
        </w:rPr>
        <w:t>shows the number of reads for each read length. The right image</w:t>
      </w:r>
      <w:r w:rsidRPr="00596E8B">
        <w:rPr>
          <w:rFonts w:ascii="Arial" w:hAnsi="Arial" w:cs="Arial"/>
          <w:b/>
          <w:bCs/>
          <w:lang w:val="en-US"/>
        </w:rPr>
        <w:t xml:space="preserve"> </w:t>
      </w:r>
      <w:r w:rsidRPr="00596E8B">
        <w:rPr>
          <w:rFonts w:ascii="Arial" w:hAnsi="Arial" w:cs="Arial"/>
          <w:lang w:val="en-US"/>
        </w:rPr>
        <w:t xml:space="preserve">reports the overall sequence quality. </w:t>
      </w:r>
    </w:p>
    <w:p w:rsidR="002E14A2" w:rsidRPr="00596E8B" w:rsidRDefault="002E14A2" w:rsidP="002E14A2">
      <w:pPr>
        <w:spacing w:line="480" w:lineRule="auto"/>
        <w:ind w:right="567"/>
        <w:jc w:val="both"/>
        <w:rPr>
          <w:rFonts w:ascii="Arial" w:hAnsi="Arial" w:cs="Arial"/>
          <w:lang w:val="en-US"/>
        </w:rPr>
      </w:pPr>
    </w:p>
    <w:p w:rsidR="002E14A2" w:rsidRPr="00596E8B" w:rsidRDefault="002E14A2" w:rsidP="002E14A2">
      <w:pPr>
        <w:spacing w:line="480" w:lineRule="auto"/>
        <w:ind w:right="567"/>
        <w:jc w:val="both"/>
        <w:rPr>
          <w:rFonts w:ascii="Arial" w:hAnsi="Arial" w:cs="Arial"/>
          <w:lang w:val="en-US"/>
        </w:rPr>
      </w:pPr>
      <w:r w:rsidRPr="00596E8B">
        <w:rPr>
          <w:rFonts w:ascii="Arial" w:hAnsi="Arial" w:cs="Arial"/>
          <w:b/>
          <w:bCs/>
          <w:kern w:val="24"/>
          <w:lang w:val="en-US"/>
        </w:rPr>
        <w:t xml:space="preserve">Supplementary Figure 5. </w:t>
      </w:r>
      <w:r w:rsidRPr="00596E8B">
        <w:rPr>
          <w:rFonts w:ascii="Arial" w:hAnsi="Arial" w:cs="Arial"/>
          <w:kern w:val="24"/>
          <w:lang w:val="en-US"/>
        </w:rPr>
        <w:t xml:space="preserve">The figure shows the sequencing data before and after the normalization with the TMM method. On the left, figures </w:t>
      </w:r>
      <w:r w:rsidRPr="00596E8B">
        <w:rPr>
          <w:rFonts w:ascii="Arial" w:hAnsi="Arial" w:cs="Arial"/>
          <w:b/>
          <w:bCs/>
          <w:kern w:val="24"/>
          <w:lang w:val="en-US"/>
        </w:rPr>
        <w:t xml:space="preserve">a, c, </w:t>
      </w:r>
      <w:r w:rsidRPr="00596E8B">
        <w:rPr>
          <w:rFonts w:ascii="Arial" w:hAnsi="Arial" w:cs="Arial"/>
          <w:kern w:val="24"/>
          <w:lang w:val="en-US"/>
        </w:rPr>
        <w:t xml:space="preserve">and </w:t>
      </w:r>
      <w:r w:rsidRPr="00596E8B">
        <w:rPr>
          <w:rFonts w:ascii="Arial" w:hAnsi="Arial" w:cs="Arial"/>
          <w:b/>
          <w:bCs/>
          <w:kern w:val="24"/>
          <w:lang w:val="en-US"/>
        </w:rPr>
        <w:t>e</w:t>
      </w:r>
      <w:r w:rsidRPr="00596E8B">
        <w:rPr>
          <w:rFonts w:ascii="Arial" w:hAnsi="Arial" w:cs="Arial"/>
          <w:kern w:val="24"/>
          <w:lang w:val="en-US"/>
        </w:rPr>
        <w:t xml:space="preserve">, show the Library </w:t>
      </w:r>
      <w:r w:rsidRPr="00596E8B">
        <w:rPr>
          <w:rFonts w:ascii="Arial" w:hAnsi="Arial" w:cs="Arial"/>
          <w:kern w:val="24"/>
          <w:lang w:val="en-US"/>
        </w:rPr>
        <w:lastRenderedPageBreak/>
        <w:t xml:space="preserve">Size, the </w:t>
      </w:r>
      <w:proofErr w:type="spellStart"/>
      <w:r w:rsidRPr="00596E8B">
        <w:rPr>
          <w:rFonts w:ascii="Arial" w:hAnsi="Arial" w:cs="Arial"/>
          <w:kern w:val="24"/>
          <w:lang w:val="en-US"/>
        </w:rPr>
        <w:t>miRNA</w:t>
      </w:r>
      <w:proofErr w:type="spellEnd"/>
      <w:r w:rsidRPr="00596E8B">
        <w:rPr>
          <w:rFonts w:ascii="Arial" w:hAnsi="Arial" w:cs="Arial"/>
          <w:kern w:val="24"/>
          <w:lang w:val="en-US"/>
        </w:rPr>
        <w:t xml:space="preserve"> density, and the read count before the normalization. Figure</w:t>
      </w:r>
      <w:r>
        <w:rPr>
          <w:rFonts w:ascii="Arial" w:hAnsi="Arial" w:cs="Arial"/>
          <w:kern w:val="24"/>
          <w:lang w:val="en-US"/>
        </w:rPr>
        <w:t>s</w:t>
      </w:r>
      <w:r w:rsidRPr="00596E8B">
        <w:rPr>
          <w:rFonts w:ascii="Arial" w:hAnsi="Arial" w:cs="Arial"/>
          <w:kern w:val="24"/>
          <w:lang w:val="en-US"/>
        </w:rPr>
        <w:t xml:space="preserve"> </w:t>
      </w:r>
      <w:r w:rsidRPr="00596E8B">
        <w:rPr>
          <w:rFonts w:ascii="Arial" w:hAnsi="Arial" w:cs="Arial"/>
          <w:b/>
          <w:bCs/>
          <w:kern w:val="24"/>
          <w:lang w:val="en-US"/>
        </w:rPr>
        <w:t xml:space="preserve">b, d, </w:t>
      </w:r>
      <w:r w:rsidRPr="00596E8B">
        <w:rPr>
          <w:rFonts w:ascii="Arial" w:hAnsi="Arial" w:cs="Arial"/>
          <w:kern w:val="24"/>
          <w:lang w:val="en-US"/>
        </w:rPr>
        <w:t xml:space="preserve">and </w:t>
      </w:r>
      <w:r w:rsidRPr="00596E8B">
        <w:rPr>
          <w:rFonts w:ascii="Arial" w:hAnsi="Arial" w:cs="Arial"/>
          <w:b/>
          <w:bCs/>
          <w:kern w:val="24"/>
          <w:lang w:val="en-US"/>
        </w:rPr>
        <w:t>f</w:t>
      </w:r>
      <w:r w:rsidRPr="00596E8B">
        <w:rPr>
          <w:rFonts w:ascii="Arial" w:hAnsi="Arial" w:cs="Arial"/>
          <w:kern w:val="24"/>
          <w:lang w:val="en-US"/>
        </w:rPr>
        <w:t xml:space="preserve"> represent the normalized sequencing data.</w:t>
      </w:r>
    </w:p>
    <w:p w:rsidR="00DA721B" w:rsidRDefault="00DA721B"/>
    <w:sectPr w:rsidR="00DA72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A2"/>
    <w:rsid w:val="00032C6D"/>
    <w:rsid w:val="000710E6"/>
    <w:rsid w:val="0029346E"/>
    <w:rsid w:val="002B514D"/>
    <w:rsid w:val="002E14A2"/>
    <w:rsid w:val="002E5106"/>
    <w:rsid w:val="003A2101"/>
    <w:rsid w:val="004B01A7"/>
    <w:rsid w:val="004B0DDB"/>
    <w:rsid w:val="00533640"/>
    <w:rsid w:val="0070676A"/>
    <w:rsid w:val="00965EE9"/>
    <w:rsid w:val="00BD4618"/>
    <w:rsid w:val="00C80F44"/>
    <w:rsid w:val="00C92500"/>
    <w:rsid w:val="00DA721B"/>
    <w:rsid w:val="00EC619E"/>
    <w:rsid w:val="00FE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793208-4772-45BC-8B92-FFFB5719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essuno">
    <w:name w:val="Nessuno"/>
    <w:rsid w:val="002E1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Sagashreshvaran S.</dc:creator>
  <cp:keywords/>
  <dc:description/>
  <cp:lastModifiedBy>Sagashreshvaran S.</cp:lastModifiedBy>
  <cp:revision>1</cp:revision>
  <dcterms:created xsi:type="dcterms:W3CDTF">2021-03-26T01:14:00Z</dcterms:created>
  <dcterms:modified xsi:type="dcterms:W3CDTF">2021-03-26T01:15:00Z</dcterms:modified>
</cp:coreProperties>
</file>