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3F5A8" w14:textId="77777777" w:rsidR="00DF3273" w:rsidRDefault="00DF3273" w:rsidP="00DF3273">
      <w:pPr>
        <w:spacing w:line="360" w:lineRule="auto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D</w:t>
      </w:r>
      <w:r w:rsidRPr="007B7488">
        <w:rPr>
          <w:rFonts w:ascii="Arial" w:hAnsi="Arial" w:cs="Arial"/>
          <w:b/>
          <w:szCs w:val="20"/>
        </w:rPr>
        <w:t>ifference</w:t>
      </w:r>
      <w:r>
        <w:rPr>
          <w:rFonts w:ascii="Arial" w:hAnsi="Arial" w:cs="Arial"/>
          <w:b/>
          <w:szCs w:val="20"/>
        </w:rPr>
        <w:t>s in host immune populations between rhesus macaques and cynomolgus macaque subspecies, in relation to</w:t>
      </w:r>
      <w:r w:rsidRPr="007B7488">
        <w:rPr>
          <w:rFonts w:ascii="Arial" w:hAnsi="Arial" w:cs="Arial"/>
          <w:b/>
          <w:szCs w:val="20"/>
        </w:rPr>
        <w:t xml:space="preserve"> susceptibility to </w:t>
      </w:r>
      <w:r w:rsidRPr="007B7488">
        <w:rPr>
          <w:rFonts w:ascii="Arial" w:hAnsi="Arial" w:cs="Arial"/>
          <w:b/>
          <w:i/>
          <w:szCs w:val="20"/>
        </w:rPr>
        <w:t>Mycobacterium tuberculosis</w:t>
      </w:r>
      <w:r w:rsidRPr="007B7488">
        <w:rPr>
          <w:rFonts w:ascii="Arial" w:hAnsi="Arial" w:cs="Arial"/>
          <w:b/>
          <w:szCs w:val="20"/>
        </w:rPr>
        <w:t xml:space="preserve"> infection</w:t>
      </w:r>
      <w:r w:rsidRPr="007B7488">
        <w:rPr>
          <w:rFonts w:ascii="Arial" w:hAnsi="Arial" w:cs="Arial"/>
          <w:szCs w:val="20"/>
        </w:rPr>
        <w:t>.</w:t>
      </w:r>
    </w:p>
    <w:p w14:paraId="48E3F54A" w14:textId="77777777" w:rsidR="00DF3273" w:rsidRPr="007B7488" w:rsidRDefault="00DF3273" w:rsidP="00DF3273">
      <w:pPr>
        <w:spacing w:line="360" w:lineRule="auto"/>
        <w:jc w:val="center"/>
        <w:rPr>
          <w:rFonts w:ascii="Arial" w:hAnsi="Arial" w:cs="Arial"/>
          <w:szCs w:val="20"/>
        </w:rPr>
      </w:pPr>
    </w:p>
    <w:p w14:paraId="6C45E7C1" w14:textId="59984C3A" w:rsidR="00DF3273" w:rsidRDefault="00DF3273" w:rsidP="00DF32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Laura Sibley*</w:t>
      </w:r>
      <w:r w:rsidRPr="00DB54CE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Owen Daykin-Pont*</w:t>
      </w:r>
      <w:r w:rsidRPr="00DB54CE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Charlotte Sarfas</w:t>
      </w:r>
      <w:r w:rsidRPr="009B4AB1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Jordan Pascoe</w:t>
      </w:r>
      <w:r w:rsidRPr="00E6332F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Andrew D. White</w:t>
      </w:r>
      <w:r w:rsidRPr="00DB54CE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, Sally Sharpe</w:t>
      </w:r>
      <w:r w:rsidRPr="00DB54CE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14:paraId="50D8C914" w14:textId="77777777" w:rsidR="00DF3273" w:rsidRDefault="00DF3273" w:rsidP="00DF3273">
      <w:pPr>
        <w:rPr>
          <w:rFonts w:ascii="Arial" w:hAnsi="Arial" w:cs="Arial"/>
          <w:sz w:val="18"/>
          <w:szCs w:val="20"/>
        </w:rPr>
      </w:pPr>
      <w:r w:rsidRPr="00DB54CE">
        <w:rPr>
          <w:rFonts w:ascii="Arial" w:hAnsi="Arial" w:cs="Arial"/>
          <w:sz w:val="18"/>
          <w:szCs w:val="20"/>
          <w:vertAlign w:val="superscript"/>
        </w:rPr>
        <w:t>1</w:t>
      </w:r>
      <w:r w:rsidRPr="00DB54CE">
        <w:rPr>
          <w:rFonts w:ascii="Arial" w:hAnsi="Arial" w:cs="Arial"/>
          <w:sz w:val="18"/>
          <w:szCs w:val="20"/>
        </w:rPr>
        <w:t>Public Health England – Porton, Salisbury, UK</w:t>
      </w:r>
    </w:p>
    <w:p w14:paraId="27A6E8BF" w14:textId="77777777" w:rsidR="00DF3273" w:rsidRDefault="00DF3273" w:rsidP="00DF3273">
      <w:pPr>
        <w:rPr>
          <w:rFonts w:ascii="Arial" w:hAnsi="Arial" w:cs="Arial"/>
          <w:sz w:val="18"/>
          <w:szCs w:val="20"/>
        </w:rPr>
      </w:pPr>
      <w:bookmarkStart w:id="0" w:name="_GoBack"/>
      <w:bookmarkEnd w:id="0"/>
    </w:p>
    <w:p w14:paraId="493BB11E" w14:textId="77777777" w:rsidR="00DF3273" w:rsidRPr="00754236" w:rsidRDefault="00DF3273" w:rsidP="00DF3273">
      <w:pPr>
        <w:rPr>
          <w:rFonts w:ascii="Arial" w:hAnsi="Arial" w:cs="Arial"/>
          <w:sz w:val="20"/>
          <w:szCs w:val="20"/>
        </w:rPr>
      </w:pPr>
      <w:r w:rsidRPr="00754236">
        <w:rPr>
          <w:rFonts w:ascii="Arial" w:hAnsi="Arial" w:cs="Arial"/>
          <w:sz w:val="20"/>
          <w:szCs w:val="20"/>
        </w:rPr>
        <w:t>Corresponding author: Laura S</w:t>
      </w:r>
      <w:r>
        <w:rPr>
          <w:rFonts w:ascii="Arial" w:hAnsi="Arial" w:cs="Arial"/>
          <w:sz w:val="20"/>
          <w:szCs w:val="20"/>
        </w:rPr>
        <w:t>i</w:t>
      </w:r>
      <w:r w:rsidRPr="00754236">
        <w:rPr>
          <w:rFonts w:ascii="Arial" w:hAnsi="Arial" w:cs="Arial"/>
          <w:sz w:val="20"/>
          <w:szCs w:val="20"/>
        </w:rPr>
        <w:t xml:space="preserve">bley </w:t>
      </w:r>
      <w:r w:rsidRPr="00754236">
        <w:rPr>
          <w:rFonts w:ascii="Arial" w:hAnsi="Arial" w:cs="Arial"/>
          <w:sz w:val="20"/>
          <w:szCs w:val="20"/>
        </w:rPr>
        <w:br/>
        <w:t xml:space="preserve">Address: Public Health England – Porton, Porton Down, Salisbury, Wiltshire, SP4 0JG, UK. </w:t>
      </w:r>
      <w:r w:rsidRPr="00754236">
        <w:rPr>
          <w:rFonts w:ascii="Arial" w:hAnsi="Arial" w:cs="Arial"/>
          <w:sz w:val="20"/>
          <w:szCs w:val="20"/>
        </w:rPr>
        <w:br/>
        <w:t>Telephone number:</w:t>
      </w:r>
      <w:r>
        <w:rPr>
          <w:rFonts w:ascii="Arial" w:hAnsi="Arial" w:cs="Arial"/>
          <w:sz w:val="20"/>
          <w:szCs w:val="20"/>
        </w:rPr>
        <w:t xml:space="preserve"> </w:t>
      </w:r>
      <w:r w:rsidRPr="00754236">
        <w:rPr>
          <w:rFonts w:ascii="Arial" w:hAnsi="Arial" w:cs="Arial"/>
          <w:sz w:val="20"/>
          <w:szCs w:val="20"/>
        </w:rPr>
        <w:t>01980</w:t>
      </w:r>
      <w:r>
        <w:rPr>
          <w:rFonts w:ascii="Arial" w:hAnsi="Arial" w:cs="Arial"/>
          <w:sz w:val="20"/>
          <w:szCs w:val="20"/>
        </w:rPr>
        <w:t xml:space="preserve"> </w:t>
      </w:r>
      <w:r w:rsidRPr="00754236">
        <w:rPr>
          <w:rFonts w:ascii="Arial" w:hAnsi="Arial" w:cs="Arial"/>
          <w:sz w:val="20"/>
          <w:szCs w:val="20"/>
        </w:rPr>
        <w:t>619864</w:t>
      </w:r>
      <w:r w:rsidRPr="00754236">
        <w:rPr>
          <w:rFonts w:ascii="Arial" w:hAnsi="Arial" w:cs="Arial"/>
          <w:sz w:val="20"/>
          <w:szCs w:val="20"/>
        </w:rPr>
        <w:br/>
        <w:t xml:space="preserve">e-mail address: </w:t>
      </w:r>
      <w:hyperlink r:id="rId4" w:history="1">
        <w:r w:rsidRPr="00754236">
          <w:rPr>
            <w:rStyle w:val="Hyperlink"/>
            <w:rFonts w:ascii="Arial" w:hAnsi="Arial" w:cs="Arial"/>
            <w:sz w:val="20"/>
            <w:szCs w:val="20"/>
          </w:rPr>
          <w:t>Laura.sibley@phe.gov.uk</w:t>
        </w:r>
      </w:hyperlink>
    </w:p>
    <w:p w14:paraId="46BF8873" w14:textId="41AA7708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data</w:t>
      </w:r>
    </w:p>
    <w:p w14:paraId="3CE273E0" w14:textId="189C09AE" w:rsidR="00DF3273" w:rsidRDefault="00DF327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6EA69AB" w14:textId="77777777" w:rsidR="00D17DD6" w:rsidRPr="00AA3295" w:rsidRDefault="00D17DD6" w:rsidP="00D17DD6">
      <w:pPr>
        <w:jc w:val="both"/>
        <w:rPr>
          <w:rFonts w:ascii="Arial" w:hAnsi="Arial" w:cs="Arial"/>
          <w:sz w:val="20"/>
          <w:szCs w:val="20"/>
        </w:rPr>
      </w:pPr>
      <w:r w:rsidRPr="009E7EF5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2C7EC41" wp14:editId="1ABF28B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464050"/>
            <wp:effectExtent l="0" t="0" r="2540" b="0"/>
            <wp:wrapNone/>
            <wp:docPr id="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DFB5CDA-8197-42F4-A99E-5F76EC97D2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DFB5CDA-8197-42F4-A99E-5F76EC97D2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4A33B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535704AB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4C5B063D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5B0B1E23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54900599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3433931A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399F2217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28EB976F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711D574F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0DAB77AD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061AD2A3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4E0F5FD3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3EDC0CBA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1AE104B4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457E2BA8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145DA3B3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675DD16F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15386D23" w14:textId="30F0C38D" w:rsidR="00D17DD6" w:rsidRPr="00E03626" w:rsidRDefault="00D17DD6" w:rsidP="00D17DD6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Supplementary figure </w:t>
      </w:r>
      <w:r w:rsidR="006B5139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: </w:t>
      </w:r>
      <w:r>
        <w:rPr>
          <w:rFonts w:ascii="Arial" w:hAnsi="Arial" w:cs="Arial"/>
          <w:i/>
          <w:sz w:val="20"/>
        </w:rPr>
        <w:t>Flow cytometric analysis of T and B-lymphocytes and NK-cells.</w:t>
      </w:r>
      <w:r>
        <w:rPr>
          <w:rFonts w:ascii="Arial" w:hAnsi="Arial" w:cs="Arial"/>
          <w:sz w:val="20"/>
        </w:rPr>
        <w:t xml:space="preserve"> Selection for all cell types was preceded by A) exclusion of doublets, B) gating by FSC SSC (A) profile, and C) selection of viable cells only. </w:t>
      </w:r>
      <w:r>
        <w:rPr>
          <w:rFonts w:ascii="Arial" w:hAnsi="Arial" w:cs="Arial"/>
          <w:b/>
          <w:sz w:val="20"/>
        </w:rPr>
        <w:t xml:space="preserve">T-lymphocytes </w:t>
      </w:r>
      <w:r>
        <w:rPr>
          <w:rFonts w:ascii="Arial" w:hAnsi="Arial" w:cs="Arial"/>
          <w:sz w:val="20"/>
        </w:rPr>
        <w:t>selected as D) CD3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CD20</w:t>
      </w:r>
      <w:r>
        <w:rPr>
          <w:rFonts w:ascii="Arial" w:hAnsi="Arial" w:cs="Arial"/>
          <w:sz w:val="20"/>
          <w:vertAlign w:val="superscript"/>
        </w:rPr>
        <w:t>-</w:t>
      </w:r>
      <w:r>
        <w:rPr>
          <w:rFonts w:ascii="Arial" w:hAnsi="Arial" w:cs="Arial"/>
          <w:sz w:val="20"/>
        </w:rPr>
        <w:t>, from which E) three T-lymphocyte phenotypes were described by expression of CD4 and CD8:  CD4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>, CD8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and CD4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>CD8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(DP T-cells). </w:t>
      </w:r>
      <w:r>
        <w:rPr>
          <w:rFonts w:ascii="Arial" w:hAnsi="Arial" w:cs="Arial"/>
          <w:b/>
          <w:sz w:val="20"/>
        </w:rPr>
        <w:t>Natural killer cells</w:t>
      </w:r>
      <w:r>
        <w:rPr>
          <w:rFonts w:ascii="Arial" w:hAnsi="Arial" w:cs="Arial"/>
          <w:sz w:val="20"/>
        </w:rPr>
        <w:t xml:space="preserve"> were selected D) as CD3</w:t>
      </w:r>
      <w:r>
        <w:rPr>
          <w:rFonts w:ascii="Arial" w:hAnsi="Arial" w:cs="Arial"/>
          <w:sz w:val="20"/>
          <w:vertAlign w:val="superscript"/>
        </w:rPr>
        <w:t>-</w:t>
      </w:r>
      <w:r>
        <w:rPr>
          <w:rFonts w:ascii="Arial" w:hAnsi="Arial" w:cs="Arial"/>
          <w:sz w:val="20"/>
        </w:rPr>
        <w:t>CD20</w:t>
      </w:r>
      <w:r>
        <w:rPr>
          <w:rFonts w:ascii="Arial" w:hAnsi="Arial" w:cs="Arial"/>
          <w:sz w:val="20"/>
          <w:vertAlign w:val="superscript"/>
        </w:rPr>
        <w:t>-</w:t>
      </w:r>
      <w:r>
        <w:rPr>
          <w:rFonts w:ascii="Arial" w:hAnsi="Arial" w:cs="Arial"/>
          <w:sz w:val="20"/>
        </w:rPr>
        <w:t>, and G) CD8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HLA-</w:t>
      </w:r>
      <w:proofErr w:type="spellStart"/>
      <w:r>
        <w:rPr>
          <w:rFonts w:ascii="Arial" w:hAnsi="Arial" w:cs="Arial"/>
          <w:sz w:val="20"/>
        </w:rPr>
        <w:t>DR</w:t>
      </w:r>
      <w:r>
        <w:rPr>
          <w:rFonts w:ascii="Arial" w:hAnsi="Arial" w:cs="Arial"/>
          <w:sz w:val="20"/>
          <w:vertAlign w:val="superscript"/>
        </w:rPr>
        <w:t>dim</w:t>
      </w:r>
      <w:proofErr w:type="spellEnd"/>
      <w:r>
        <w:rPr>
          <w:rFonts w:ascii="Arial" w:hAnsi="Arial" w:cs="Arial"/>
          <w:sz w:val="20"/>
          <w:vertAlign w:val="superscript"/>
        </w:rPr>
        <w:t>/-</w:t>
      </w:r>
      <w:r>
        <w:rPr>
          <w:rFonts w:ascii="Arial" w:hAnsi="Arial" w:cs="Arial"/>
          <w:sz w:val="20"/>
        </w:rPr>
        <w:t xml:space="preserve">. Following this, </w:t>
      </w:r>
      <w:r w:rsidRPr="00D77E0A">
        <w:rPr>
          <w:rFonts w:ascii="Bookman Old Style" w:hAnsi="Bookman Old Style" w:cstheme="minorHAnsi"/>
          <w:sz w:val="20"/>
        </w:rPr>
        <w:t>I</w:t>
      </w:r>
      <w:r>
        <w:rPr>
          <w:rFonts w:ascii="Arial" w:hAnsi="Arial" w:cs="Arial"/>
          <w:sz w:val="20"/>
        </w:rPr>
        <w:t>) CD159a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cells were selected, presenting J) three NK-cell phenotypes by expression of CD16 and CD56. A small population of </w:t>
      </w:r>
      <w:r>
        <w:rPr>
          <w:rFonts w:ascii="Arial" w:hAnsi="Arial" w:cs="Arial"/>
          <w:b/>
          <w:sz w:val="20"/>
        </w:rPr>
        <w:t xml:space="preserve">NK T-cells </w:t>
      </w:r>
      <w:r>
        <w:rPr>
          <w:rFonts w:ascii="Arial" w:hAnsi="Arial" w:cs="Arial"/>
          <w:sz w:val="20"/>
        </w:rPr>
        <w:t>were identified as D) CD3</w:t>
      </w:r>
      <w:r>
        <w:rPr>
          <w:rFonts w:ascii="Arial" w:hAnsi="Arial" w:cs="Arial"/>
          <w:sz w:val="20"/>
          <w:vertAlign w:val="superscript"/>
        </w:rPr>
        <w:t>-</w:t>
      </w:r>
      <w:r>
        <w:rPr>
          <w:rFonts w:ascii="Arial" w:hAnsi="Arial" w:cs="Arial"/>
          <w:sz w:val="20"/>
        </w:rPr>
        <w:t>CD20</w:t>
      </w:r>
      <w:r>
        <w:rPr>
          <w:rFonts w:ascii="Arial" w:hAnsi="Arial" w:cs="Arial"/>
          <w:sz w:val="20"/>
          <w:vertAlign w:val="superscript"/>
        </w:rPr>
        <w:t>-</w:t>
      </w:r>
      <w:r>
        <w:rPr>
          <w:rFonts w:ascii="Arial" w:hAnsi="Arial" w:cs="Arial"/>
          <w:sz w:val="20"/>
        </w:rPr>
        <w:t>, and F) CD16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b/>
          <w:sz w:val="20"/>
        </w:rPr>
        <w:t xml:space="preserve">B-cells </w:t>
      </w:r>
      <w:r>
        <w:rPr>
          <w:rFonts w:ascii="Arial" w:hAnsi="Arial" w:cs="Arial"/>
          <w:sz w:val="20"/>
        </w:rPr>
        <w:t>were identified as D) CD20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>CD3</w:t>
      </w:r>
      <w:r>
        <w:rPr>
          <w:rFonts w:ascii="Arial" w:hAnsi="Arial" w:cs="Arial"/>
          <w:sz w:val="20"/>
          <w:vertAlign w:val="superscript"/>
        </w:rPr>
        <w:t>-</w:t>
      </w:r>
      <w:r>
        <w:rPr>
          <w:rFonts w:ascii="Arial" w:hAnsi="Arial" w:cs="Arial"/>
          <w:sz w:val="20"/>
        </w:rPr>
        <w:t>, from which H) a CD11c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population were evaluated, with reference to appropriate fluorescence minus one </w:t>
      </w:r>
      <w:proofErr w:type="gramStart"/>
      <w:r>
        <w:rPr>
          <w:rFonts w:ascii="Arial" w:hAnsi="Arial" w:cs="Arial"/>
          <w:sz w:val="20"/>
        </w:rPr>
        <w:t>controls</w:t>
      </w:r>
      <w:proofErr w:type="gramEnd"/>
      <w:r>
        <w:rPr>
          <w:rFonts w:ascii="Arial" w:hAnsi="Arial" w:cs="Arial"/>
          <w:sz w:val="20"/>
        </w:rPr>
        <w:t xml:space="preserve">. All plots in this figure are from the same animal (ICM) and are representative of wider population. Values presented on gates are given as frequency of parent gate. </w:t>
      </w:r>
    </w:p>
    <w:p w14:paraId="30BF9B14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41AD0D0E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26DAB42B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2F3EA68C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118802EF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29E53589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594390C6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1015EB20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33E9F362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312AB864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  <w:r w:rsidRPr="009E7EF5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28AE488" wp14:editId="156DF147">
            <wp:extent cx="5731510" cy="3463925"/>
            <wp:effectExtent l="0" t="0" r="2540" b="3175"/>
            <wp:docPr id="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FCEF07C-6861-47F9-802C-8BC791DEB0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FFCEF07C-6861-47F9-802C-8BC791DEB0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09A3C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7F59DBB1" w14:textId="292CCE22" w:rsidR="00D17DD6" w:rsidRDefault="00D17DD6" w:rsidP="00D17DD6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Supplementary figure </w:t>
      </w:r>
      <w:r w:rsidR="006B5139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: </w:t>
      </w:r>
      <w:r>
        <w:rPr>
          <w:rFonts w:ascii="Arial" w:hAnsi="Arial" w:cs="Arial"/>
          <w:i/>
          <w:sz w:val="20"/>
        </w:rPr>
        <w:t>Flow cytometric analysis of monocyte populations by differential expression of CD14 and CD16.</w:t>
      </w:r>
      <w:r>
        <w:rPr>
          <w:rFonts w:ascii="Arial" w:hAnsi="Arial" w:cs="Arial"/>
          <w:sz w:val="20"/>
        </w:rPr>
        <w:t xml:space="preserve"> Monocytes were firstly gated based on FSC-A and FSC-H profiles, to exclude doublets. Monocytes were then selected for by their SSC and     FSC (A) profiles, largely   excluding lymphocytes.  Following this:   A) Dead   cells, B) CD3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T and CD20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B-cells were excluded. PBMC samples have minimal granulocyte infiltration; any remaining infiltrates were excluded based on being HLA-DR</w:t>
      </w:r>
      <w:r>
        <w:rPr>
          <w:rFonts w:ascii="Arial" w:hAnsi="Arial" w:cs="Arial"/>
          <w:sz w:val="20"/>
          <w:vertAlign w:val="superscript"/>
        </w:rPr>
        <w:t>-</w:t>
      </w:r>
      <w:r>
        <w:rPr>
          <w:rFonts w:ascii="Arial" w:hAnsi="Arial" w:cs="Arial"/>
          <w:sz w:val="20"/>
        </w:rPr>
        <w:t xml:space="preserve"> CD14</w:t>
      </w:r>
      <w:r>
        <w:rPr>
          <w:rFonts w:ascii="Arial" w:hAnsi="Arial" w:cs="Arial"/>
          <w:sz w:val="20"/>
          <w:vertAlign w:val="superscript"/>
        </w:rPr>
        <w:t>dim</w:t>
      </w:r>
      <w:r>
        <w:rPr>
          <w:rFonts w:ascii="Arial" w:hAnsi="Arial" w:cs="Arial"/>
          <w:sz w:val="20"/>
        </w:rPr>
        <w:t xml:space="preserve"> (C). Finally, C) CD14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and HLA-DR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were selected for, yielding three monocyte phenotypes (F) based on their expression of CD14 and CD16: classical (CD14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>), intermediate (CD14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 xml:space="preserve"> CD16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>), non-classical (CD16</w:t>
      </w:r>
      <w:r>
        <w:rPr>
          <w:rFonts w:ascii="Arial" w:hAnsi="Arial" w:cs="Arial"/>
          <w:sz w:val="20"/>
          <w:vertAlign w:val="superscript"/>
        </w:rPr>
        <w:t>+</w:t>
      </w:r>
      <w:r>
        <w:rPr>
          <w:rFonts w:ascii="Arial" w:hAnsi="Arial" w:cs="Arial"/>
          <w:sz w:val="20"/>
        </w:rPr>
        <w:t>).</w:t>
      </w:r>
    </w:p>
    <w:p w14:paraId="354E04B8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0D17E495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68A8E485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3253AB98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4EEAA190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  <w:r w:rsidRPr="009E7EF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5CDE94A" wp14:editId="377B9413">
            <wp:extent cx="5731510" cy="2933700"/>
            <wp:effectExtent l="0" t="0" r="2540" b="0"/>
            <wp:docPr id="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24C8B20-1A28-48DC-BD68-C1DCD70E2D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E24C8B20-1A28-48DC-BD68-C1DCD70E2D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4E5C2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602F1226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08D8315F" w14:textId="30A87100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figure </w:t>
      </w:r>
      <w:r w:rsidR="006B513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i/>
          <w:sz w:val="20"/>
          <w:szCs w:val="20"/>
        </w:rPr>
        <w:t>Flow cytometric analysis of myeloid dendritic cells by expression of CD11c and CD16.</w:t>
      </w:r>
      <w:r>
        <w:rPr>
          <w:rFonts w:ascii="Arial" w:hAnsi="Arial" w:cs="Arial"/>
          <w:sz w:val="20"/>
          <w:szCs w:val="20"/>
        </w:rPr>
        <w:t xml:space="preserve"> Initially, A) singlets were excluded. Myeloid dendritic cells were then gated for based B) on their FSC SSC (A) profiles, and C) viability. D) CD3</w:t>
      </w:r>
      <w:r>
        <w:rPr>
          <w:rFonts w:ascii="Arial" w:hAnsi="Arial" w:cs="Arial"/>
          <w:sz w:val="20"/>
          <w:szCs w:val="20"/>
          <w:vertAlign w:val="superscript"/>
        </w:rPr>
        <w:t xml:space="preserve">- </w:t>
      </w:r>
      <w:r>
        <w:rPr>
          <w:rFonts w:ascii="Arial" w:hAnsi="Arial" w:cs="Arial"/>
          <w:sz w:val="20"/>
          <w:szCs w:val="20"/>
        </w:rPr>
        <w:t>CD14</w:t>
      </w:r>
      <w:r>
        <w:rPr>
          <w:rFonts w:ascii="Arial" w:hAnsi="Arial" w:cs="Arial"/>
          <w:sz w:val="20"/>
          <w:szCs w:val="20"/>
          <w:vertAlign w:val="superscript"/>
        </w:rPr>
        <w:t>-</w:t>
      </w:r>
      <w:r>
        <w:rPr>
          <w:rFonts w:ascii="Arial" w:hAnsi="Arial" w:cs="Arial"/>
          <w:sz w:val="20"/>
          <w:szCs w:val="20"/>
        </w:rPr>
        <w:t xml:space="preserve"> (Lin</w:t>
      </w:r>
      <w:r>
        <w:rPr>
          <w:rFonts w:ascii="Arial" w:hAnsi="Arial" w:cs="Arial"/>
          <w:sz w:val="20"/>
          <w:szCs w:val="20"/>
          <w:vertAlign w:val="superscript"/>
        </w:rPr>
        <w:t>-</w:t>
      </w:r>
      <w:r>
        <w:rPr>
          <w:rFonts w:ascii="Arial" w:hAnsi="Arial" w:cs="Arial"/>
          <w:sz w:val="20"/>
          <w:szCs w:val="20"/>
        </w:rPr>
        <w:t>) cells then selected for, and E) CD8</w:t>
      </w:r>
      <w:r>
        <w:rPr>
          <w:rFonts w:ascii="Arial" w:hAnsi="Arial" w:cs="Arial"/>
          <w:sz w:val="20"/>
          <w:szCs w:val="20"/>
          <w:vertAlign w:val="superscript"/>
        </w:rPr>
        <w:t xml:space="preserve">+ </w:t>
      </w:r>
      <w:r>
        <w:rPr>
          <w:rFonts w:ascii="Arial" w:hAnsi="Arial" w:cs="Arial"/>
          <w:sz w:val="20"/>
          <w:szCs w:val="20"/>
        </w:rPr>
        <w:t>and CD20</w:t>
      </w:r>
      <w:r>
        <w:rPr>
          <w:rFonts w:ascii="Arial" w:hAnsi="Arial" w:cs="Arial"/>
          <w:sz w:val="20"/>
          <w:szCs w:val="20"/>
          <w:vertAlign w:val="superscript"/>
        </w:rPr>
        <w:t>+</w:t>
      </w:r>
      <w:r>
        <w:rPr>
          <w:rFonts w:ascii="Arial" w:hAnsi="Arial" w:cs="Arial"/>
          <w:sz w:val="20"/>
          <w:szCs w:val="20"/>
        </w:rPr>
        <w:t>, as well as F) CD159a</w:t>
      </w:r>
      <w:r>
        <w:rPr>
          <w:rFonts w:ascii="Arial" w:hAnsi="Arial" w:cs="Arial"/>
          <w:sz w:val="20"/>
          <w:szCs w:val="20"/>
          <w:vertAlign w:val="superscript"/>
        </w:rPr>
        <w:t xml:space="preserve">+ </w:t>
      </w:r>
      <w:r>
        <w:rPr>
          <w:rFonts w:ascii="Arial" w:hAnsi="Arial" w:cs="Arial"/>
          <w:sz w:val="20"/>
          <w:szCs w:val="20"/>
        </w:rPr>
        <w:t>NK cells were excluded. G) HLA-DR</w:t>
      </w:r>
      <w:r>
        <w:rPr>
          <w:rFonts w:ascii="Arial" w:hAnsi="Arial" w:cs="Arial"/>
          <w:sz w:val="20"/>
          <w:szCs w:val="20"/>
          <w:vertAlign w:val="superscript"/>
        </w:rPr>
        <w:t>+</w:t>
      </w:r>
      <w:r>
        <w:rPr>
          <w:rFonts w:ascii="Arial" w:hAnsi="Arial" w:cs="Arial"/>
          <w:sz w:val="20"/>
          <w:szCs w:val="20"/>
        </w:rPr>
        <w:t xml:space="preserve"> cells were selected for, yielding H) myeloid dendritic cells as seen by co-expression of CD16 and CD11c. </w:t>
      </w:r>
    </w:p>
    <w:p w14:paraId="68EABCC3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105867F9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2A997AD9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5D0AA3EF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7C3FDE23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3939EE82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7E7FCC90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07D79A44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7545D02F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12507EBB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351A95E4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57F50A04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6E8E3283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6034BD7B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6255F51E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16A96D26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7CCCF7D5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5E4CACF3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1AEC6EBA" wp14:editId="7B60968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46975" cy="4199890"/>
            <wp:effectExtent l="0" t="0" r="190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975" cy="419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3C8CF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468B8192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70F685BE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3C75C3B5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0CE1CFFF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4DF529ED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51563D17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74728CF2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699607D6" w14:textId="77777777" w:rsidR="00D17DD6" w:rsidRDefault="00D17DD6" w:rsidP="00D17DD6">
      <w:pPr>
        <w:jc w:val="both"/>
        <w:rPr>
          <w:rFonts w:ascii="Arial" w:hAnsi="Arial" w:cs="Arial"/>
          <w:b/>
          <w:sz w:val="20"/>
          <w:szCs w:val="20"/>
        </w:rPr>
      </w:pPr>
    </w:p>
    <w:p w14:paraId="3BB79A8C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0DB0C5BA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519E3461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3D4C55D7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3485E276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0F4D9C0A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2F67F6F0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42791DB8" w14:textId="358AB9FA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data </w:t>
      </w:r>
      <w:r w:rsidR="006B5139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Variables contributing to the dimensions of the PCA analysis.</w:t>
      </w:r>
      <w:r>
        <w:rPr>
          <w:rFonts w:ascii="Arial" w:hAnsi="Arial" w:cs="Arial"/>
          <w:sz w:val="20"/>
          <w:szCs w:val="20"/>
        </w:rPr>
        <w:t xml:space="preserve"> The contribution of each variable to the variance in each dimension is shown by the size of the circle and is relative to the other variables. </w:t>
      </w:r>
    </w:p>
    <w:p w14:paraId="3B75EF17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</w:p>
    <w:p w14:paraId="366217A1" w14:textId="77777777" w:rsidR="00D17DD6" w:rsidRDefault="00D17DD6" w:rsidP="00D17D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37BCBC1" wp14:editId="7F4477C3">
            <wp:extent cx="3731191" cy="3696335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09" cy="3704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46770" w14:textId="6EBC625A" w:rsidR="004777FB" w:rsidRDefault="00D17DD6" w:rsidP="00D17DD6">
      <w:r>
        <w:rPr>
          <w:rFonts w:ascii="Arial" w:hAnsi="Arial" w:cs="Arial"/>
          <w:b/>
          <w:sz w:val="20"/>
          <w:szCs w:val="20"/>
        </w:rPr>
        <w:t xml:space="preserve">Supplementary Table </w:t>
      </w:r>
      <w:r w:rsidR="006B513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Relative contributions of each dimension of the PCA analysis to the variance in the data.</w:t>
      </w:r>
    </w:p>
    <w:sectPr w:rsidR="00477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D6"/>
    <w:rsid w:val="004777FB"/>
    <w:rsid w:val="006074B9"/>
    <w:rsid w:val="006B5139"/>
    <w:rsid w:val="008D3041"/>
    <w:rsid w:val="00D17DD6"/>
    <w:rsid w:val="00D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FBC68"/>
  <w15:chartTrackingRefBased/>
  <w15:docId w15:val="{545AF2DD-CEF3-433E-A126-32CB56EA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2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Laura.sibley@phe.gov.uk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Sibley</dc:creator>
  <cp:keywords/>
  <dc:description/>
  <cp:lastModifiedBy>Laura Sibley</cp:lastModifiedBy>
  <cp:revision>2</cp:revision>
  <dcterms:created xsi:type="dcterms:W3CDTF">2021-03-23T14:39:00Z</dcterms:created>
  <dcterms:modified xsi:type="dcterms:W3CDTF">2021-03-23T14:39:00Z</dcterms:modified>
</cp:coreProperties>
</file>