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C0530" w:rsidRPr="00F42B98" w:rsidRDefault="007C0530" w:rsidP="007C0530">
      <w:pPr>
        <w:adjustRightInd w:val="0"/>
        <w:spacing w:after="0" w:line="480" w:lineRule="auto"/>
        <w:contextualSpacing/>
        <w:jc w:val="both"/>
        <w:rPr>
          <w:rFonts w:ascii="Arial" w:eastAsia="Times New Roman" w:hAnsi="Arial" w:cs="Arial"/>
          <w:b/>
          <w:lang w:val="en-US"/>
        </w:rPr>
      </w:pPr>
      <w:bookmarkStart w:id="0" w:name="_GoBack"/>
      <w:bookmarkEnd w:id="0"/>
      <w:r w:rsidRPr="00F42B98">
        <w:rPr>
          <w:rFonts w:ascii="Arial" w:eastAsia="Times New Roman" w:hAnsi="Arial" w:cs="Arial"/>
          <w:b/>
          <w:lang w:val="en-US"/>
        </w:rPr>
        <w:t>Supplemental Figure 1. 2-DG does not influence the oxidative phosphorylation rate of COPD-derived ASMCs.</w:t>
      </w:r>
    </w:p>
    <w:p w:rsidR="007C0530" w:rsidRPr="00F42B98" w:rsidRDefault="007C0530" w:rsidP="007C0530">
      <w:pPr>
        <w:widowControl w:val="0"/>
        <w:autoSpaceDE w:val="0"/>
        <w:autoSpaceDN w:val="0"/>
        <w:adjustRightInd w:val="0"/>
        <w:spacing w:after="0" w:line="480" w:lineRule="auto"/>
        <w:contextualSpacing/>
        <w:jc w:val="both"/>
        <w:rPr>
          <w:rFonts w:ascii="Arial" w:eastAsiaTheme="minorEastAsia" w:hAnsi="Arial" w:cs="Arial"/>
          <w:kern w:val="2"/>
          <w:lang w:val="en-US"/>
        </w:rPr>
      </w:pPr>
      <w:r w:rsidRPr="00F42B98">
        <w:rPr>
          <w:rFonts w:ascii="Arial" w:hAnsi="Arial" w:cs="Arial"/>
          <w:kern w:val="2"/>
          <w:lang w:val="en-US"/>
        </w:rPr>
        <w:t>(A&amp;B) The basal OCR was measured by Seahorse Mitostress assay in COPD</w:t>
      </w:r>
      <w:r w:rsidRPr="00F42B98">
        <w:rPr>
          <w:rFonts w:ascii="Arial" w:hAnsi="Arial" w:cs="Arial"/>
          <w:color w:val="1A1818"/>
        </w:rPr>
        <w:t>-derived</w:t>
      </w:r>
      <w:r w:rsidRPr="00F42B98">
        <w:rPr>
          <w:rFonts w:ascii="Arial" w:hAnsi="Arial" w:cs="Arial"/>
          <w:kern w:val="2"/>
          <w:lang w:val="en-US"/>
        </w:rPr>
        <w:t xml:space="preserve"> ASMCs with 2-DG treatment.</w:t>
      </w:r>
    </w:p>
    <w:p w:rsidR="007C0530" w:rsidRPr="00F42B98" w:rsidRDefault="007C0530" w:rsidP="007C0530">
      <w:pPr>
        <w:widowControl w:val="0"/>
        <w:autoSpaceDE w:val="0"/>
        <w:autoSpaceDN w:val="0"/>
        <w:adjustRightInd w:val="0"/>
        <w:spacing w:after="0" w:line="480" w:lineRule="auto"/>
        <w:contextualSpacing/>
        <w:jc w:val="both"/>
        <w:rPr>
          <w:rFonts w:ascii="Arial" w:eastAsiaTheme="minorEastAsia" w:hAnsi="Arial" w:cs="Arial"/>
          <w:b/>
          <w:lang w:val="en-US"/>
        </w:rPr>
      </w:pPr>
      <w:r w:rsidRPr="00F42B98">
        <w:rPr>
          <w:rFonts w:ascii="Arial" w:eastAsia="Times New Roman" w:hAnsi="Arial" w:cs="Arial"/>
          <w:b/>
          <w:lang w:val="en-US"/>
        </w:rPr>
        <w:t>Supplemental Table 1. Clinical Characteristics of patients for primary ASMCs used in this study</w:t>
      </w:r>
    </w:p>
    <w:p w:rsidR="007C0530" w:rsidRPr="001E7763" w:rsidRDefault="007C0530" w:rsidP="007C0530">
      <w:pPr>
        <w:widowControl w:val="0"/>
        <w:autoSpaceDE w:val="0"/>
        <w:autoSpaceDN w:val="0"/>
        <w:adjustRightInd w:val="0"/>
        <w:spacing w:after="0" w:line="480" w:lineRule="auto"/>
        <w:contextualSpacing/>
        <w:jc w:val="both"/>
        <w:rPr>
          <w:rFonts w:ascii="Arial" w:eastAsia="Times New Roman" w:hAnsi="Arial" w:cs="Arial"/>
          <w:b/>
          <w:lang w:val="en-US"/>
        </w:rPr>
      </w:pPr>
      <w:r w:rsidRPr="00F42B98">
        <w:rPr>
          <w:rFonts w:ascii="Arial" w:hAnsi="Arial" w:cs="Arial"/>
          <w:noProof/>
        </w:rPr>
        <w:t>The age, gender, alcohol, and smoking information of healthy donors and COPD patients (4 vs. 4) used for primary human ASMCs purchased from Lonza.</w:t>
      </w:r>
    </w:p>
    <w:p w:rsidR="00522880" w:rsidRPr="007C0530" w:rsidRDefault="00522880">
      <w:pPr>
        <w:rPr>
          <w:lang w:val="en-US"/>
        </w:rPr>
      </w:pPr>
    </w:p>
    <w:sectPr w:rsidR="00522880" w:rsidRPr="007C05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D3761" w:rsidRDefault="001D3761" w:rsidP="007C0530">
      <w:pPr>
        <w:spacing w:after="0" w:line="240" w:lineRule="auto"/>
      </w:pPr>
      <w:r>
        <w:separator/>
      </w:r>
    </w:p>
  </w:endnote>
  <w:endnote w:type="continuationSeparator" w:id="0">
    <w:p w:rsidR="001D3761" w:rsidRDefault="001D3761" w:rsidP="007C05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Arial Unicode MS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D3761" w:rsidRDefault="001D3761" w:rsidP="007C0530">
      <w:pPr>
        <w:spacing w:after="0" w:line="240" w:lineRule="auto"/>
      </w:pPr>
      <w:r>
        <w:separator/>
      </w:r>
    </w:p>
  </w:footnote>
  <w:footnote w:type="continuationSeparator" w:id="0">
    <w:p w:rsidR="001D3761" w:rsidRDefault="001D3761" w:rsidP="007C053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tTCwMDa3tDSzNDA0N7dQ0lEKTi0uzszPAykwqgUASR72OiwAAAA="/>
  </w:docVars>
  <w:rsids>
    <w:rsidRoot w:val="00781A58"/>
    <w:rsid w:val="001D3761"/>
    <w:rsid w:val="004E3CC7"/>
    <w:rsid w:val="00522880"/>
    <w:rsid w:val="00781A58"/>
    <w:rsid w:val="007C0530"/>
    <w:rsid w:val="00F42B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648CA13F-3B2F-4851-ACD4-C9C910F7A5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0530"/>
    <w:pPr>
      <w:spacing w:after="200" w:line="276" w:lineRule="auto"/>
    </w:pPr>
    <w:rPr>
      <w:rFonts w:ascii="Calibri" w:eastAsia="PMingLiU" w:hAnsi="Calibri" w:cs="Times New Roman"/>
      <w:kern w:val="0"/>
      <w:sz w:val="22"/>
      <w:lang w:val="en-C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7C0530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snapToGrid w:val="0"/>
      <w:spacing w:after="0" w:line="240" w:lineRule="auto"/>
      <w:jc w:val="center"/>
    </w:pPr>
    <w:rPr>
      <w:rFonts w:asciiTheme="minorHAnsi" w:eastAsiaTheme="minorEastAsia" w:hAnsiTheme="minorHAnsi" w:cstheme="minorBidi"/>
      <w:kern w:val="2"/>
      <w:sz w:val="18"/>
      <w:szCs w:val="18"/>
      <w:lang w:val="en-US"/>
    </w:rPr>
  </w:style>
  <w:style w:type="character" w:customStyle="1" w:styleId="Char">
    <w:name w:val="页眉 Char"/>
    <w:basedOn w:val="a0"/>
    <w:link w:val="a3"/>
    <w:uiPriority w:val="99"/>
    <w:rsid w:val="007C053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7C0530"/>
    <w:pPr>
      <w:widowControl w:val="0"/>
      <w:tabs>
        <w:tab w:val="center" w:pos="4153"/>
        <w:tab w:val="right" w:pos="8306"/>
      </w:tabs>
      <w:snapToGrid w:val="0"/>
      <w:spacing w:after="0" w:line="240" w:lineRule="auto"/>
    </w:pPr>
    <w:rPr>
      <w:rFonts w:asciiTheme="minorHAnsi" w:eastAsiaTheme="minorEastAsia" w:hAnsiTheme="minorHAnsi" w:cstheme="minorBidi"/>
      <w:kern w:val="2"/>
      <w:sz w:val="18"/>
      <w:szCs w:val="18"/>
      <w:lang w:val="en-US"/>
    </w:rPr>
  </w:style>
  <w:style w:type="character" w:customStyle="1" w:styleId="Char0">
    <w:name w:val="页脚 Char"/>
    <w:basedOn w:val="a0"/>
    <w:link w:val="a4"/>
    <w:uiPriority w:val="99"/>
    <w:rsid w:val="007C053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387</Characters>
  <Application>Microsoft Office Word</Application>
  <DocSecurity>0</DocSecurity>
  <Lines>3</Lines>
  <Paragraphs>1</Paragraphs>
  <ScaleCrop>false</ScaleCrop>
  <Company/>
  <LinksUpToDate>false</LinksUpToDate>
  <CharactersWithSpaces>453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 Li</dc:creator>
  <cp:keywords/>
  <dc:description/>
  <cp:lastModifiedBy>Yan Li</cp:lastModifiedBy>
  <cp:revision>3</cp:revision>
  <dcterms:created xsi:type="dcterms:W3CDTF">2021-02-18T01:03:00Z</dcterms:created>
  <dcterms:modified xsi:type="dcterms:W3CDTF">2021-03-23T05:54:00Z</dcterms:modified>
</cp:coreProperties>
</file>